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701282ds8.htm"/>
      <w:bookmarkStart w:id="1" w:name="ksd701282ds8"/>
      <w:bookmarkEnd w:id="0"/>
      <w:bookmarkEnd w:id="1"/>
      <w:r>
        <w:rPr>
          <w:rFonts w:ascii="Times New Roman" w:hAnsi="Times New Roman"/>
          <w:b/>
          <w:sz w:val="20"/>
        </w:rPr>
        <w:t xml:space="preserve">As filed with the U.S. Securities and Exchange Commission on January 5, 2024 </w:t>
      </w:r>
    </w:p>
    <w:p>
      <w:pPr>
        <w:pStyle w:val="TextBody"/>
        <w:bidi w:val="0"/>
        <w:spacing w:before="240" w:after="0"/>
        <w:jc w:val="right"/>
        <w:rPr>
          <w:rFonts w:ascii="Times New Roman" w:hAnsi="Times New Roman"/>
          <w:b/>
          <w:sz w:val="20"/>
        </w:rPr>
      </w:pPr>
      <w:r>
        <w:rPr>
          <w:rFonts w:ascii="Times New Roman" w:hAnsi="Times New Roman"/>
          <w:b/>
          <w:sz w:val="20"/>
        </w:rPr>
        <w:t xml:space="preserve">Registration No. 333-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BIOMEA FUSION,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82-2520134</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900 Middlefield Road, 4th Floor </w:t>
      </w:r>
    </w:p>
    <w:p>
      <w:pPr>
        <w:pStyle w:val="TextBody"/>
        <w:bidi w:val="0"/>
        <w:spacing w:before="0" w:after="0"/>
        <w:jc w:val="center"/>
        <w:rPr>
          <w:rFonts w:ascii="Times New Roman" w:hAnsi="Times New Roman"/>
          <w:b/>
          <w:sz w:val="20"/>
        </w:rPr>
      </w:pPr>
      <w:r>
        <w:rPr>
          <w:rFonts w:ascii="Times New Roman" w:hAnsi="Times New Roman"/>
          <w:b/>
          <w:sz w:val="20"/>
        </w:rPr>
        <w:t xml:space="preserve">Redwood City, California 94063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240" w:after="0"/>
        <w:jc w:val="center"/>
        <w:rPr>
          <w:rFonts w:ascii="Times New Roman" w:hAnsi="Times New Roman"/>
          <w:b/>
          <w:sz w:val="20"/>
        </w:rPr>
      </w:pPr>
      <w:r>
        <w:rPr>
          <w:rFonts w:ascii="Times New Roman" w:hAnsi="Times New Roman"/>
          <w:b/>
          <w:sz w:val="20"/>
        </w:rPr>
        <w:t xml:space="preserve">2021 INCENTIVE AWARD PLAN </w:t>
      </w:r>
    </w:p>
    <w:p>
      <w:pPr>
        <w:pStyle w:val="TextBody"/>
        <w:bidi w:val="0"/>
        <w:spacing w:before="0" w:after="0"/>
        <w:jc w:val="center"/>
        <w:rPr>
          <w:rFonts w:ascii="Times New Roman" w:hAnsi="Times New Roman"/>
          <w:b/>
          <w:sz w:val="20"/>
        </w:rPr>
      </w:pPr>
      <w:r>
        <w:rPr>
          <w:rFonts w:ascii="Times New Roman" w:hAnsi="Times New Roman"/>
          <w:b/>
          <w:sz w:val="20"/>
        </w:rPr>
        <w:t xml:space="preserve">2021 EMPLOYEE STOCK PURCHASE PLAN </w:t>
      </w:r>
    </w:p>
    <w:p>
      <w:pPr>
        <w:pStyle w:val="TextBody"/>
        <w:bidi w:val="0"/>
        <w:spacing w:before="0" w:after="0"/>
        <w:jc w:val="center"/>
        <w:rPr>
          <w:rFonts w:ascii="Times New Roman" w:hAnsi="Times New Roman"/>
          <w:b/>
          <w:sz w:val="20"/>
        </w:rPr>
      </w:pPr>
      <w:r>
        <w:rPr>
          <w:rFonts w:ascii="Times New Roman" w:hAnsi="Times New Roman"/>
          <w:b/>
          <w:sz w:val="20"/>
        </w:rPr>
        <w:t xml:space="preserve">2023 INDUCEMENT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Thomas Butler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900 Middlefield Road, 4th Floor </w:t>
      </w:r>
    </w:p>
    <w:p>
      <w:pPr>
        <w:pStyle w:val="TextBody"/>
        <w:bidi w:val="0"/>
        <w:spacing w:before="0" w:after="0"/>
        <w:jc w:val="center"/>
        <w:rPr>
          <w:rFonts w:ascii="Times New Roman" w:hAnsi="Times New Roman"/>
          <w:b/>
          <w:sz w:val="20"/>
        </w:rPr>
      </w:pPr>
      <w:r>
        <w:rPr>
          <w:rFonts w:ascii="Times New Roman" w:hAnsi="Times New Roman"/>
          <w:b/>
          <w:sz w:val="20"/>
        </w:rPr>
        <w:t xml:space="preserve">Redwood City, California 94063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240" w:after="0"/>
        <w:jc w:val="center"/>
        <w:rPr>
          <w:rFonts w:ascii="Times New Roman" w:hAnsi="Times New Roman"/>
          <w:b/>
          <w:sz w:val="20"/>
        </w:rPr>
      </w:pPr>
      <w:r>
        <w:rPr>
          <w:rFonts w:ascii="Times New Roman" w:hAnsi="Times New Roman"/>
          <w:b/>
          <w:sz w:val="20"/>
        </w:rPr>
        <w:t xml:space="preserve">(650) 980-9099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Maggie L. Wong</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Franco Valle</w:t>
            </w:r>
          </w:p>
        </w:tc>
      </w:tr>
      <w:tr>
        <w:trPr/>
        <w:tc>
          <w:tcPr>
            <w:tcW w:w="5154" w:type="dxa"/>
            <w:tcBorders/>
          </w:tcPr>
          <w:p>
            <w:pPr>
              <w:pStyle w:val="TableContents"/>
              <w:bidi w:val="0"/>
              <w:spacing w:before="0" w:after="283"/>
              <w:jc w:val="center"/>
              <w:rPr>
                <w:b/>
              </w:rPr>
            </w:pPr>
            <w:r>
              <w:rPr>
                <w:b/>
              </w:rPr>
              <w:t>Alicia M. Tschirhart</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Chief Financial Officer</w:t>
            </w:r>
          </w:p>
        </w:tc>
      </w:tr>
      <w:tr>
        <w:trPr/>
        <w:tc>
          <w:tcPr>
            <w:tcW w:w="5154" w:type="dxa"/>
            <w:tcBorders/>
          </w:tcPr>
          <w:p>
            <w:pPr>
              <w:pStyle w:val="TableContents"/>
              <w:bidi w:val="0"/>
              <w:spacing w:before="0" w:after="283"/>
              <w:jc w:val="center"/>
              <w:rPr>
                <w:b/>
              </w:rPr>
            </w:pPr>
            <w:r>
              <w:rPr>
                <w:b/>
              </w:rPr>
              <w:t>Goodwin Procter LLP</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Biomea Fusion, Inc.</w:t>
            </w:r>
          </w:p>
        </w:tc>
      </w:tr>
      <w:tr>
        <w:trPr/>
        <w:tc>
          <w:tcPr>
            <w:tcW w:w="5154" w:type="dxa"/>
            <w:tcBorders/>
          </w:tcPr>
          <w:p>
            <w:pPr>
              <w:pStyle w:val="TableContents"/>
              <w:bidi w:val="0"/>
              <w:spacing w:before="0" w:after="283"/>
              <w:jc w:val="center"/>
              <w:rPr>
                <w:b/>
              </w:rPr>
            </w:pPr>
            <w:r>
              <w:rPr>
                <w:b/>
              </w:rPr>
              <w:t>3 Embarcadero Center, 28th Floor</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900 Middlefield Road, 4th Floor</w:t>
            </w:r>
          </w:p>
        </w:tc>
      </w:tr>
      <w:tr>
        <w:trPr/>
        <w:tc>
          <w:tcPr>
            <w:tcW w:w="5154" w:type="dxa"/>
            <w:tcBorders/>
          </w:tcPr>
          <w:p>
            <w:pPr>
              <w:pStyle w:val="TableContents"/>
              <w:bidi w:val="0"/>
              <w:spacing w:before="0" w:after="283"/>
              <w:jc w:val="center"/>
              <w:rPr>
                <w:b/>
              </w:rPr>
            </w:pPr>
            <w:r>
              <w:rPr>
                <w:b/>
              </w:rPr>
              <w:t>San Francisco, CA 94111</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Redwood City, California 94063</w:t>
            </w:r>
          </w:p>
        </w:tc>
      </w:tr>
      <w:tr>
        <w:trPr/>
        <w:tc>
          <w:tcPr>
            <w:tcW w:w="5154" w:type="dxa"/>
            <w:tcBorders/>
          </w:tcPr>
          <w:p>
            <w:pPr>
              <w:pStyle w:val="TableContents"/>
              <w:bidi w:val="0"/>
              <w:spacing w:before="0" w:after="283"/>
              <w:jc w:val="center"/>
              <w:rPr>
                <w:b/>
              </w:rPr>
            </w:pPr>
            <w:r>
              <w:rPr>
                <w:b/>
              </w:rPr>
              <w:t>Telephone: (415) 733-6000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Telephone: (650) 980-9099</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00"/>
        <w:gridCol w:w="103"/>
        <w:gridCol w:w="4780"/>
        <w:gridCol w:w="127"/>
        <w:gridCol w:w="2636"/>
        <w:gridCol w:w="103"/>
        <w:gridCol w:w="256"/>
      </w:tblGrid>
      <w:tr>
        <w:trPr/>
        <w:tc>
          <w:tcPr>
            <w:tcW w:w="220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78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240" w:after="0"/>
        <w:jc w:val="left"/>
        <w:rPr>
          <w:rFonts w:ascii="Times New Roman" w:hAnsi="Times New Roman"/>
          <w:sz w:val="20"/>
        </w:rPr>
      </w:pPr>
      <w:r>
        <w:rPr>
          <w:rFonts w:ascii="Times New Roman" w:hAnsi="Times New Roman"/>
          <w:sz w:val="20"/>
        </w:rPr>
        <w:t xml:space="preserve">Proposed sales to take place as soon after the effective date of the registration statement as awards are granted, exercised or distributed under the 2021 Plan, the ESPP or the 2023 Inducement Plan, as applicable.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In this Registration Statement, Biomea Fusion, Inc. is sometimes referred to as Registrant, we, us or our. This Registration Statement on Form S-8 registers (i) additional shares of the Registrants common stock, $0.0001 par value per share (Common Stock) under the Registrants 2021 Incentive Award Plan (the 2021 Plan), (ii) additional shares of Common Stock under the Registrants 2021 Employee Stock Purchase Plan (the ESPP) and (iii) 2,000,000 shares of Common Stock, reserved and available for issuance, under the Registrants 2023 Inducement Plan (the Inducement Plan).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Common Stock reserved and available for issuance under the 2021 Plan is subject to an automatic annual increase on the first day of each year beginning in 2022 and ending in 2031, equal to the lesser of (A) five percent of the shares of Common Stock outstanding on the last day of the immediately preceding fiscal year and (B) such smaller number of shares as determined by the Board or the Committee (as defined in the 2021 Plan). Accordingly, on January 1, 2024, the number of shares of Common Stock reserved and available for issuance under the 2021 Plan increased by 1,798,926 shares.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Common Stock reserved and available for issuance under the ESPP is subject to an annual increase on the first day of each year beginning in 2022 and ending in 2031 equal to the lesser of (i) one percent of the shares of Common Stock outstanding on the last day of the immediately preceding fiscal year and (ii) such number of shares as may be determined by the Board (as defined in the ESPP); provided, however, no more than 4,500,000 shares may be issued under the ESPP. Accordingly, on January 1, 2024, the number of shares of Common Stock reserved and available for issuance under the ESPP increased by 359,785 shares. </w:t>
      </w:r>
    </w:p>
    <w:p>
      <w:pPr>
        <w:pStyle w:val="TextBody"/>
        <w:bidi w:val="0"/>
        <w:spacing w:before="240" w:after="0"/>
        <w:jc w:val="left"/>
        <w:rPr>
          <w:rFonts w:ascii="Times New Roman" w:hAnsi="Times New Roman"/>
          <w:sz w:val="20"/>
        </w:rPr>
      </w:pPr>
      <w:r>
        <w:rPr>
          <w:rFonts w:ascii="Times New Roman" w:hAnsi="Times New Roman"/>
          <w:sz w:val="20"/>
        </w:rPr>
        <w:t xml:space="preserve">On November 17, 2023, the Registrants board of directors adopted the Inducement Plan pursuant to which the Registrant reserved 2,000,000 shares of Common Stock, to be used exclusively for grants of equity-based awards to individuals who were not previously employees or directors of the Registrant, as an inducement material to the individuals entry into employment with the Registrant within the meaning of Rule 5635(c)(4) of the Nasdaq Listing Rules. The Inducement Plan provides for the grant of equity-based awards in the form of nonqualified stock options, stock appreciation rights, restricted stock awards, restricted stock unit awards, performance stock unit awards, unrestricted stock awards, dividend equivalent rights or Other Stock Based Awards (as defined in the Inducement Plan). The Inducement Plan was adopted by the board of directors without stockholder approval pursuant to Rule 5635(c)(4) of the Nasdaq Listing Rules.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registers the aggregate of these additional 4,158,711 shares of Common Stock. </w:t>
      </w:r>
    </w:p>
    <w:p>
      <w:pPr>
        <w:pStyle w:val="TextBody"/>
        <w:bidi w:val="0"/>
        <w:spacing w:before="480" w:after="0"/>
        <w:jc w:val="center"/>
        <w:rPr>
          <w:rFonts w:ascii="Times New Roman" w:hAnsi="Times New Roman"/>
          <w:b/>
          <w:sz w:val="20"/>
        </w:rPr>
      </w:pPr>
      <w:r>
        <w:rPr>
          <w:rFonts w:ascii="Times New Roman" w:hAnsi="Times New Roman"/>
          <w:b/>
          <w:sz w:val="20"/>
        </w:rPr>
        <w:t xml:space="preserve">PART 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sz w:val="20"/>
        </w:rPr>
        <w:t>The information called for in Part I of Form S-8 to be contained in the Section 10(a) prospectus is not being filed with or included in this registration statement (by incorporation by reference or otherwise) in accordance with the rules and regulations of the Securities and Exchange Commission (the </w:t>
      </w:r>
      <w:r>
        <w:rPr>
          <w:rFonts w:ascii="Times New Roman" w:hAnsi="Times New Roman"/>
          <w:sz w:val="20"/>
          <w:u w:val="single"/>
        </w:rPr>
        <w:t>Commission</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w:t>
      </w:r>
      <w:r>
        <w:rPr>
          <w:rFonts w:ascii="Times New Roman" w:hAnsi="Times New Roman"/>
          <w:b/>
          <w:sz w:val="20"/>
          <w:u w:val="single"/>
        </w:rPr>
        <w:t>Incorporation of Documents by Reference</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file with them, which means that we can disclose important information to you by referring you to those documents. The information incorporated by reference is considered to be part of this registration statement, and later information filed with the SEC will update and supersede this information. We hereby incorporate by reference into this registration statement the following documents previously filed with the SEC: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8"/>
        <w:gridCol w:w="121"/>
        <w:gridCol w:w="9846"/>
      </w:tblGrid>
      <w:tr>
        <w:trPr/>
        <w:tc>
          <w:tcPr>
            <w:tcW w:w="23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9846" w:type="dxa"/>
            <w:tcBorders/>
            <w:vAlign w:val="center"/>
          </w:tcPr>
          <w:p>
            <w:pPr>
              <w:pStyle w:val="TableContents"/>
              <w:bidi w:val="0"/>
              <w:spacing w:before="0" w:after="283"/>
              <w:jc w:val="left"/>
              <w:rPr>
                <w:sz w:val="4"/>
                <w:szCs w:val="4"/>
              </w:rPr>
            </w:pPr>
            <w:r>
              <w:rPr>
                <w:sz w:val="4"/>
                <w:szCs w:val="4"/>
              </w:rPr>
            </w:r>
          </w:p>
        </w:tc>
      </w:tr>
      <w:tr>
        <w:trPr/>
        <w:tc>
          <w:tcPr>
            <w:tcW w:w="238" w:type="dxa"/>
            <w:tcBorders/>
          </w:tcPr>
          <w:p>
            <w:pPr>
              <w:pStyle w:val="TableContents"/>
              <w:bidi w:val="0"/>
              <w:spacing w:before="0" w:after="283"/>
              <w:jc w:val="left"/>
              <w:rPr/>
            </w:pPr>
            <w:r>
              <w:rPr/>
              <w:t>(a)</w:t>
            </w:r>
          </w:p>
        </w:tc>
        <w:tc>
          <w:tcPr>
            <w:tcW w:w="121" w:type="dxa"/>
            <w:tcBorders/>
            <w:vAlign w:val="bottom"/>
          </w:tcPr>
          <w:p>
            <w:pPr>
              <w:pStyle w:val="TableContents"/>
              <w:bidi w:val="0"/>
              <w:spacing w:before="0" w:after="283"/>
              <w:jc w:val="left"/>
              <w:rPr/>
            </w:pPr>
            <w:r>
              <w:rPr/>
              <w:t>  </w:t>
            </w:r>
          </w:p>
        </w:tc>
        <w:tc>
          <w:tcPr>
            <w:tcW w:w="9846" w:type="dxa"/>
            <w:tcBorders/>
            <w:vAlign w:val="bottom"/>
          </w:tcPr>
          <w:p>
            <w:pPr>
              <w:pStyle w:val="TableContents"/>
              <w:bidi w:val="0"/>
              <w:spacing w:before="0" w:after="283"/>
              <w:jc w:val="left"/>
              <w:rPr/>
            </w:pPr>
            <w:r>
              <w:rPr/>
              <w:t xml:space="preserve">The registrants Annual Report on </w:t>
            </w:r>
            <w:hyperlink r:id="rId2">
              <w:r>
                <w:rPr>
                  <w:rStyle w:val="InternetLink"/>
                </w:rPr>
                <w:t>Form 10-K</w:t>
              </w:r>
            </w:hyperlink>
            <w:r>
              <w:rPr/>
              <w:t xml:space="preserve"> for the fiscal year ended December 31, 2022 (including the sections of the Registrants </w:t>
            </w:r>
            <w:hyperlink r:id="rId3">
              <w:r>
                <w:rPr>
                  <w:rStyle w:val="InternetLink"/>
                </w:rPr>
                <w:t>Definitive Proxy Statement</w:t>
              </w:r>
            </w:hyperlink>
            <w:r>
              <w:rPr/>
              <w:t xml:space="preserve"> on Schedule 14A, filed with the SEC on April 28, 2023 and relating to its June 14, 2023 annual meeting of stockholders, that are incorporated by reference therein);</w:t>
            </w:r>
          </w:p>
        </w:tc>
      </w:tr>
      <w:tr>
        <w:trPr>
          <w:trHeight w:val="120" w:hRule="atLeast"/>
        </w:trPr>
        <w:tc>
          <w:tcPr>
            <w:tcW w:w="238" w:type="dxa"/>
            <w:tcBorders/>
            <w:vAlign w:val="center"/>
          </w:tcPr>
          <w:p>
            <w:pPr>
              <w:pStyle w:val="TableContents"/>
              <w:bidi w:val="0"/>
              <w:spacing w:before="0" w:after="283"/>
              <w:jc w:val="left"/>
              <w:rPr>
                <w:sz w:val="4"/>
                <w:szCs w:val="4"/>
              </w:rPr>
            </w:pPr>
            <w:r>
              <w:rPr>
                <w:sz w:val="4"/>
                <w:szCs w:val="4"/>
              </w:rPr>
            </w:r>
          </w:p>
        </w:tc>
        <w:tc>
          <w:tcPr>
            <w:tcW w:w="9967" w:type="dxa"/>
            <w:gridSpan w:val="2"/>
            <w:tcBorders/>
            <w:vAlign w:val="center"/>
          </w:tcPr>
          <w:p>
            <w:pPr>
              <w:pStyle w:val="TableContents"/>
              <w:bidi w:val="0"/>
              <w:spacing w:before="0" w:after="283"/>
              <w:jc w:val="left"/>
              <w:rPr>
                <w:sz w:val="4"/>
                <w:szCs w:val="4"/>
              </w:rPr>
            </w:pPr>
            <w:r>
              <w:rPr>
                <w:sz w:val="4"/>
                <w:szCs w:val="4"/>
              </w:rPr>
            </w:r>
          </w:p>
        </w:tc>
      </w:tr>
      <w:tr>
        <w:trPr/>
        <w:tc>
          <w:tcPr>
            <w:tcW w:w="238" w:type="dxa"/>
            <w:tcBorders/>
          </w:tcPr>
          <w:p>
            <w:pPr>
              <w:pStyle w:val="TableContents"/>
              <w:bidi w:val="0"/>
              <w:spacing w:before="0" w:after="283"/>
              <w:jc w:val="left"/>
              <w:rPr/>
            </w:pPr>
            <w:r>
              <w:rPr/>
              <w:t>(b)</w:t>
            </w:r>
          </w:p>
        </w:tc>
        <w:tc>
          <w:tcPr>
            <w:tcW w:w="121" w:type="dxa"/>
            <w:tcBorders/>
            <w:vAlign w:val="bottom"/>
          </w:tcPr>
          <w:p>
            <w:pPr>
              <w:pStyle w:val="TableContents"/>
              <w:bidi w:val="0"/>
              <w:spacing w:before="0" w:after="283"/>
              <w:jc w:val="left"/>
              <w:rPr/>
            </w:pPr>
            <w:r>
              <w:rPr/>
              <w:t>  </w:t>
            </w:r>
          </w:p>
        </w:tc>
        <w:tc>
          <w:tcPr>
            <w:tcW w:w="9846" w:type="dxa"/>
            <w:tcBorders/>
            <w:vAlign w:val="bottom"/>
          </w:tcPr>
          <w:p>
            <w:pPr>
              <w:pStyle w:val="TableContents"/>
              <w:bidi w:val="0"/>
              <w:spacing w:before="0" w:after="283"/>
              <w:jc w:val="left"/>
              <w:rPr/>
            </w:pPr>
            <w:r>
              <w:rPr/>
              <w:t xml:space="preserve">The registrants Quarterly Reports on Form 10-Q for the quarters ended </w:t>
            </w:r>
            <w:hyperlink r:id="rId4">
              <w:r>
                <w:rPr>
                  <w:rStyle w:val="InternetLink"/>
                </w:rPr>
                <w:t>March 31, 2023</w:t>
              </w:r>
            </w:hyperlink>
            <w:r>
              <w:rPr/>
              <w:t xml:space="preserve">, </w:t>
            </w:r>
            <w:hyperlink r:id="rId5">
              <w:r>
                <w:rPr>
                  <w:rStyle w:val="InternetLink"/>
                </w:rPr>
                <w:t>June  30, 2023</w:t>
              </w:r>
            </w:hyperlink>
            <w:r>
              <w:rPr/>
              <w:t xml:space="preserve">, and </w:t>
            </w:r>
            <w:hyperlink r:id="rId6">
              <w:r>
                <w:rPr>
                  <w:rStyle w:val="InternetLink"/>
                </w:rPr>
                <w:t>September 30, 2023</w:t>
              </w:r>
            </w:hyperlink>
            <w:r>
              <w:rPr/>
              <w:t>;</w:t>
            </w:r>
          </w:p>
        </w:tc>
      </w:tr>
      <w:tr>
        <w:trPr>
          <w:trHeight w:val="120" w:hRule="atLeast"/>
        </w:trPr>
        <w:tc>
          <w:tcPr>
            <w:tcW w:w="238" w:type="dxa"/>
            <w:tcBorders/>
            <w:vAlign w:val="center"/>
          </w:tcPr>
          <w:p>
            <w:pPr>
              <w:pStyle w:val="TableContents"/>
              <w:bidi w:val="0"/>
              <w:spacing w:before="0" w:after="283"/>
              <w:jc w:val="left"/>
              <w:rPr>
                <w:sz w:val="4"/>
                <w:szCs w:val="4"/>
              </w:rPr>
            </w:pPr>
            <w:r>
              <w:rPr>
                <w:sz w:val="4"/>
                <w:szCs w:val="4"/>
              </w:rPr>
            </w:r>
          </w:p>
        </w:tc>
        <w:tc>
          <w:tcPr>
            <w:tcW w:w="9967" w:type="dxa"/>
            <w:gridSpan w:val="2"/>
            <w:tcBorders/>
            <w:vAlign w:val="center"/>
          </w:tcPr>
          <w:p>
            <w:pPr>
              <w:pStyle w:val="TableContents"/>
              <w:bidi w:val="0"/>
              <w:spacing w:before="0" w:after="283"/>
              <w:jc w:val="left"/>
              <w:rPr>
                <w:sz w:val="4"/>
                <w:szCs w:val="4"/>
              </w:rPr>
            </w:pPr>
            <w:r>
              <w:rPr>
                <w:sz w:val="4"/>
                <w:szCs w:val="4"/>
              </w:rPr>
            </w:r>
          </w:p>
        </w:tc>
      </w:tr>
      <w:tr>
        <w:trPr/>
        <w:tc>
          <w:tcPr>
            <w:tcW w:w="238" w:type="dxa"/>
            <w:tcBorders/>
          </w:tcPr>
          <w:p>
            <w:pPr>
              <w:pStyle w:val="TableContents"/>
              <w:bidi w:val="0"/>
              <w:spacing w:before="0" w:after="283"/>
              <w:jc w:val="left"/>
              <w:rPr/>
            </w:pPr>
            <w:r>
              <w:rPr/>
              <w:t>(c)</w:t>
            </w:r>
          </w:p>
        </w:tc>
        <w:tc>
          <w:tcPr>
            <w:tcW w:w="121" w:type="dxa"/>
            <w:tcBorders/>
            <w:vAlign w:val="bottom"/>
          </w:tcPr>
          <w:p>
            <w:pPr>
              <w:pStyle w:val="TableContents"/>
              <w:bidi w:val="0"/>
              <w:spacing w:before="0" w:after="283"/>
              <w:jc w:val="left"/>
              <w:rPr/>
            </w:pPr>
            <w:r>
              <w:rPr/>
              <w:t>  </w:t>
            </w:r>
          </w:p>
        </w:tc>
        <w:tc>
          <w:tcPr>
            <w:tcW w:w="9846" w:type="dxa"/>
            <w:tcBorders/>
            <w:vAlign w:val="bottom"/>
          </w:tcPr>
          <w:p>
            <w:pPr>
              <w:pStyle w:val="TableContents"/>
              <w:bidi w:val="0"/>
              <w:spacing w:before="0" w:after="283"/>
              <w:jc w:val="left"/>
              <w:rPr/>
            </w:pPr>
            <w:r>
              <w:rPr/>
              <w:t xml:space="preserve">The registrants Current Reports on Form 8-K and Form 8-K/A filed with the Commission dated </w:t>
            </w:r>
            <w:hyperlink r:id="rId7">
              <w:r>
                <w:rPr>
                  <w:rStyle w:val="InternetLink"/>
                </w:rPr>
                <w:t>January  9, 2023</w:t>
              </w:r>
            </w:hyperlink>
            <w:r>
              <w:rPr/>
              <w:t xml:space="preserve">, </w:t>
            </w:r>
            <w:hyperlink r:id="rId8">
              <w:r>
                <w:rPr>
                  <w:rStyle w:val="InternetLink"/>
                </w:rPr>
                <w:t>March  28, 2023</w:t>
              </w:r>
            </w:hyperlink>
            <w:r>
              <w:rPr/>
              <w:t xml:space="preserve">, </w:t>
            </w:r>
            <w:hyperlink r:id="rId9">
              <w:r>
                <w:rPr>
                  <w:rStyle w:val="InternetLink"/>
                </w:rPr>
                <w:t>March  29, 2023</w:t>
              </w:r>
            </w:hyperlink>
            <w:r>
              <w:rPr/>
              <w:t xml:space="preserve">, </w:t>
            </w:r>
            <w:hyperlink r:id="rId10">
              <w:r>
                <w:rPr>
                  <w:rStyle w:val="InternetLink"/>
                </w:rPr>
                <w:t>May  1, 2023</w:t>
              </w:r>
            </w:hyperlink>
            <w:r>
              <w:rPr/>
              <w:t xml:space="preserve">, </w:t>
            </w:r>
            <w:hyperlink r:id="rId11">
              <w:r>
                <w:rPr>
                  <w:rStyle w:val="InternetLink"/>
                </w:rPr>
                <w:t>June  14, 2023</w:t>
              </w:r>
            </w:hyperlink>
            <w:r>
              <w:rPr/>
              <w:t xml:space="preserve"> and </w:t>
            </w:r>
            <w:hyperlink r:id="rId12">
              <w:r>
                <w:rPr>
                  <w:rStyle w:val="InternetLink"/>
                </w:rPr>
                <w:t>July 24, 2023</w:t>
              </w:r>
            </w:hyperlink>
            <w:r>
              <w:rPr/>
              <w:t xml:space="preserve"> (in each case, except for information contained therein which is furnished rather than filed); and</w:t>
            </w:r>
          </w:p>
        </w:tc>
      </w:tr>
      <w:tr>
        <w:trPr>
          <w:trHeight w:val="120" w:hRule="atLeast"/>
        </w:trPr>
        <w:tc>
          <w:tcPr>
            <w:tcW w:w="238" w:type="dxa"/>
            <w:tcBorders/>
            <w:vAlign w:val="center"/>
          </w:tcPr>
          <w:p>
            <w:pPr>
              <w:pStyle w:val="TableContents"/>
              <w:bidi w:val="0"/>
              <w:spacing w:before="0" w:after="283"/>
              <w:jc w:val="left"/>
              <w:rPr>
                <w:sz w:val="4"/>
                <w:szCs w:val="4"/>
              </w:rPr>
            </w:pPr>
            <w:r>
              <w:rPr>
                <w:sz w:val="4"/>
                <w:szCs w:val="4"/>
              </w:rPr>
            </w:r>
          </w:p>
        </w:tc>
        <w:tc>
          <w:tcPr>
            <w:tcW w:w="9967" w:type="dxa"/>
            <w:gridSpan w:val="2"/>
            <w:tcBorders/>
            <w:vAlign w:val="center"/>
          </w:tcPr>
          <w:p>
            <w:pPr>
              <w:pStyle w:val="TableContents"/>
              <w:bidi w:val="0"/>
              <w:spacing w:before="0" w:after="283"/>
              <w:jc w:val="left"/>
              <w:rPr>
                <w:sz w:val="4"/>
                <w:szCs w:val="4"/>
              </w:rPr>
            </w:pPr>
            <w:r>
              <w:rPr>
                <w:sz w:val="4"/>
                <w:szCs w:val="4"/>
              </w:rPr>
            </w:r>
          </w:p>
        </w:tc>
      </w:tr>
      <w:tr>
        <w:trPr/>
        <w:tc>
          <w:tcPr>
            <w:tcW w:w="238" w:type="dxa"/>
            <w:tcBorders/>
          </w:tcPr>
          <w:p>
            <w:pPr>
              <w:pStyle w:val="TableContents"/>
              <w:bidi w:val="0"/>
              <w:spacing w:before="0" w:after="283"/>
              <w:jc w:val="left"/>
              <w:rPr/>
            </w:pPr>
            <w:r>
              <w:rPr/>
              <w:t>(d)</w:t>
            </w:r>
          </w:p>
        </w:tc>
        <w:tc>
          <w:tcPr>
            <w:tcW w:w="121" w:type="dxa"/>
            <w:tcBorders/>
            <w:vAlign w:val="bottom"/>
          </w:tcPr>
          <w:p>
            <w:pPr>
              <w:pStyle w:val="TableContents"/>
              <w:bidi w:val="0"/>
              <w:spacing w:before="0" w:after="283"/>
              <w:jc w:val="left"/>
              <w:rPr/>
            </w:pPr>
            <w:r>
              <w:rPr/>
              <w:t>  </w:t>
            </w:r>
          </w:p>
        </w:tc>
        <w:tc>
          <w:tcPr>
            <w:tcW w:w="9846" w:type="dxa"/>
            <w:tcBorders/>
            <w:vAlign w:val="bottom"/>
          </w:tcPr>
          <w:p>
            <w:pPr>
              <w:pStyle w:val="TableContents"/>
              <w:bidi w:val="0"/>
              <w:spacing w:before="0" w:after="283"/>
              <w:jc w:val="left"/>
              <w:rPr/>
            </w:pPr>
            <w:r>
              <w:rPr/>
              <w:t xml:space="preserve">The description of the registrants common stock which is registered under Section 12 of the Securities Exchange Act of 1934, as amended (the Exchange Act), contained in the registrants registration statement on </w:t>
            </w:r>
            <w:hyperlink r:id="rId13">
              <w:r>
                <w:rPr>
                  <w:rStyle w:val="InternetLink"/>
                </w:rPr>
                <w:t>Form 8-A</w:t>
              </w:r>
            </w:hyperlink>
            <w:r>
              <w:rPr/>
              <w:t xml:space="preserve"> (Registration No. 001-40335) filed by the registrant with the SEC on April 14, 2021 and as set forth by the description of the Registrants capital stock set forth in </w:t>
            </w:r>
            <w:hyperlink r:id="rId14">
              <w:r>
                <w:rPr>
                  <w:rStyle w:val="InternetLink"/>
                </w:rPr>
                <w:t>Exhibit 4.4</w:t>
              </w:r>
            </w:hyperlink>
            <w:r>
              <w:rPr/>
              <w:t xml:space="preserve"> to the Registrants Quarterly Report on </w:t>
            </w:r>
            <w:hyperlink r:id="rId15">
              <w:r>
                <w:rPr>
                  <w:rStyle w:val="InternetLink"/>
                </w:rPr>
                <w:t>Form 10-Q</w:t>
              </w:r>
            </w:hyperlink>
            <w:r>
              <w:rPr/>
              <w:t xml:space="preserve"> for the quarter ended March 31, 2021, in each case, including any amendments or reports filed for the purpose of updating such description.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that the Registrant subsequently files pursuant to Sections 13(a), 13(c), 14 and 15(d) of the Exchange Act prior to the filing of a post-effective amendment to the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 except as to any portion of any future annual or quarterly report to stockholders or document or current report furnished under current Items 2.02 or 7.01 of Form 8-K, and exhibits furnished on such form that relate to such items, that is not deemed filed under such provisions. 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Under no circumstances will any information filed under current Items 2.02 or 7.01 of Form 8-K, and exhibits furnished on such form that relate to such items, be deemed incorporated herein by reference unless such Form 8-K expressly provides to the contrary. </w:t>
      </w:r>
    </w:p>
    <w:p>
      <w:pPr>
        <w:pStyle w:val="TextBody"/>
        <w:bidi w:val="0"/>
        <w:spacing w:before="360" w:after="0"/>
        <w:jc w:val="left"/>
        <w:rPr>
          <w:rFonts w:ascii="Times New Roman" w:hAnsi="Times New Roman"/>
          <w:b/>
          <w:sz w:val="20"/>
        </w:rPr>
      </w:pPr>
      <w:r>
        <w:rPr>
          <w:rFonts w:ascii="Times New Roman" w:hAnsi="Times New Roman"/>
          <w:b/>
          <w:sz w:val="20"/>
        </w:rPr>
        <w:t xml:space="preserve">Item 4. </w:t>
      </w:r>
      <w:r>
        <w:rPr>
          <w:rFonts w:ascii="Times New Roman" w:hAnsi="Times New Roman"/>
          <w:b/>
          <w:sz w:val="20"/>
          <w:u w:val="single"/>
        </w:rPr>
        <w:t>Description of Securities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5. </w:t>
      </w:r>
      <w:r>
        <w:rPr>
          <w:rFonts w:ascii="Times New Roman" w:hAnsi="Times New Roman"/>
          <w:b/>
          <w:sz w:val="20"/>
          <w:u w:val="single"/>
        </w:rPr>
        <w:t>Interests of Named Experts and Counsel</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r>
        <w:rPr>
          <w:rFonts w:ascii="Times New Roman" w:hAnsi="Times New Roman"/>
          <w:b/>
          <w:sz w:val="20"/>
        </w:rPr>
        <w:t xml:space="preserve">Item 6. </w:t>
      </w:r>
      <w:r>
        <w:rPr>
          <w:rFonts w:ascii="Times New Roman" w:hAnsi="Times New Roman"/>
          <w:b/>
          <w:sz w:val="20"/>
          <w:u w:val="single"/>
        </w:rPr>
        <w:t>Indemnification of Directors and Officers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permitted by Section 102 of the Delaware General Corporation Law, we have adopted provisions in our amended and restated certificate of incorporation (the Certificate of Incorporation) filed with the Secretary of State of the State of Delaware and our amended and restated bylaws (the Bylaws) that will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related to unlawful stock repurchases, redemptions or other distributions or payment of dividends;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of liability do not affect the availability of equitable remedies such as injunctive relief or rescission. Our Certificate of Incorporation also authorizes us to indemnify our officers, directors and other agents to the fullest extent permitted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Section 145 of the Delaware General Corporation Law, our Bylaws provide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shall indemnify our directors and officers to the fullest extent permitted by the Delaware General Corporation Law, subject to limited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indemnify our employees and agents to the fullest extent permitted by the Delaware General Corporation Law, subject to limited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shall advance expenses to our directors and officers and may advance expenses of our employees and agents in connection with a legal proceeding to the fullest extent permitted by the Delaware General Corporation Law, subject to limited exceptions;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provided in our Bylaws are not exclusive.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and our Bylaws provide for the indemnification provisions described above. We have entered into separate indemnification agreements with our directors and officers which may be broader than the specific indemnification provisions contained in the Delaware General Corporation Law.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 of 1933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Item 7. </w:t>
      </w:r>
      <w:r>
        <w:rPr>
          <w:rFonts w:ascii="Times New Roman" w:hAnsi="Times New Roman"/>
          <w:b/>
          <w:sz w:val="20"/>
          <w:u w:val="single"/>
        </w:rPr>
        <w:t>Exemption from Registration Claimed</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 </w:t>
      </w:r>
      <w:r>
        <w:rPr>
          <w:rFonts w:ascii="Times New Roman" w:hAnsi="Times New Roman"/>
          <w:b/>
          <w:sz w:val="20"/>
          <w:u w:val="single"/>
        </w:rPr>
        <w:t>Exhibits</w:t>
      </w:r>
      <w:r>
        <w:rPr>
          <w:rFonts w:ascii="Times New Roman" w:hAnsi="Times New Roman"/>
          <w:b/>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4"/>
        <w:gridCol w:w="156"/>
        <w:gridCol w:w="4773"/>
        <w:gridCol w:w="205"/>
        <w:gridCol w:w="71"/>
        <w:gridCol w:w="530"/>
        <w:gridCol w:w="60"/>
        <w:gridCol w:w="205"/>
        <w:gridCol w:w="71"/>
        <w:gridCol w:w="511"/>
        <w:gridCol w:w="60"/>
        <w:gridCol w:w="204"/>
        <w:gridCol w:w="105"/>
        <w:gridCol w:w="789"/>
        <w:gridCol w:w="60"/>
        <w:gridCol w:w="205"/>
        <w:gridCol w:w="60"/>
        <w:gridCol w:w="229"/>
        <w:gridCol w:w="60"/>
        <w:gridCol w:w="205"/>
        <w:gridCol w:w="160"/>
        <w:gridCol w:w="543"/>
        <w:gridCol w:w="69"/>
      </w:tblGrid>
      <w:tr>
        <w:trPr/>
        <w:tc>
          <w:tcPr>
            <w:tcW w:w="874"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4773"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874" w:type="dxa"/>
            <w:vMerge w:val="restart"/>
            <w:tcBorders/>
            <w:vAlign w:val="bottom"/>
          </w:tcPr>
          <w:p>
            <w:pPr>
              <w:pStyle w:val="TableContents"/>
              <w:bidi w:val="0"/>
              <w:spacing w:before="0" w:after="283"/>
              <w:jc w:val="center"/>
              <w:rPr>
                <w:b/>
              </w:rPr>
            </w:pPr>
            <w:r>
              <w:rPr>
                <w:b/>
              </w:rPr>
              <w:t xml:space="preserve">Exhibit </w:t>
              <w:br/>
              <w:t>Number</w:t>
            </w:r>
          </w:p>
        </w:tc>
        <w:tc>
          <w:tcPr>
            <w:tcW w:w="156" w:type="dxa"/>
            <w:tcBorders/>
            <w:vAlign w:val="bottom"/>
          </w:tcPr>
          <w:p>
            <w:pPr>
              <w:pStyle w:val="TableContents"/>
              <w:bidi w:val="0"/>
              <w:spacing w:before="0" w:after="283"/>
              <w:jc w:val="left"/>
              <w:rPr/>
            </w:pPr>
            <w:r>
              <w:rPr/>
              <w:t> </w:t>
            </w:r>
          </w:p>
        </w:tc>
        <w:tc>
          <w:tcPr>
            <w:tcW w:w="4773" w:type="dxa"/>
            <w:tcBorders/>
            <w:vAlign w:val="bottom"/>
          </w:tcPr>
          <w:p>
            <w:pPr>
              <w:pStyle w:val="TableContents"/>
              <w:pBdr>
                <w:bottom w:val="single" w:sz="8" w:space="1" w:color="000000"/>
              </w:pBdr>
              <w:bidi w:val="0"/>
              <w:spacing w:before="0" w:after="0"/>
              <w:jc w:val="left"/>
              <w:rPr/>
            </w:pPr>
            <w:r>
              <w:rPr/>
              <w:t> </w:t>
            </w:r>
          </w:p>
        </w:tc>
        <w:tc>
          <w:tcPr>
            <w:tcW w:w="205" w:type="dxa"/>
            <w:tcBorders/>
            <w:vAlign w:val="bottom"/>
          </w:tcPr>
          <w:p>
            <w:pPr>
              <w:pStyle w:val="TableContents"/>
              <w:bidi w:val="0"/>
              <w:spacing w:before="0" w:after="283"/>
              <w:jc w:val="left"/>
              <w:rPr/>
            </w:pPr>
            <w:r>
              <w:rPr/>
              <w:t>  </w:t>
            </w:r>
          </w:p>
        </w:tc>
        <w:tc>
          <w:tcPr>
            <w:tcW w:w="260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Incorporated by Reference</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2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03"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Filed</w:t>
            </w:r>
          </w:p>
          <w:p>
            <w:pPr>
              <w:pStyle w:val="TableContents"/>
              <w:bidi w:val="0"/>
              <w:spacing w:before="0" w:after="20"/>
              <w:jc w:val="center"/>
              <w:rPr>
                <w:rFonts w:ascii="Times New Roman" w:hAnsi="Times New Roman"/>
                <w:b/>
                <w:sz w:val="16"/>
              </w:rPr>
            </w:pPr>
            <w:r>
              <w:rPr>
                <w:rFonts w:ascii="Times New Roman" w:hAnsi="Times New Roman"/>
                <w:b/>
                <w:sz w:val="16"/>
              </w:rPr>
              <w:t>Herewith</w:t>
            </w:r>
          </w:p>
        </w:tc>
        <w:tc>
          <w:tcPr>
            <w:tcW w:w="69" w:type="dxa"/>
            <w:tcBorders/>
            <w:vAlign w:val="bottom"/>
          </w:tcPr>
          <w:p>
            <w:pPr>
              <w:pStyle w:val="TableContents"/>
              <w:bidi w:val="0"/>
              <w:spacing w:before="0" w:after="283"/>
              <w:jc w:val="left"/>
              <w:rPr/>
            </w:pPr>
            <w:r>
              <w:rPr/>
              <w:t> </w:t>
            </w:r>
          </w:p>
        </w:tc>
      </w:tr>
      <w:tr>
        <w:trPr/>
        <w:tc>
          <w:tcPr>
            <w:tcW w:w="874" w:type="dxa"/>
            <w:vMerge w:val="continue"/>
            <w:tcBorders/>
            <w:vAlign w:val="bottom"/>
          </w:tcPr>
          <w:p>
            <w:pPr>
              <w:pStyle w:val="Normal"/>
              <w:bidi w:val="0"/>
              <w:jc w:val="left"/>
              <w:rPr/>
            </w:pPr>
            <w:r>
              <w:rPr/>
            </w:r>
          </w:p>
        </w:tc>
        <w:tc>
          <w:tcPr>
            <w:tcW w:w="156" w:type="dxa"/>
            <w:tcBorders/>
            <w:vAlign w:val="bottom"/>
          </w:tcPr>
          <w:p>
            <w:pPr>
              <w:pStyle w:val="TableContents"/>
              <w:bidi w:val="0"/>
              <w:spacing w:before="0" w:after="283"/>
              <w:jc w:val="left"/>
              <w:rPr/>
            </w:pPr>
            <w:r>
              <w:rPr/>
              <w:t> </w:t>
            </w:r>
          </w:p>
        </w:tc>
        <w:tc>
          <w:tcPr>
            <w:tcW w:w="47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 Description</w:t>
            </w:r>
          </w:p>
        </w:tc>
        <w:tc>
          <w:tcPr>
            <w:tcW w:w="205" w:type="dxa"/>
            <w:tcBorders/>
            <w:vAlign w:val="bottom"/>
          </w:tcPr>
          <w:p>
            <w:pPr>
              <w:pStyle w:val="TableContents"/>
              <w:bidi w:val="0"/>
              <w:spacing w:before="0" w:after="283"/>
              <w:jc w:val="left"/>
              <w:rPr/>
            </w:pPr>
            <w:r>
              <w:rPr/>
              <w:t>  </w:t>
            </w:r>
          </w:p>
        </w:tc>
        <w:tc>
          <w:tcPr>
            <w:tcW w:w="6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5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Date</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2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03" w:type="dxa"/>
            <w:gridSpan w:val="2"/>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29" w:type="dxa"/>
            <w:gridSpan w:val="2"/>
            <w:tcBorders/>
            <w:vAlign w:val="center"/>
          </w:tcPr>
          <w:p>
            <w:pPr>
              <w:pStyle w:val="TableContents"/>
              <w:bidi w:val="0"/>
              <w:spacing w:before="0" w:after="283"/>
              <w:jc w:val="left"/>
              <w:rPr>
                <w:sz w:val="4"/>
                <w:szCs w:val="4"/>
              </w:rPr>
            </w:pPr>
            <w:r>
              <w:rPr>
                <w:sz w:val="4"/>
                <w:szCs w:val="4"/>
              </w:rPr>
            </w:r>
          </w:p>
        </w:tc>
        <w:tc>
          <w:tcPr>
            <w:tcW w:w="866" w:type="dxa"/>
            <w:gridSpan w:val="4"/>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c>
          <w:tcPr>
            <w:tcW w:w="977" w:type="dxa"/>
            <w:gridSpan w:val="4"/>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4.1</w:t>
            </w:r>
          </w:p>
        </w:tc>
        <w:tc>
          <w:tcPr>
            <w:tcW w:w="156" w:type="dxa"/>
            <w:tcBorders/>
            <w:vAlign w:val="bottom"/>
          </w:tcPr>
          <w:p>
            <w:pPr>
              <w:pStyle w:val="TableContents"/>
              <w:bidi w:val="0"/>
              <w:spacing w:before="0" w:after="283"/>
              <w:jc w:val="left"/>
              <w:rPr/>
            </w:pPr>
            <w:r>
              <w:rPr/>
              <w:t> </w:t>
            </w:r>
          </w:p>
        </w:tc>
        <w:tc>
          <w:tcPr>
            <w:tcW w:w="4773" w:type="dxa"/>
            <w:tcBorders/>
          </w:tcPr>
          <w:p>
            <w:pPr>
              <w:pStyle w:val="TableContents"/>
              <w:bidi w:val="0"/>
              <w:spacing w:before="0" w:after="283"/>
              <w:jc w:val="left"/>
              <w:rPr/>
            </w:pPr>
            <w:hyperlink r:id="rId16">
              <w:r>
                <w:rPr>
                  <w:rStyle w:val="InternetLink"/>
                </w:rPr>
                <w:t xml:space="preserve">Amended and Restated Certificate of Incorporation. </w:t>
              </w:r>
            </w:hyperlink>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t>4/20/21</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54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29" w:type="dxa"/>
            <w:gridSpan w:val="2"/>
            <w:tcBorders/>
            <w:vAlign w:val="center"/>
          </w:tcPr>
          <w:p>
            <w:pPr>
              <w:pStyle w:val="TableContents"/>
              <w:bidi w:val="0"/>
              <w:spacing w:before="0" w:after="283"/>
              <w:jc w:val="left"/>
              <w:rPr>
                <w:sz w:val="4"/>
                <w:szCs w:val="4"/>
              </w:rPr>
            </w:pPr>
            <w:r>
              <w:rPr>
                <w:sz w:val="4"/>
                <w:szCs w:val="4"/>
              </w:rPr>
            </w:r>
          </w:p>
        </w:tc>
        <w:tc>
          <w:tcPr>
            <w:tcW w:w="866" w:type="dxa"/>
            <w:gridSpan w:val="4"/>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c>
          <w:tcPr>
            <w:tcW w:w="977" w:type="dxa"/>
            <w:gridSpan w:val="4"/>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4.2</w:t>
            </w:r>
          </w:p>
        </w:tc>
        <w:tc>
          <w:tcPr>
            <w:tcW w:w="156" w:type="dxa"/>
            <w:tcBorders/>
            <w:vAlign w:val="bottom"/>
          </w:tcPr>
          <w:p>
            <w:pPr>
              <w:pStyle w:val="TableContents"/>
              <w:bidi w:val="0"/>
              <w:spacing w:before="0" w:after="283"/>
              <w:jc w:val="left"/>
              <w:rPr/>
            </w:pPr>
            <w:r>
              <w:rPr/>
              <w:t> </w:t>
            </w:r>
          </w:p>
        </w:tc>
        <w:tc>
          <w:tcPr>
            <w:tcW w:w="4773" w:type="dxa"/>
            <w:tcBorders/>
          </w:tcPr>
          <w:p>
            <w:pPr>
              <w:pStyle w:val="TableContents"/>
              <w:bidi w:val="0"/>
              <w:spacing w:before="0" w:after="283"/>
              <w:jc w:val="left"/>
              <w:rPr/>
            </w:pPr>
            <w:hyperlink r:id="rId17">
              <w:r>
                <w:rPr>
                  <w:rStyle w:val="InternetLink"/>
                </w:rPr>
                <w:t xml:space="preserve">Amended and Restated Bylaws. </w:t>
              </w:r>
            </w:hyperlink>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t>4/20/21</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54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29" w:type="dxa"/>
            <w:gridSpan w:val="2"/>
            <w:tcBorders/>
            <w:vAlign w:val="center"/>
          </w:tcPr>
          <w:p>
            <w:pPr>
              <w:pStyle w:val="TableContents"/>
              <w:bidi w:val="0"/>
              <w:spacing w:before="0" w:after="283"/>
              <w:jc w:val="left"/>
              <w:rPr>
                <w:sz w:val="4"/>
                <w:szCs w:val="4"/>
              </w:rPr>
            </w:pPr>
            <w:r>
              <w:rPr>
                <w:sz w:val="4"/>
                <w:szCs w:val="4"/>
              </w:rPr>
            </w:r>
          </w:p>
        </w:tc>
        <w:tc>
          <w:tcPr>
            <w:tcW w:w="866" w:type="dxa"/>
            <w:gridSpan w:val="4"/>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c>
          <w:tcPr>
            <w:tcW w:w="977" w:type="dxa"/>
            <w:gridSpan w:val="4"/>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4.3</w:t>
            </w:r>
          </w:p>
        </w:tc>
        <w:tc>
          <w:tcPr>
            <w:tcW w:w="156" w:type="dxa"/>
            <w:tcBorders/>
            <w:vAlign w:val="bottom"/>
          </w:tcPr>
          <w:p>
            <w:pPr>
              <w:pStyle w:val="TableContents"/>
              <w:bidi w:val="0"/>
              <w:spacing w:before="0" w:after="283"/>
              <w:jc w:val="left"/>
              <w:rPr/>
            </w:pPr>
            <w:r>
              <w:rPr/>
              <w:t> </w:t>
            </w:r>
          </w:p>
        </w:tc>
        <w:tc>
          <w:tcPr>
            <w:tcW w:w="4773" w:type="dxa"/>
            <w:tcBorders/>
          </w:tcPr>
          <w:p>
            <w:pPr>
              <w:pStyle w:val="TableContents"/>
              <w:bidi w:val="0"/>
              <w:spacing w:before="0" w:after="283"/>
              <w:jc w:val="left"/>
              <w:rPr/>
            </w:pPr>
            <w:hyperlink r:id="rId18">
              <w:r>
                <w:rPr>
                  <w:rStyle w:val="InternetLink"/>
                </w:rPr>
                <w:t xml:space="preserve">Form of Common Stock Certificate. </w:t>
              </w:r>
            </w:hyperlink>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S-1/A</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t>4/12/21</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54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29" w:type="dxa"/>
            <w:gridSpan w:val="2"/>
            <w:tcBorders/>
            <w:vAlign w:val="center"/>
          </w:tcPr>
          <w:p>
            <w:pPr>
              <w:pStyle w:val="TableContents"/>
              <w:bidi w:val="0"/>
              <w:spacing w:before="0" w:after="283"/>
              <w:jc w:val="left"/>
              <w:rPr>
                <w:sz w:val="4"/>
                <w:szCs w:val="4"/>
              </w:rPr>
            </w:pPr>
            <w:r>
              <w:rPr>
                <w:sz w:val="4"/>
                <w:szCs w:val="4"/>
              </w:rPr>
            </w:r>
          </w:p>
        </w:tc>
        <w:tc>
          <w:tcPr>
            <w:tcW w:w="866" w:type="dxa"/>
            <w:gridSpan w:val="4"/>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c>
          <w:tcPr>
            <w:tcW w:w="977" w:type="dxa"/>
            <w:gridSpan w:val="4"/>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5.1</w:t>
            </w:r>
          </w:p>
        </w:tc>
        <w:tc>
          <w:tcPr>
            <w:tcW w:w="156" w:type="dxa"/>
            <w:tcBorders/>
            <w:vAlign w:val="bottom"/>
          </w:tcPr>
          <w:p>
            <w:pPr>
              <w:pStyle w:val="TableContents"/>
              <w:bidi w:val="0"/>
              <w:spacing w:before="0" w:after="283"/>
              <w:jc w:val="left"/>
              <w:rPr/>
            </w:pPr>
            <w:r>
              <w:rPr/>
              <w:t> </w:t>
            </w:r>
          </w:p>
        </w:tc>
        <w:tc>
          <w:tcPr>
            <w:tcW w:w="4773" w:type="dxa"/>
            <w:tcBorders/>
          </w:tcPr>
          <w:p>
            <w:pPr>
              <w:pStyle w:val="TableContents"/>
              <w:bidi w:val="0"/>
              <w:spacing w:before="0" w:after="283"/>
              <w:jc w:val="left"/>
              <w:rPr/>
            </w:pPr>
            <w:hyperlink w:anchor="d701282dex51.htm">
              <w:r>
                <w:rPr>
                  <w:rStyle w:val="InternetLink"/>
                </w:rPr>
                <w:t xml:space="preserve">Opinion of Goodwin Procter LLP. </w:t>
              </w:r>
            </w:hyperlink>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X</w:t>
            </w:r>
          </w:p>
        </w:tc>
        <w:tc>
          <w:tcPr>
            <w:tcW w:w="69" w:type="dxa"/>
            <w:tcBorders/>
            <w:vAlign w:val="bottom"/>
          </w:tcPr>
          <w:p>
            <w:pPr>
              <w:pStyle w:val="TableContents"/>
              <w:bidi w:val="0"/>
              <w:spacing w:before="0" w:after="283"/>
              <w:jc w:val="left"/>
              <w:rPr/>
            </w:pPr>
            <w:r>
              <w:rPr/>
              <w:t> </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29" w:type="dxa"/>
            <w:gridSpan w:val="2"/>
            <w:tcBorders/>
            <w:vAlign w:val="center"/>
          </w:tcPr>
          <w:p>
            <w:pPr>
              <w:pStyle w:val="TableContents"/>
              <w:bidi w:val="0"/>
              <w:spacing w:before="0" w:after="283"/>
              <w:jc w:val="left"/>
              <w:rPr>
                <w:sz w:val="4"/>
                <w:szCs w:val="4"/>
              </w:rPr>
            </w:pPr>
            <w:r>
              <w:rPr>
                <w:sz w:val="4"/>
                <w:szCs w:val="4"/>
              </w:rPr>
            </w:r>
          </w:p>
        </w:tc>
        <w:tc>
          <w:tcPr>
            <w:tcW w:w="866" w:type="dxa"/>
            <w:gridSpan w:val="4"/>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c>
          <w:tcPr>
            <w:tcW w:w="977" w:type="dxa"/>
            <w:gridSpan w:val="4"/>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23.1</w:t>
            </w:r>
          </w:p>
        </w:tc>
        <w:tc>
          <w:tcPr>
            <w:tcW w:w="156" w:type="dxa"/>
            <w:tcBorders/>
            <w:vAlign w:val="bottom"/>
          </w:tcPr>
          <w:p>
            <w:pPr>
              <w:pStyle w:val="TableContents"/>
              <w:bidi w:val="0"/>
              <w:spacing w:before="0" w:after="283"/>
              <w:jc w:val="left"/>
              <w:rPr/>
            </w:pPr>
            <w:r>
              <w:rPr/>
              <w:t> </w:t>
            </w:r>
          </w:p>
        </w:tc>
        <w:tc>
          <w:tcPr>
            <w:tcW w:w="4773" w:type="dxa"/>
            <w:tcBorders/>
          </w:tcPr>
          <w:p>
            <w:pPr>
              <w:pStyle w:val="TableContents"/>
              <w:bidi w:val="0"/>
              <w:spacing w:before="0" w:after="283"/>
              <w:jc w:val="left"/>
              <w:rPr/>
            </w:pPr>
            <w:hyperlink w:anchor="d701282dex231.htm">
              <w:r>
                <w:rPr>
                  <w:rStyle w:val="InternetLink"/>
                </w:rPr>
                <w:t xml:space="preserve">Consent of Independent Registered Public Accounting Firm. </w:t>
              </w:r>
            </w:hyperlink>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X</w:t>
            </w:r>
          </w:p>
        </w:tc>
        <w:tc>
          <w:tcPr>
            <w:tcW w:w="69" w:type="dxa"/>
            <w:tcBorders/>
            <w:vAlign w:val="bottom"/>
          </w:tcPr>
          <w:p>
            <w:pPr>
              <w:pStyle w:val="TableContents"/>
              <w:bidi w:val="0"/>
              <w:spacing w:before="0" w:after="283"/>
              <w:jc w:val="left"/>
              <w:rPr/>
            </w:pPr>
            <w:r>
              <w:rPr/>
              <w:t> </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29" w:type="dxa"/>
            <w:gridSpan w:val="2"/>
            <w:tcBorders/>
            <w:vAlign w:val="center"/>
          </w:tcPr>
          <w:p>
            <w:pPr>
              <w:pStyle w:val="TableContents"/>
              <w:bidi w:val="0"/>
              <w:spacing w:before="0" w:after="283"/>
              <w:jc w:val="left"/>
              <w:rPr>
                <w:sz w:val="4"/>
                <w:szCs w:val="4"/>
              </w:rPr>
            </w:pPr>
            <w:r>
              <w:rPr>
                <w:sz w:val="4"/>
                <w:szCs w:val="4"/>
              </w:rPr>
            </w:r>
          </w:p>
        </w:tc>
        <w:tc>
          <w:tcPr>
            <w:tcW w:w="866" w:type="dxa"/>
            <w:gridSpan w:val="4"/>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c>
          <w:tcPr>
            <w:tcW w:w="977" w:type="dxa"/>
            <w:gridSpan w:val="4"/>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23.2</w:t>
            </w:r>
          </w:p>
        </w:tc>
        <w:tc>
          <w:tcPr>
            <w:tcW w:w="156" w:type="dxa"/>
            <w:tcBorders/>
            <w:vAlign w:val="bottom"/>
          </w:tcPr>
          <w:p>
            <w:pPr>
              <w:pStyle w:val="TableContents"/>
              <w:bidi w:val="0"/>
              <w:spacing w:before="0" w:after="283"/>
              <w:jc w:val="left"/>
              <w:rPr/>
            </w:pPr>
            <w:r>
              <w:rPr/>
              <w:t> </w:t>
            </w:r>
          </w:p>
        </w:tc>
        <w:tc>
          <w:tcPr>
            <w:tcW w:w="4773" w:type="dxa"/>
            <w:tcBorders/>
          </w:tcPr>
          <w:p>
            <w:pPr>
              <w:pStyle w:val="TableContents"/>
              <w:bidi w:val="0"/>
              <w:spacing w:before="0" w:after="283"/>
              <w:jc w:val="left"/>
              <w:rPr/>
            </w:pPr>
            <w:hyperlink w:anchor="d701282dex51.htm">
              <w:r>
                <w:rPr>
                  <w:rStyle w:val="InternetLink"/>
                </w:rPr>
                <w:t xml:space="preserve">Consent of Goodwin Procter LLP (included in Exhibit 5.1). </w:t>
              </w:r>
            </w:hyperlink>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X</w:t>
            </w:r>
          </w:p>
        </w:tc>
        <w:tc>
          <w:tcPr>
            <w:tcW w:w="69" w:type="dxa"/>
            <w:tcBorders/>
            <w:vAlign w:val="bottom"/>
          </w:tcPr>
          <w:p>
            <w:pPr>
              <w:pStyle w:val="TableContents"/>
              <w:bidi w:val="0"/>
              <w:spacing w:before="0" w:after="283"/>
              <w:jc w:val="left"/>
              <w:rPr/>
            </w:pPr>
            <w:r>
              <w:rPr/>
              <w:t> </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29" w:type="dxa"/>
            <w:gridSpan w:val="2"/>
            <w:tcBorders/>
            <w:vAlign w:val="center"/>
          </w:tcPr>
          <w:p>
            <w:pPr>
              <w:pStyle w:val="TableContents"/>
              <w:bidi w:val="0"/>
              <w:spacing w:before="0" w:after="283"/>
              <w:jc w:val="left"/>
              <w:rPr>
                <w:sz w:val="4"/>
                <w:szCs w:val="4"/>
              </w:rPr>
            </w:pPr>
            <w:r>
              <w:rPr>
                <w:sz w:val="4"/>
                <w:szCs w:val="4"/>
              </w:rPr>
            </w:r>
          </w:p>
        </w:tc>
        <w:tc>
          <w:tcPr>
            <w:tcW w:w="866" w:type="dxa"/>
            <w:gridSpan w:val="4"/>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c>
          <w:tcPr>
            <w:tcW w:w="977" w:type="dxa"/>
            <w:gridSpan w:val="4"/>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24.1</w:t>
            </w:r>
          </w:p>
        </w:tc>
        <w:tc>
          <w:tcPr>
            <w:tcW w:w="156" w:type="dxa"/>
            <w:tcBorders/>
            <w:vAlign w:val="bottom"/>
          </w:tcPr>
          <w:p>
            <w:pPr>
              <w:pStyle w:val="TableContents"/>
              <w:bidi w:val="0"/>
              <w:spacing w:before="0" w:after="283"/>
              <w:jc w:val="left"/>
              <w:rPr/>
            </w:pPr>
            <w:r>
              <w:rPr/>
              <w:t> </w:t>
            </w:r>
          </w:p>
        </w:tc>
        <w:tc>
          <w:tcPr>
            <w:tcW w:w="4773" w:type="dxa"/>
            <w:tcBorders/>
          </w:tcPr>
          <w:p>
            <w:pPr>
              <w:pStyle w:val="TableContents"/>
              <w:bidi w:val="0"/>
              <w:spacing w:before="0" w:after="283"/>
              <w:jc w:val="left"/>
              <w:rPr/>
            </w:pPr>
            <w:hyperlink w:anchor="sig">
              <w:r>
                <w:rPr>
                  <w:rStyle w:val="InternetLink"/>
                </w:rPr>
                <w:t xml:space="preserve">Power of Attorney (included on signature page). </w:t>
              </w:r>
            </w:hyperlink>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X</w:t>
            </w:r>
          </w:p>
        </w:tc>
        <w:tc>
          <w:tcPr>
            <w:tcW w:w="69" w:type="dxa"/>
            <w:tcBorders/>
            <w:vAlign w:val="bottom"/>
          </w:tcPr>
          <w:p>
            <w:pPr>
              <w:pStyle w:val="TableContents"/>
              <w:bidi w:val="0"/>
              <w:spacing w:before="0" w:after="283"/>
              <w:jc w:val="left"/>
              <w:rPr/>
            </w:pPr>
            <w:r>
              <w:rPr/>
              <w:t> </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29" w:type="dxa"/>
            <w:gridSpan w:val="2"/>
            <w:tcBorders/>
            <w:vAlign w:val="center"/>
          </w:tcPr>
          <w:p>
            <w:pPr>
              <w:pStyle w:val="TableContents"/>
              <w:bidi w:val="0"/>
              <w:spacing w:before="0" w:after="283"/>
              <w:jc w:val="left"/>
              <w:rPr>
                <w:sz w:val="4"/>
                <w:szCs w:val="4"/>
              </w:rPr>
            </w:pPr>
            <w:r>
              <w:rPr>
                <w:sz w:val="4"/>
                <w:szCs w:val="4"/>
              </w:rPr>
            </w:r>
          </w:p>
        </w:tc>
        <w:tc>
          <w:tcPr>
            <w:tcW w:w="866" w:type="dxa"/>
            <w:gridSpan w:val="4"/>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c>
          <w:tcPr>
            <w:tcW w:w="977" w:type="dxa"/>
            <w:gridSpan w:val="4"/>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99.1(a)</w:t>
            </w:r>
          </w:p>
        </w:tc>
        <w:tc>
          <w:tcPr>
            <w:tcW w:w="156" w:type="dxa"/>
            <w:tcBorders/>
            <w:vAlign w:val="bottom"/>
          </w:tcPr>
          <w:p>
            <w:pPr>
              <w:pStyle w:val="TableContents"/>
              <w:bidi w:val="0"/>
              <w:spacing w:before="0" w:after="283"/>
              <w:jc w:val="left"/>
              <w:rPr/>
            </w:pPr>
            <w:r>
              <w:rPr/>
              <w:t> </w:t>
            </w:r>
          </w:p>
        </w:tc>
        <w:tc>
          <w:tcPr>
            <w:tcW w:w="4773" w:type="dxa"/>
            <w:tcBorders/>
          </w:tcPr>
          <w:p>
            <w:pPr>
              <w:pStyle w:val="TableContents"/>
              <w:bidi w:val="0"/>
              <w:spacing w:before="0" w:after="283"/>
              <w:jc w:val="left"/>
              <w:rPr/>
            </w:pPr>
            <w:hyperlink r:id="rId19">
              <w:r>
                <w:rPr>
                  <w:rStyle w:val="InternetLink"/>
                </w:rPr>
                <w:t xml:space="preserve">2021 Incentive Award Plan. </w:t>
              </w:r>
            </w:hyperlink>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S-1</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t>4/12/21</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10.4</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(a)</w:t>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54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29" w:type="dxa"/>
            <w:gridSpan w:val="2"/>
            <w:tcBorders/>
            <w:vAlign w:val="center"/>
          </w:tcPr>
          <w:p>
            <w:pPr>
              <w:pStyle w:val="TableContents"/>
              <w:bidi w:val="0"/>
              <w:spacing w:before="0" w:after="283"/>
              <w:jc w:val="left"/>
              <w:rPr>
                <w:sz w:val="4"/>
                <w:szCs w:val="4"/>
              </w:rPr>
            </w:pPr>
            <w:r>
              <w:rPr>
                <w:sz w:val="4"/>
                <w:szCs w:val="4"/>
              </w:rPr>
            </w:r>
          </w:p>
        </w:tc>
        <w:tc>
          <w:tcPr>
            <w:tcW w:w="866" w:type="dxa"/>
            <w:gridSpan w:val="4"/>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c>
          <w:tcPr>
            <w:tcW w:w="977" w:type="dxa"/>
            <w:gridSpan w:val="4"/>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99.1(b)</w:t>
            </w:r>
          </w:p>
        </w:tc>
        <w:tc>
          <w:tcPr>
            <w:tcW w:w="156" w:type="dxa"/>
            <w:tcBorders/>
            <w:vAlign w:val="bottom"/>
          </w:tcPr>
          <w:p>
            <w:pPr>
              <w:pStyle w:val="TableContents"/>
              <w:bidi w:val="0"/>
              <w:spacing w:before="0" w:after="283"/>
              <w:jc w:val="left"/>
              <w:rPr/>
            </w:pPr>
            <w:r>
              <w:rPr/>
              <w:t> </w:t>
            </w:r>
          </w:p>
        </w:tc>
        <w:tc>
          <w:tcPr>
            <w:tcW w:w="4773" w:type="dxa"/>
            <w:tcBorders/>
          </w:tcPr>
          <w:p>
            <w:pPr>
              <w:pStyle w:val="TableContents"/>
              <w:bidi w:val="0"/>
              <w:spacing w:before="0" w:after="283"/>
              <w:jc w:val="left"/>
              <w:rPr/>
            </w:pPr>
            <w:hyperlink r:id="rId20">
              <w:r>
                <w:rPr>
                  <w:rStyle w:val="InternetLink"/>
                </w:rPr>
                <w:t xml:space="preserve">Form of Stock Award Grant Notice and Stock Award Agreement under the 2021 Incentive Award Plan. </w:t>
              </w:r>
            </w:hyperlink>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S-1</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t>4/12/21</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10.4</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(b)</w:t>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54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29" w:type="dxa"/>
            <w:gridSpan w:val="2"/>
            <w:tcBorders/>
            <w:vAlign w:val="center"/>
          </w:tcPr>
          <w:p>
            <w:pPr>
              <w:pStyle w:val="TableContents"/>
              <w:bidi w:val="0"/>
              <w:spacing w:before="0" w:after="283"/>
              <w:jc w:val="left"/>
              <w:rPr>
                <w:sz w:val="4"/>
                <w:szCs w:val="4"/>
              </w:rPr>
            </w:pPr>
            <w:r>
              <w:rPr>
                <w:sz w:val="4"/>
                <w:szCs w:val="4"/>
              </w:rPr>
            </w:r>
          </w:p>
        </w:tc>
        <w:tc>
          <w:tcPr>
            <w:tcW w:w="866" w:type="dxa"/>
            <w:gridSpan w:val="4"/>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c>
          <w:tcPr>
            <w:tcW w:w="977" w:type="dxa"/>
            <w:gridSpan w:val="4"/>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99.1(c)</w:t>
            </w:r>
          </w:p>
        </w:tc>
        <w:tc>
          <w:tcPr>
            <w:tcW w:w="156" w:type="dxa"/>
            <w:tcBorders/>
            <w:vAlign w:val="bottom"/>
          </w:tcPr>
          <w:p>
            <w:pPr>
              <w:pStyle w:val="TableContents"/>
              <w:bidi w:val="0"/>
              <w:spacing w:before="0" w:after="283"/>
              <w:jc w:val="left"/>
              <w:rPr/>
            </w:pPr>
            <w:r>
              <w:rPr/>
              <w:t> </w:t>
            </w:r>
          </w:p>
        </w:tc>
        <w:tc>
          <w:tcPr>
            <w:tcW w:w="4773" w:type="dxa"/>
            <w:tcBorders/>
          </w:tcPr>
          <w:p>
            <w:pPr>
              <w:pStyle w:val="TableContents"/>
              <w:bidi w:val="0"/>
              <w:spacing w:before="0" w:after="283"/>
              <w:jc w:val="left"/>
              <w:rPr/>
            </w:pPr>
            <w:hyperlink r:id="rId21">
              <w:r>
                <w:rPr>
                  <w:rStyle w:val="InternetLink"/>
                </w:rPr>
                <w:t xml:space="preserve">Form of Restricted Stock Award Grant Notice and Restricted Stock Award Agreement under the 2021 Incentive Award Plan. </w:t>
              </w:r>
            </w:hyperlink>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S-1</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t>4/12/21</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10.4</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(c)</w:t>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54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29" w:type="dxa"/>
            <w:gridSpan w:val="2"/>
            <w:tcBorders/>
            <w:vAlign w:val="center"/>
          </w:tcPr>
          <w:p>
            <w:pPr>
              <w:pStyle w:val="TableContents"/>
              <w:bidi w:val="0"/>
              <w:spacing w:before="0" w:after="283"/>
              <w:jc w:val="left"/>
              <w:rPr>
                <w:sz w:val="4"/>
                <w:szCs w:val="4"/>
              </w:rPr>
            </w:pPr>
            <w:r>
              <w:rPr>
                <w:sz w:val="4"/>
                <w:szCs w:val="4"/>
              </w:rPr>
            </w:r>
          </w:p>
        </w:tc>
        <w:tc>
          <w:tcPr>
            <w:tcW w:w="866" w:type="dxa"/>
            <w:gridSpan w:val="4"/>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c>
          <w:tcPr>
            <w:tcW w:w="977" w:type="dxa"/>
            <w:gridSpan w:val="4"/>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99.1(d)</w:t>
            </w:r>
          </w:p>
        </w:tc>
        <w:tc>
          <w:tcPr>
            <w:tcW w:w="156" w:type="dxa"/>
            <w:tcBorders/>
            <w:vAlign w:val="bottom"/>
          </w:tcPr>
          <w:p>
            <w:pPr>
              <w:pStyle w:val="TableContents"/>
              <w:bidi w:val="0"/>
              <w:spacing w:before="0" w:after="283"/>
              <w:jc w:val="left"/>
              <w:rPr/>
            </w:pPr>
            <w:r>
              <w:rPr/>
              <w:t> </w:t>
            </w:r>
          </w:p>
        </w:tc>
        <w:tc>
          <w:tcPr>
            <w:tcW w:w="4773" w:type="dxa"/>
            <w:tcBorders/>
          </w:tcPr>
          <w:p>
            <w:pPr>
              <w:pStyle w:val="TableContents"/>
              <w:bidi w:val="0"/>
              <w:spacing w:before="0" w:after="283"/>
              <w:jc w:val="left"/>
              <w:rPr/>
            </w:pPr>
            <w:hyperlink r:id="rId22">
              <w:r>
                <w:rPr>
                  <w:rStyle w:val="InternetLink"/>
                </w:rPr>
                <w:t xml:space="preserve">Form of Restricted Stock Unit Award Grant Notice and Restricted Stock Unit Award Agreement under the 2021 Incentive Award Plan. </w:t>
              </w:r>
            </w:hyperlink>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S-1</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t>4/12/21</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10.4</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right"/>
              <w:rPr/>
            </w:pPr>
            <w:r>
              <w:rPr/>
              <w:t>(d)</w:t>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54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29" w:type="dxa"/>
            <w:gridSpan w:val="2"/>
            <w:tcBorders/>
            <w:vAlign w:val="center"/>
          </w:tcPr>
          <w:p>
            <w:pPr>
              <w:pStyle w:val="TableContents"/>
              <w:bidi w:val="0"/>
              <w:spacing w:before="0" w:after="283"/>
              <w:jc w:val="left"/>
              <w:rPr>
                <w:sz w:val="4"/>
                <w:szCs w:val="4"/>
              </w:rPr>
            </w:pPr>
            <w:r>
              <w:rPr>
                <w:sz w:val="4"/>
                <w:szCs w:val="4"/>
              </w:rPr>
            </w:r>
          </w:p>
        </w:tc>
        <w:tc>
          <w:tcPr>
            <w:tcW w:w="866" w:type="dxa"/>
            <w:gridSpan w:val="4"/>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c>
          <w:tcPr>
            <w:tcW w:w="977" w:type="dxa"/>
            <w:gridSpan w:val="4"/>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99.2</w:t>
            </w:r>
          </w:p>
        </w:tc>
        <w:tc>
          <w:tcPr>
            <w:tcW w:w="156" w:type="dxa"/>
            <w:tcBorders/>
            <w:vAlign w:val="bottom"/>
          </w:tcPr>
          <w:p>
            <w:pPr>
              <w:pStyle w:val="TableContents"/>
              <w:bidi w:val="0"/>
              <w:spacing w:before="0" w:after="283"/>
              <w:jc w:val="left"/>
              <w:rPr/>
            </w:pPr>
            <w:r>
              <w:rPr/>
              <w:t> </w:t>
            </w:r>
          </w:p>
        </w:tc>
        <w:tc>
          <w:tcPr>
            <w:tcW w:w="4773" w:type="dxa"/>
            <w:tcBorders/>
          </w:tcPr>
          <w:p>
            <w:pPr>
              <w:pStyle w:val="TableContents"/>
              <w:bidi w:val="0"/>
              <w:spacing w:before="0" w:after="283"/>
              <w:jc w:val="left"/>
              <w:rPr/>
            </w:pPr>
            <w:hyperlink r:id="rId23">
              <w:r>
                <w:rPr>
                  <w:rStyle w:val="InternetLink"/>
                </w:rPr>
                <w:t xml:space="preserve">2021 Employee Stock Purchase Plan. </w:t>
              </w:r>
            </w:hyperlink>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S-1</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t>4/12/21</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sz w:val="4"/>
                <w:szCs w:val="4"/>
              </w:rPr>
            </w:pPr>
            <w:r>
              <w:rPr>
                <w:sz w:val="4"/>
                <w:szCs w:val="4"/>
              </w:rPr>
            </w:r>
          </w:p>
        </w:tc>
        <w:tc>
          <w:tcPr>
            <w:tcW w:w="543"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29" w:type="dxa"/>
            <w:gridSpan w:val="2"/>
            <w:tcBorders/>
            <w:vAlign w:val="center"/>
          </w:tcPr>
          <w:p>
            <w:pPr>
              <w:pStyle w:val="TableContents"/>
              <w:bidi w:val="0"/>
              <w:spacing w:before="0" w:after="283"/>
              <w:jc w:val="left"/>
              <w:rPr>
                <w:sz w:val="4"/>
                <w:szCs w:val="4"/>
              </w:rPr>
            </w:pPr>
            <w:r>
              <w:rPr>
                <w:sz w:val="4"/>
                <w:szCs w:val="4"/>
              </w:rPr>
            </w:r>
          </w:p>
        </w:tc>
        <w:tc>
          <w:tcPr>
            <w:tcW w:w="866" w:type="dxa"/>
            <w:gridSpan w:val="4"/>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c>
          <w:tcPr>
            <w:tcW w:w="977" w:type="dxa"/>
            <w:gridSpan w:val="4"/>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99.3(a)</w:t>
            </w:r>
          </w:p>
        </w:tc>
        <w:tc>
          <w:tcPr>
            <w:tcW w:w="156" w:type="dxa"/>
            <w:tcBorders/>
            <w:vAlign w:val="bottom"/>
          </w:tcPr>
          <w:p>
            <w:pPr>
              <w:pStyle w:val="TableContents"/>
              <w:bidi w:val="0"/>
              <w:spacing w:before="0" w:after="283"/>
              <w:jc w:val="left"/>
              <w:rPr/>
            </w:pPr>
            <w:r>
              <w:rPr/>
              <w:t> </w:t>
            </w:r>
          </w:p>
        </w:tc>
        <w:tc>
          <w:tcPr>
            <w:tcW w:w="4773" w:type="dxa"/>
            <w:tcBorders/>
          </w:tcPr>
          <w:p>
            <w:pPr>
              <w:pStyle w:val="TableContents"/>
              <w:bidi w:val="0"/>
              <w:spacing w:before="0" w:after="283"/>
              <w:jc w:val="left"/>
              <w:rPr/>
            </w:pPr>
            <w:hyperlink w:anchor="d701282dex993a.htm">
              <w:r>
                <w:rPr>
                  <w:rStyle w:val="InternetLink"/>
                </w:rPr>
                <w:t xml:space="preserve">2023 Inducement Plan. </w:t>
              </w:r>
            </w:hyperlink>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X</w:t>
            </w:r>
          </w:p>
        </w:tc>
        <w:tc>
          <w:tcPr>
            <w:tcW w:w="69" w:type="dxa"/>
            <w:tcBorders/>
            <w:vAlign w:val="bottom"/>
          </w:tcPr>
          <w:p>
            <w:pPr>
              <w:pStyle w:val="TableContents"/>
              <w:bidi w:val="0"/>
              <w:spacing w:before="0" w:after="283"/>
              <w:jc w:val="left"/>
              <w:rPr/>
            </w:pPr>
            <w:r>
              <w:rPr/>
              <w:t> </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29" w:type="dxa"/>
            <w:gridSpan w:val="2"/>
            <w:tcBorders/>
            <w:vAlign w:val="center"/>
          </w:tcPr>
          <w:p>
            <w:pPr>
              <w:pStyle w:val="TableContents"/>
              <w:bidi w:val="0"/>
              <w:spacing w:before="0" w:after="283"/>
              <w:jc w:val="left"/>
              <w:rPr>
                <w:sz w:val="4"/>
                <w:szCs w:val="4"/>
              </w:rPr>
            </w:pPr>
            <w:r>
              <w:rPr>
                <w:sz w:val="4"/>
                <w:szCs w:val="4"/>
              </w:rPr>
            </w:r>
          </w:p>
        </w:tc>
        <w:tc>
          <w:tcPr>
            <w:tcW w:w="866" w:type="dxa"/>
            <w:gridSpan w:val="4"/>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c>
          <w:tcPr>
            <w:tcW w:w="977" w:type="dxa"/>
            <w:gridSpan w:val="4"/>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99.3(b)</w:t>
            </w:r>
          </w:p>
        </w:tc>
        <w:tc>
          <w:tcPr>
            <w:tcW w:w="156" w:type="dxa"/>
            <w:tcBorders/>
            <w:vAlign w:val="bottom"/>
          </w:tcPr>
          <w:p>
            <w:pPr>
              <w:pStyle w:val="TableContents"/>
              <w:bidi w:val="0"/>
              <w:spacing w:before="0" w:after="283"/>
              <w:jc w:val="left"/>
              <w:rPr/>
            </w:pPr>
            <w:r>
              <w:rPr/>
              <w:t> </w:t>
            </w:r>
          </w:p>
        </w:tc>
        <w:tc>
          <w:tcPr>
            <w:tcW w:w="4773" w:type="dxa"/>
            <w:tcBorders/>
          </w:tcPr>
          <w:p>
            <w:pPr>
              <w:pStyle w:val="TableContents"/>
              <w:bidi w:val="0"/>
              <w:spacing w:before="0" w:after="283"/>
              <w:jc w:val="left"/>
              <w:rPr/>
            </w:pPr>
            <w:hyperlink w:anchor="d701282dex993b.htm">
              <w:r>
                <w:rPr>
                  <w:rStyle w:val="InternetLink"/>
                </w:rPr>
                <w:t xml:space="preserve">Form of Nonqualified Stock Award Grant Notice and Nonqualified Stock Award Agreement under the 2023 Inducement Plan. </w:t>
              </w:r>
            </w:hyperlink>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X</w:t>
            </w:r>
          </w:p>
        </w:tc>
        <w:tc>
          <w:tcPr>
            <w:tcW w:w="69" w:type="dxa"/>
            <w:tcBorders/>
            <w:vAlign w:val="bottom"/>
          </w:tcPr>
          <w:p>
            <w:pPr>
              <w:pStyle w:val="TableContents"/>
              <w:bidi w:val="0"/>
              <w:spacing w:before="0" w:after="283"/>
              <w:jc w:val="left"/>
              <w:rPr/>
            </w:pPr>
            <w:r>
              <w:rPr/>
              <w:t> </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29" w:type="dxa"/>
            <w:gridSpan w:val="2"/>
            <w:tcBorders/>
            <w:vAlign w:val="center"/>
          </w:tcPr>
          <w:p>
            <w:pPr>
              <w:pStyle w:val="TableContents"/>
              <w:bidi w:val="0"/>
              <w:spacing w:before="0" w:after="283"/>
              <w:jc w:val="left"/>
              <w:rPr>
                <w:sz w:val="4"/>
                <w:szCs w:val="4"/>
              </w:rPr>
            </w:pPr>
            <w:r>
              <w:rPr>
                <w:sz w:val="4"/>
                <w:szCs w:val="4"/>
              </w:rPr>
            </w:r>
          </w:p>
        </w:tc>
        <w:tc>
          <w:tcPr>
            <w:tcW w:w="866" w:type="dxa"/>
            <w:gridSpan w:val="4"/>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c>
          <w:tcPr>
            <w:tcW w:w="977" w:type="dxa"/>
            <w:gridSpan w:val="4"/>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99.3(c)</w:t>
            </w:r>
          </w:p>
        </w:tc>
        <w:tc>
          <w:tcPr>
            <w:tcW w:w="156" w:type="dxa"/>
            <w:tcBorders/>
            <w:vAlign w:val="bottom"/>
          </w:tcPr>
          <w:p>
            <w:pPr>
              <w:pStyle w:val="TableContents"/>
              <w:bidi w:val="0"/>
              <w:spacing w:before="0" w:after="283"/>
              <w:jc w:val="left"/>
              <w:rPr/>
            </w:pPr>
            <w:r>
              <w:rPr/>
              <w:t> </w:t>
            </w:r>
          </w:p>
        </w:tc>
        <w:tc>
          <w:tcPr>
            <w:tcW w:w="4773" w:type="dxa"/>
            <w:tcBorders/>
          </w:tcPr>
          <w:p>
            <w:pPr>
              <w:pStyle w:val="TableContents"/>
              <w:bidi w:val="0"/>
              <w:spacing w:before="0" w:after="283"/>
              <w:jc w:val="left"/>
              <w:rPr/>
            </w:pPr>
            <w:hyperlink w:anchor="d701282dex993c.htm">
              <w:r>
                <w:rPr>
                  <w:rStyle w:val="InternetLink"/>
                </w:rPr>
                <w:t xml:space="preserve">Form of Restricted Stock Award Grant Notice and Restricted Stock Award Agreement under the 2023 Inducement Plan. </w:t>
              </w:r>
            </w:hyperlink>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X</w:t>
            </w:r>
          </w:p>
        </w:tc>
        <w:tc>
          <w:tcPr>
            <w:tcW w:w="69" w:type="dxa"/>
            <w:tcBorders/>
            <w:vAlign w:val="bottom"/>
          </w:tcPr>
          <w:p>
            <w:pPr>
              <w:pStyle w:val="TableContents"/>
              <w:bidi w:val="0"/>
              <w:spacing w:before="0" w:after="283"/>
              <w:jc w:val="left"/>
              <w:rPr/>
            </w:pPr>
            <w:r>
              <w:rPr/>
              <w:t> </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29" w:type="dxa"/>
            <w:gridSpan w:val="2"/>
            <w:tcBorders/>
            <w:vAlign w:val="center"/>
          </w:tcPr>
          <w:p>
            <w:pPr>
              <w:pStyle w:val="TableContents"/>
              <w:bidi w:val="0"/>
              <w:spacing w:before="0" w:after="283"/>
              <w:jc w:val="left"/>
              <w:rPr>
                <w:sz w:val="4"/>
                <w:szCs w:val="4"/>
              </w:rPr>
            </w:pPr>
            <w:r>
              <w:rPr>
                <w:sz w:val="4"/>
                <w:szCs w:val="4"/>
              </w:rPr>
            </w:r>
          </w:p>
        </w:tc>
        <w:tc>
          <w:tcPr>
            <w:tcW w:w="866" w:type="dxa"/>
            <w:gridSpan w:val="4"/>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c>
          <w:tcPr>
            <w:tcW w:w="977" w:type="dxa"/>
            <w:gridSpan w:val="4"/>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  </w:t>
            </w:r>
            <w:r>
              <w:rPr/>
              <w:t>99.3(d)</w:t>
            </w:r>
          </w:p>
        </w:tc>
        <w:tc>
          <w:tcPr>
            <w:tcW w:w="156" w:type="dxa"/>
            <w:tcBorders/>
            <w:vAlign w:val="bottom"/>
          </w:tcPr>
          <w:p>
            <w:pPr>
              <w:pStyle w:val="TableContents"/>
              <w:bidi w:val="0"/>
              <w:spacing w:before="0" w:after="283"/>
              <w:jc w:val="left"/>
              <w:rPr/>
            </w:pPr>
            <w:r>
              <w:rPr/>
              <w:t> </w:t>
            </w:r>
          </w:p>
        </w:tc>
        <w:tc>
          <w:tcPr>
            <w:tcW w:w="4773" w:type="dxa"/>
            <w:tcBorders/>
          </w:tcPr>
          <w:p>
            <w:pPr>
              <w:pStyle w:val="TableContents"/>
              <w:bidi w:val="0"/>
              <w:spacing w:before="0" w:after="283"/>
              <w:jc w:val="left"/>
              <w:rPr/>
            </w:pPr>
            <w:hyperlink w:anchor="d701282dex993d.htm">
              <w:r>
                <w:rPr>
                  <w:rStyle w:val="InternetLink"/>
                </w:rPr>
                <w:t xml:space="preserve">Form of Restricted Stock Unit Award Grant Notice and Restricted Stock Unit Award Agreement under the 2023 Inducement Plan. </w:t>
              </w:r>
            </w:hyperlink>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X</w:t>
            </w:r>
          </w:p>
        </w:tc>
        <w:tc>
          <w:tcPr>
            <w:tcW w:w="69" w:type="dxa"/>
            <w:tcBorders/>
            <w:vAlign w:val="bottom"/>
          </w:tcPr>
          <w:p>
            <w:pPr>
              <w:pStyle w:val="TableContents"/>
              <w:bidi w:val="0"/>
              <w:spacing w:before="0" w:after="283"/>
              <w:jc w:val="left"/>
              <w:rPr/>
            </w:pPr>
            <w:r>
              <w:rPr/>
              <w:t> </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4929" w:type="dxa"/>
            <w:gridSpan w:val="2"/>
            <w:tcBorders/>
            <w:vAlign w:val="center"/>
          </w:tcPr>
          <w:p>
            <w:pPr>
              <w:pStyle w:val="TableContents"/>
              <w:bidi w:val="0"/>
              <w:spacing w:before="0" w:after="283"/>
              <w:jc w:val="left"/>
              <w:rPr>
                <w:sz w:val="4"/>
                <w:szCs w:val="4"/>
              </w:rPr>
            </w:pPr>
            <w:r>
              <w:rPr>
                <w:sz w:val="4"/>
                <w:szCs w:val="4"/>
              </w:rPr>
            </w:r>
          </w:p>
        </w:tc>
        <w:tc>
          <w:tcPr>
            <w:tcW w:w="866" w:type="dxa"/>
            <w:gridSpan w:val="4"/>
            <w:tcBorders/>
            <w:vAlign w:val="center"/>
          </w:tcPr>
          <w:p>
            <w:pPr>
              <w:pStyle w:val="TableContents"/>
              <w:bidi w:val="0"/>
              <w:spacing w:before="0" w:after="283"/>
              <w:jc w:val="left"/>
              <w:rPr>
                <w:sz w:val="4"/>
                <w:szCs w:val="4"/>
              </w:rPr>
            </w:pPr>
            <w:r>
              <w:rPr>
                <w:sz w:val="4"/>
                <w:szCs w:val="4"/>
              </w:rPr>
            </w:r>
          </w:p>
        </w:tc>
        <w:tc>
          <w:tcPr>
            <w:tcW w:w="847" w:type="dxa"/>
            <w:gridSpan w:val="4"/>
            <w:tcBorders/>
            <w:vAlign w:val="center"/>
          </w:tcPr>
          <w:p>
            <w:pPr>
              <w:pStyle w:val="TableContents"/>
              <w:bidi w:val="0"/>
              <w:spacing w:before="0" w:after="283"/>
              <w:jc w:val="left"/>
              <w:rPr>
                <w:sz w:val="4"/>
                <w:szCs w:val="4"/>
              </w:rPr>
            </w:pPr>
            <w:r>
              <w:rPr>
                <w:sz w:val="4"/>
                <w:szCs w:val="4"/>
              </w:rPr>
            </w:r>
          </w:p>
        </w:tc>
        <w:tc>
          <w:tcPr>
            <w:tcW w:w="1158" w:type="dxa"/>
            <w:gridSpan w:val="4"/>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c>
          <w:tcPr>
            <w:tcW w:w="977" w:type="dxa"/>
            <w:gridSpan w:val="4"/>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107</w:t>
            </w:r>
          </w:p>
        </w:tc>
        <w:tc>
          <w:tcPr>
            <w:tcW w:w="156" w:type="dxa"/>
            <w:tcBorders/>
            <w:vAlign w:val="bottom"/>
          </w:tcPr>
          <w:p>
            <w:pPr>
              <w:pStyle w:val="TableContents"/>
              <w:bidi w:val="0"/>
              <w:spacing w:before="0" w:after="283"/>
              <w:jc w:val="left"/>
              <w:rPr/>
            </w:pPr>
            <w:r>
              <w:rPr/>
              <w:t> </w:t>
            </w:r>
          </w:p>
        </w:tc>
        <w:tc>
          <w:tcPr>
            <w:tcW w:w="4773" w:type="dxa"/>
            <w:tcBorders/>
          </w:tcPr>
          <w:p>
            <w:pPr>
              <w:pStyle w:val="TableContents"/>
              <w:bidi w:val="0"/>
              <w:spacing w:before="0" w:after="283"/>
              <w:jc w:val="left"/>
              <w:rPr/>
            </w:pPr>
            <w:hyperlink w:anchor="d701282dexfilingfees.htm">
              <w:r>
                <w:rPr>
                  <w:rStyle w:val="InternetLink"/>
                </w:rPr>
                <w:t xml:space="preserve">Filing Fee Table </w:t>
              </w:r>
            </w:hyperlink>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X</w:t>
            </w:r>
          </w:p>
        </w:tc>
        <w:tc>
          <w:tcPr>
            <w:tcW w:w="69"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9. </w:t>
      </w:r>
      <w:r>
        <w:rPr>
          <w:rFonts w:ascii="Times New Roman" w:hAnsi="Times New Roman"/>
          <w:b/>
          <w:sz w:val="20"/>
          <w:u w:val="single"/>
        </w:rPr>
        <w:t>Undertakings</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(iii)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of this section shall not apply if the information required to be included in a post-effective amendment by those paragraphs is contained in reports filed with or furnished to the Commission by the registrant pursuant to Section 13 or Section 15(d) of the Exchange Act (15 U.S.C. 78m or 78o(d)) that are incorporated by reference in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(h)</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Redwood City, State of California, this 5th day of January, 2024.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BIOMEA FUSION,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vAlign w:val="bottom"/>
          </w:tcPr>
          <w:p>
            <w:pPr>
              <w:pStyle w:val="TableContents"/>
              <w:bidi w:val="0"/>
              <w:spacing w:before="0" w:after="283"/>
              <w:jc w:val="left"/>
              <w:rPr/>
            </w:pPr>
            <w:r>
              <w:rPr/>
              <w:t>/s/ Thomas Butler</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Thomas Butler</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Chief Executive Officer and Director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AND SIGNATURES </w:t>
      </w:r>
    </w:p>
    <w:p>
      <w:pPr>
        <w:pStyle w:val="TextBody"/>
        <w:bidi w:val="0"/>
        <w:spacing w:before="240" w:after="0"/>
        <w:jc w:val="left"/>
        <w:rPr>
          <w:rFonts w:ascii="Times New Roman" w:hAnsi="Times New Roman"/>
          <w:sz w:val="20"/>
        </w:rPr>
      </w:pPr>
      <w:r>
        <w:rPr>
          <w:rFonts w:ascii="Times New Roman" w:hAnsi="Times New Roman"/>
          <w:sz w:val="20"/>
        </w:rPr>
        <w:t xml:space="preserve">We, the undersigned officers and directors of Biomea Fusion, Inc., hereby severally constitute and appoint Thomas Butler and Franco Valle, and each of them singly (with full power to each of them to act alone), our true and lawful attorneys-in-fact and agents, with full power of substitution and resubstitution in each of them for him and in his name, place and stead, and in any and all capacities, to sign for us and in our names in the capacities indicated below any and all amendments (including post-effective amendments) to this registration statement on Form S-8,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 indicated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65"/>
        <w:gridCol w:w="122"/>
        <w:gridCol w:w="4340"/>
        <w:gridCol w:w="107"/>
        <w:gridCol w:w="1871"/>
      </w:tblGrid>
      <w:tr>
        <w:trPr/>
        <w:tc>
          <w:tcPr>
            <w:tcW w:w="376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4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37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bookmarkStart w:id="3" w:name="sig1"/>
            <w:bookmarkEnd w:id="3"/>
            <w:r>
              <w:rPr>
                <w:rFonts w:ascii="Times New Roman" w:hAnsi="Times New Roman"/>
                <w:b/>
                <w:sz w:val="16"/>
              </w:rPr>
              <w:t>Signature</w:t>
            </w:r>
          </w:p>
        </w:tc>
        <w:tc>
          <w:tcPr>
            <w:tcW w:w="122" w:type="dxa"/>
            <w:tcBorders/>
            <w:vAlign w:val="bottom"/>
          </w:tcPr>
          <w:p>
            <w:pPr>
              <w:pStyle w:val="TableContents"/>
              <w:bidi w:val="0"/>
              <w:spacing w:before="0" w:after="283"/>
              <w:jc w:val="left"/>
              <w:rPr/>
            </w:pPr>
            <w:r>
              <w:rPr/>
              <w:t>  </w:t>
            </w:r>
          </w:p>
        </w:tc>
        <w:tc>
          <w:tcPr>
            <w:tcW w:w="43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7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65" w:type="dxa"/>
            <w:tcBorders/>
            <w:vAlign w:val="center"/>
          </w:tcPr>
          <w:p>
            <w:pPr>
              <w:pStyle w:val="TableContents"/>
              <w:bidi w:val="0"/>
              <w:spacing w:before="0" w:after="283"/>
              <w:jc w:val="left"/>
              <w:rPr>
                <w:sz w:val="4"/>
                <w:szCs w:val="4"/>
              </w:rPr>
            </w:pPr>
            <w:r>
              <w:rPr>
                <w:sz w:val="4"/>
                <w:szCs w:val="4"/>
              </w:rPr>
            </w:r>
          </w:p>
        </w:tc>
        <w:tc>
          <w:tcPr>
            <w:tcW w:w="4462" w:type="dxa"/>
            <w:gridSpan w:val="2"/>
            <w:tcBorders/>
            <w:vAlign w:val="center"/>
          </w:tcPr>
          <w:p>
            <w:pPr>
              <w:pStyle w:val="TableContents"/>
              <w:bidi w:val="0"/>
              <w:spacing w:before="0" w:after="283"/>
              <w:jc w:val="left"/>
              <w:rPr>
                <w:sz w:val="4"/>
                <w:szCs w:val="4"/>
              </w:rPr>
            </w:pPr>
            <w:r>
              <w:rPr>
                <w:sz w:val="4"/>
                <w:szCs w:val="4"/>
              </w:rPr>
            </w:r>
          </w:p>
        </w:tc>
        <w:tc>
          <w:tcPr>
            <w:tcW w:w="1978" w:type="dxa"/>
            <w:gridSpan w:val="2"/>
            <w:tcBorders/>
            <w:vAlign w:val="center"/>
          </w:tcPr>
          <w:p>
            <w:pPr>
              <w:pStyle w:val="TableContents"/>
              <w:bidi w:val="0"/>
              <w:spacing w:before="0" w:after="283"/>
              <w:jc w:val="left"/>
              <w:rPr>
                <w:sz w:val="4"/>
                <w:szCs w:val="4"/>
              </w:rPr>
            </w:pPr>
            <w:r>
              <w:rPr>
                <w:sz w:val="4"/>
                <w:szCs w:val="4"/>
              </w:rPr>
            </w:r>
          </w:p>
        </w:tc>
      </w:tr>
      <w:tr>
        <w:trPr/>
        <w:tc>
          <w:tcPr>
            <w:tcW w:w="376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Thomas Butler</w:t>
            </w:r>
          </w:p>
          <w:p>
            <w:pPr>
              <w:pStyle w:val="TableContents"/>
              <w:bidi w:val="0"/>
              <w:spacing w:before="0" w:after="20"/>
              <w:jc w:val="center"/>
              <w:rPr>
                <w:rFonts w:ascii="Times New Roman" w:hAnsi="Times New Roman"/>
                <w:sz w:val="20"/>
              </w:rPr>
            </w:pPr>
            <w:r>
              <w:rPr>
                <w:rFonts w:ascii="Times New Roman" w:hAnsi="Times New Roman"/>
                <w:sz w:val="20"/>
              </w:rPr>
              <w:t>Thomas Butler</w:t>
            </w:r>
          </w:p>
        </w:tc>
        <w:tc>
          <w:tcPr>
            <w:tcW w:w="122"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left"/>
              <w:rPr>
                <w:rFonts w:ascii="Times New Roman" w:hAnsi="Times New Roman"/>
                <w:i/>
                <w:sz w:val="20"/>
              </w:rPr>
            </w:pPr>
            <w:r>
              <w:rPr>
                <w:rFonts w:ascii="Times New Roman" w:hAnsi="Times New Roman"/>
                <w:i/>
                <w:sz w:val="20"/>
              </w:rPr>
              <w:t>(Principal Executive Officer)</w:t>
            </w:r>
          </w:p>
        </w:tc>
        <w:tc>
          <w:tcPr>
            <w:tcW w:w="107" w:type="dxa"/>
            <w:tcBorders/>
            <w:vAlign w:val="bottom"/>
          </w:tcPr>
          <w:p>
            <w:pPr>
              <w:pStyle w:val="TableContents"/>
              <w:bidi w:val="0"/>
              <w:spacing w:before="0" w:after="283"/>
              <w:jc w:val="left"/>
              <w:rPr/>
            </w:pPr>
            <w:r>
              <w:rPr/>
              <w:t> </w:t>
            </w:r>
          </w:p>
        </w:tc>
        <w:tc>
          <w:tcPr>
            <w:tcW w:w="1871" w:type="dxa"/>
            <w:tcBorders/>
          </w:tcPr>
          <w:p>
            <w:pPr>
              <w:pStyle w:val="TableContents"/>
              <w:bidi w:val="0"/>
              <w:spacing w:before="0" w:after="283"/>
              <w:jc w:val="center"/>
              <w:rPr/>
            </w:pPr>
            <w:r>
              <w:rPr/>
              <w:t>January 5, 2024</w:t>
            </w:r>
          </w:p>
        </w:tc>
      </w:tr>
      <w:tr>
        <w:trPr>
          <w:trHeight w:val="240" w:hRule="atLeast"/>
        </w:trPr>
        <w:tc>
          <w:tcPr>
            <w:tcW w:w="3765" w:type="dxa"/>
            <w:tcBorders/>
            <w:vAlign w:val="center"/>
          </w:tcPr>
          <w:p>
            <w:pPr>
              <w:pStyle w:val="TableContents"/>
              <w:bidi w:val="0"/>
              <w:spacing w:before="0" w:after="283"/>
              <w:jc w:val="left"/>
              <w:rPr>
                <w:sz w:val="4"/>
                <w:szCs w:val="4"/>
              </w:rPr>
            </w:pPr>
            <w:r>
              <w:rPr>
                <w:sz w:val="4"/>
                <w:szCs w:val="4"/>
              </w:rPr>
            </w:r>
          </w:p>
        </w:tc>
        <w:tc>
          <w:tcPr>
            <w:tcW w:w="4462" w:type="dxa"/>
            <w:gridSpan w:val="2"/>
            <w:tcBorders/>
            <w:vAlign w:val="center"/>
          </w:tcPr>
          <w:p>
            <w:pPr>
              <w:pStyle w:val="TableContents"/>
              <w:bidi w:val="0"/>
              <w:spacing w:before="0" w:after="283"/>
              <w:jc w:val="left"/>
              <w:rPr>
                <w:sz w:val="4"/>
                <w:szCs w:val="4"/>
              </w:rPr>
            </w:pPr>
            <w:r>
              <w:rPr>
                <w:sz w:val="4"/>
                <w:szCs w:val="4"/>
              </w:rPr>
            </w:r>
          </w:p>
        </w:tc>
        <w:tc>
          <w:tcPr>
            <w:tcW w:w="1978" w:type="dxa"/>
            <w:gridSpan w:val="2"/>
            <w:tcBorders/>
            <w:vAlign w:val="center"/>
          </w:tcPr>
          <w:p>
            <w:pPr>
              <w:pStyle w:val="TableContents"/>
              <w:bidi w:val="0"/>
              <w:spacing w:before="0" w:after="283"/>
              <w:jc w:val="left"/>
              <w:rPr>
                <w:sz w:val="4"/>
                <w:szCs w:val="4"/>
              </w:rPr>
            </w:pPr>
            <w:r>
              <w:rPr>
                <w:sz w:val="4"/>
                <w:szCs w:val="4"/>
              </w:rPr>
            </w:r>
          </w:p>
        </w:tc>
      </w:tr>
      <w:tr>
        <w:trPr/>
        <w:tc>
          <w:tcPr>
            <w:tcW w:w="376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Franco Valle</w:t>
            </w:r>
          </w:p>
          <w:p>
            <w:pPr>
              <w:pStyle w:val="TableContents"/>
              <w:bidi w:val="0"/>
              <w:spacing w:before="0" w:after="20"/>
              <w:jc w:val="center"/>
              <w:rPr>
                <w:rFonts w:ascii="Times New Roman" w:hAnsi="Times New Roman"/>
                <w:sz w:val="20"/>
              </w:rPr>
            </w:pPr>
            <w:r>
              <w:rPr>
                <w:rFonts w:ascii="Times New Roman" w:hAnsi="Times New Roman"/>
                <w:sz w:val="20"/>
              </w:rPr>
              <w:t>Franco Valle</w:t>
            </w:r>
          </w:p>
        </w:tc>
        <w:tc>
          <w:tcPr>
            <w:tcW w:w="122"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i/>
                <w:sz w:val="20"/>
              </w:rPr>
            </w:pPr>
            <w:r>
              <w:rPr>
                <w:rFonts w:ascii="Times New Roman" w:hAnsi="Times New Roman"/>
                <w:i/>
                <w:sz w:val="20"/>
              </w:rPr>
              <w:t>(Principal Financial and Principal Accounting Officer)</w:t>
            </w:r>
          </w:p>
        </w:tc>
        <w:tc>
          <w:tcPr>
            <w:tcW w:w="107" w:type="dxa"/>
            <w:tcBorders/>
            <w:vAlign w:val="bottom"/>
          </w:tcPr>
          <w:p>
            <w:pPr>
              <w:pStyle w:val="TableContents"/>
              <w:bidi w:val="0"/>
              <w:spacing w:before="0" w:after="283"/>
              <w:jc w:val="left"/>
              <w:rPr/>
            </w:pPr>
            <w:r>
              <w:rPr/>
              <w:t> </w:t>
            </w:r>
          </w:p>
        </w:tc>
        <w:tc>
          <w:tcPr>
            <w:tcW w:w="1871" w:type="dxa"/>
            <w:tcBorders/>
          </w:tcPr>
          <w:p>
            <w:pPr>
              <w:pStyle w:val="TableContents"/>
              <w:bidi w:val="0"/>
              <w:spacing w:before="0" w:after="283"/>
              <w:jc w:val="center"/>
              <w:rPr/>
            </w:pPr>
            <w:r>
              <w:rPr/>
              <w:t>January 5, 2024</w:t>
            </w:r>
          </w:p>
        </w:tc>
      </w:tr>
      <w:tr>
        <w:trPr>
          <w:trHeight w:val="240" w:hRule="atLeast"/>
        </w:trPr>
        <w:tc>
          <w:tcPr>
            <w:tcW w:w="3765" w:type="dxa"/>
            <w:tcBorders/>
            <w:vAlign w:val="center"/>
          </w:tcPr>
          <w:p>
            <w:pPr>
              <w:pStyle w:val="TableContents"/>
              <w:bidi w:val="0"/>
              <w:spacing w:before="0" w:after="283"/>
              <w:jc w:val="left"/>
              <w:rPr>
                <w:sz w:val="4"/>
                <w:szCs w:val="4"/>
              </w:rPr>
            </w:pPr>
            <w:r>
              <w:rPr>
                <w:sz w:val="4"/>
                <w:szCs w:val="4"/>
              </w:rPr>
            </w:r>
          </w:p>
        </w:tc>
        <w:tc>
          <w:tcPr>
            <w:tcW w:w="4462" w:type="dxa"/>
            <w:gridSpan w:val="2"/>
            <w:tcBorders/>
            <w:vAlign w:val="center"/>
          </w:tcPr>
          <w:p>
            <w:pPr>
              <w:pStyle w:val="TableContents"/>
              <w:bidi w:val="0"/>
              <w:spacing w:before="0" w:after="283"/>
              <w:jc w:val="left"/>
              <w:rPr>
                <w:sz w:val="4"/>
                <w:szCs w:val="4"/>
              </w:rPr>
            </w:pPr>
            <w:r>
              <w:rPr>
                <w:sz w:val="4"/>
                <w:szCs w:val="4"/>
              </w:rPr>
            </w:r>
          </w:p>
        </w:tc>
        <w:tc>
          <w:tcPr>
            <w:tcW w:w="1978" w:type="dxa"/>
            <w:gridSpan w:val="2"/>
            <w:tcBorders/>
            <w:vAlign w:val="center"/>
          </w:tcPr>
          <w:p>
            <w:pPr>
              <w:pStyle w:val="TableContents"/>
              <w:bidi w:val="0"/>
              <w:spacing w:before="0" w:after="283"/>
              <w:jc w:val="left"/>
              <w:rPr>
                <w:sz w:val="4"/>
                <w:szCs w:val="4"/>
              </w:rPr>
            </w:pPr>
            <w:r>
              <w:rPr>
                <w:sz w:val="4"/>
                <w:szCs w:val="4"/>
              </w:rPr>
            </w:r>
          </w:p>
        </w:tc>
      </w:tr>
      <w:tr>
        <w:trPr/>
        <w:tc>
          <w:tcPr>
            <w:tcW w:w="376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Eric Aguiar</w:t>
            </w:r>
          </w:p>
          <w:p>
            <w:pPr>
              <w:pStyle w:val="TableContents"/>
              <w:bidi w:val="0"/>
              <w:spacing w:before="0" w:after="20"/>
              <w:jc w:val="center"/>
              <w:rPr>
                <w:rFonts w:ascii="Times New Roman" w:hAnsi="Times New Roman"/>
                <w:sz w:val="20"/>
              </w:rPr>
            </w:pPr>
            <w:r>
              <w:rPr>
                <w:rFonts w:ascii="Times New Roman" w:hAnsi="Times New Roman"/>
                <w:sz w:val="20"/>
              </w:rPr>
              <w:t>Eric Aguiar, M.D.</w:t>
            </w:r>
          </w:p>
        </w:tc>
        <w:tc>
          <w:tcPr>
            <w:tcW w:w="122"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71" w:type="dxa"/>
            <w:tcBorders/>
          </w:tcPr>
          <w:p>
            <w:pPr>
              <w:pStyle w:val="TableContents"/>
              <w:bidi w:val="0"/>
              <w:spacing w:before="0" w:after="283"/>
              <w:jc w:val="center"/>
              <w:rPr/>
            </w:pPr>
            <w:r>
              <w:rPr/>
              <w:t>January 5, 2024</w:t>
            </w:r>
          </w:p>
        </w:tc>
      </w:tr>
      <w:tr>
        <w:trPr>
          <w:trHeight w:val="240" w:hRule="atLeast"/>
        </w:trPr>
        <w:tc>
          <w:tcPr>
            <w:tcW w:w="3765" w:type="dxa"/>
            <w:tcBorders/>
            <w:vAlign w:val="center"/>
          </w:tcPr>
          <w:p>
            <w:pPr>
              <w:pStyle w:val="TableContents"/>
              <w:bidi w:val="0"/>
              <w:spacing w:before="0" w:after="283"/>
              <w:jc w:val="left"/>
              <w:rPr>
                <w:sz w:val="4"/>
                <w:szCs w:val="4"/>
              </w:rPr>
            </w:pPr>
            <w:r>
              <w:rPr>
                <w:sz w:val="4"/>
                <w:szCs w:val="4"/>
              </w:rPr>
            </w:r>
          </w:p>
        </w:tc>
        <w:tc>
          <w:tcPr>
            <w:tcW w:w="4462" w:type="dxa"/>
            <w:gridSpan w:val="2"/>
            <w:tcBorders/>
            <w:vAlign w:val="center"/>
          </w:tcPr>
          <w:p>
            <w:pPr>
              <w:pStyle w:val="TableContents"/>
              <w:bidi w:val="0"/>
              <w:spacing w:before="0" w:after="283"/>
              <w:jc w:val="left"/>
              <w:rPr>
                <w:sz w:val="4"/>
                <w:szCs w:val="4"/>
              </w:rPr>
            </w:pPr>
            <w:r>
              <w:rPr>
                <w:sz w:val="4"/>
                <w:szCs w:val="4"/>
              </w:rPr>
            </w:r>
          </w:p>
        </w:tc>
        <w:tc>
          <w:tcPr>
            <w:tcW w:w="1978" w:type="dxa"/>
            <w:gridSpan w:val="2"/>
            <w:tcBorders/>
            <w:vAlign w:val="center"/>
          </w:tcPr>
          <w:p>
            <w:pPr>
              <w:pStyle w:val="TableContents"/>
              <w:bidi w:val="0"/>
              <w:spacing w:before="0" w:after="283"/>
              <w:jc w:val="left"/>
              <w:rPr>
                <w:sz w:val="4"/>
                <w:szCs w:val="4"/>
              </w:rPr>
            </w:pPr>
            <w:r>
              <w:rPr>
                <w:sz w:val="4"/>
                <w:szCs w:val="4"/>
              </w:rPr>
            </w:r>
          </w:p>
        </w:tc>
      </w:tr>
      <w:tr>
        <w:trPr/>
        <w:tc>
          <w:tcPr>
            <w:tcW w:w="376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Bihua Chen</w:t>
            </w:r>
          </w:p>
          <w:p>
            <w:pPr>
              <w:pStyle w:val="TableContents"/>
              <w:bidi w:val="0"/>
              <w:spacing w:before="0" w:after="20"/>
              <w:jc w:val="center"/>
              <w:rPr>
                <w:rFonts w:ascii="Times New Roman" w:hAnsi="Times New Roman"/>
                <w:sz w:val="20"/>
              </w:rPr>
            </w:pPr>
            <w:r>
              <w:rPr>
                <w:rFonts w:ascii="Times New Roman" w:hAnsi="Times New Roman"/>
                <w:sz w:val="20"/>
              </w:rPr>
              <w:t>Bihua Chen</w:t>
            </w:r>
          </w:p>
        </w:tc>
        <w:tc>
          <w:tcPr>
            <w:tcW w:w="122"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71" w:type="dxa"/>
            <w:tcBorders/>
          </w:tcPr>
          <w:p>
            <w:pPr>
              <w:pStyle w:val="TableContents"/>
              <w:bidi w:val="0"/>
              <w:spacing w:before="0" w:after="283"/>
              <w:jc w:val="center"/>
              <w:rPr/>
            </w:pPr>
            <w:r>
              <w:rPr/>
              <w:t>January 5, 2024</w:t>
            </w:r>
          </w:p>
        </w:tc>
      </w:tr>
      <w:tr>
        <w:trPr>
          <w:trHeight w:val="240" w:hRule="atLeast"/>
        </w:trPr>
        <w:tc>
          <w:tcPr>
            <w:tcW w:w="3765" w:type="dxa"/>
            <w:tcBorders/>
            <w:vAlign w:val="center"/>
          </w:tcPr>
          <w:p>
            <w:pPr>
              <w:pStyle w:val="TableContents"/>
              <w:bidi w:val="0"/>
              <w:spacing w:before="0" w:after="283"/>
              <w:jc w:val="left"/>
              <w:rPr>
                <w:sz w:val="4"/>
                <w:szCs w:val="4"/>
              </w:rPr>
            </w:pPr>
            <w:r>
              <w:rPr>
                <w:sz w:val="4"/>
                <w:szCs w:val="4"/>
              </w:rPr>
            </w:r>
          </w:p>
        </w:tc>
        <w:tc>
          <w:tcPr>
            <w:tcW w:w="4462" w:type="dxa"/>
            <w:gridSpan w:val="2"/>
            <w:tcBorders/>
            <w:vAlign w:val="center"/>
          </w:tcPr>
          <w:p>
            <w:pPr>
              <w:pStyle w:val="TableContents"/>
              <w:bidi w:val="0"/>
              <w:spacing w:before="0" w:after="283"/>
              <w:jc w:val="left"/>
              <w:rPr>
                <w:sz w:val="4"/>
                <w:szCs w:val="4"/>
              </w:rPr>
            </w:pPr>
            <w:r>
              <w:rPr>
                <w:sz w:val="4"/>
                <w:szCs w:val="4"/>
              </w:rPr>
            </w:r>
          </w:p>
        </w:tc>
        <w:tc>
          <w:tcPr>
            <w:tcW w:w="1978" w:type="dxa"/>
            <w:gridSpan w:val="2"/>
            <w:tcBorders/>
            <w:vAlign w:val="center"/>
          </w:tcPr>
          <w:p>
            <w:pPr>
              <w:pStyle w:val="TableContents"/>
              <w:bidi w:val="0"/>
              <w:spacing w:before="0" w:after="283"/>
              <w:jc w:val="left"/>
              <w:rPr>
                <w:sz w:val="4"/>
                <w:szCs w:val="4"/>
              </w:rPr>
            </w:pPr>
            <w:r>
              <w:rPr>
                <w:sz w:val="4"/>
                <w:szCs w:val="4"/>
              </w:rPr>
            </w:r>
          </w:p>
        </w:tc>
      </w:tr>
      <w:tr>
        <w:trPr/>
        <w:tc>
          <w:tcPr>
            <w:tcW w:w="376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Ramses Erdtmann</w:t>
            </w:r>
          </w:p>
          <w:p>
            <w:pPr>
              <w:pStyle w:val="TableContents"/>
              <w:bidi w:val="0"/>
              <w:spacing w:before="0" w:after="20"/>
              <w:jc w:val="center"/>
              <w:rPr>
                <w:rFonts w:ascii="Times New Roman" w:hAnsi="Times New Roman"/>
                <w:sz w:val="20"/>
              </w:rPr>
            </w:pPr>
            <w:r>
              <w:rPr>
                <w:rFonts w:ascii="Times New Roman" w:hAnsi="Times New Roman"/>
                <w:sz w:val="20"/>
              </w:rPr>
              <w:t>Ramses Erdtmann</w:t>
            </w:r>
          </w:p>
        </w:tc>
        <w:tc>
          <w:tcPr>
            <w:tcW w:w="122"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71" w:type="dxa"/>
            <w:tcBorders/>
          </w:tcPr>
          <w:p>
            <w:pPr>
              <w:pStyle w:val="TableContents"/>
              <w:bidi w:val="0"/>
              <w:spacing w:before="0" w:after="283"/>
              <w:jc w:val="center"/>
              <w:rPr/>
            </w:pPr>
            <w:r>
              <w:rPr/>
              <w:t>January 5, 2024</w:t>
            </w:r>
          </w:p>
        </w:tc>
      </w:tr>
      <w:tr>
        <w:trPr>
          <w:trHeight w:val="240" w:hRule="atLeast"/>
        </w:trPr>
        <w:tc>
          <w:tcPr>
            <w:tcW w:w="3765" w:type="dxa"/>
            <w:tcBorders/>
            <w:vAlign w:val="center"/>
          </w:tcPr>
          <w:p>
            <w:pPr>
              <w:pStyle w:val="TableContents"/>
              <w:bidi w:val="0"/>
              <w:spacing w:before="0" w:after="283"/>
              <w:jc w:val="left"/>
              <w:rPr>
                <w:sz w:val="4"/>
                <w:szCs w:val="4"/>
              </w:rPr>
            </w:pPr>
            <w:r>
              <w:rPr>
                <w:sz w:val="4"/>
                <w:szCs w:val="4"/>
              </w:rPr>
            </w:r>
          </w:p>
        </w:tc>
        <w:tc>
          <w:tcPr>
            <w:tcW w:w="4462" w:type="dxa"/>
            <w:gridSpan w:val="2"/>
            <w:tcBorders/>
            <w:vAlign w:val="center"/>
          </w:tcPr>
          <w:p>
            <w:pPr>
              <w:pStyle w:val="TableContents"/>
              <w:bidi w:val="0"/>
              <w:spacing w:before="0" w:after="283"/>
              <w:jc w:val="left"/>
              <w:rPr>
                <w:sz w:val="4"/>
                <w:szCs w:val="4"/>
              </w:rPr>
            </w:pPr>
            <w:r>
              <w:rPr>
                <w:sz w:val="4"/>
                <w:szCs w:val="4"/>
              </w:rPr>
            </w:r>
          </w:p>
        </w:tc>
        <w:tc>
          <w:tcPr>
            <w:tcW w:w="1978" w:type="dxa"/>
            <w:gridSpan w:val="2"/>
            <w:tcBorders/>
            <w:vAlign w:val="center"/>
          </w:tcPr>
          <w:p>
            <w:pPr>
              <w:pStyle w:val="TableContents"/>
              <w:bidi w:val="0"/>
              <w:spacing w:before="0" w:after="283"/>
              <w:jc w:val="left"/>
              <w:rPr>
                <w:sz w:val="4"/>
                <w:szCs w:val="4"/>
              </w:rPr>
            </w:pPr>
            <w:r>
              <w:rPr>
                <w:sz w:val="4"/>
                <w:szCs w:val="4"/>
              </w:rPr>
            </w:r>
          </w:p>
        </w:tc>
      </w:tr>
      <w:tr>
        <w:trPr/>
        <w:tc>
          <w:tcPr>
            <w:tcW w:w="376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Elizabeth Faust</w:t>
            </w:r>
          </w:p>
          <w:p>
            <w:pPr>
              <w:pStyle w:val="TableContents"/>
              <w:bidi w:val="0"/>
              <w:spacing w:before="0" w:after="20"/>
              <w:jc w:val="center"/>
              <w:rPr>
                <w:rFonts w:ascii="Times New Roman" w:hAnsi="Times New Roman"/>
                <w:sz w:val="20"/>
              </w:rPr>
            </w:pPr>
            <w:r>
              <w:rPr>
                <w:rFonts w:ascii="Times New Roman" w:hAnsi="Times New Roman"/>
                <w:sz w:val="20"/>
              </w:rPr>
              <w:t>Elizabeth Faust, Ph.D.</w:t>
            </w:r>
          </w:p>
        </w:tc>
        <w:tc>
          <w:tcPr>
            <w:tcW w:w="122"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71" w:type="dxa"/>
            <w:tcBorders/>
          </w:tcPr>
          <w:p>
            <w:pPr>
              <w:pStyle w:val="TableContents"/>
              <w:bidi w:val="0"/>
              <w:spacing w:before="0" w:after="283"/>
              <w:jc w:val="center"/>
              <w:rPr/>
            </w:pPr>
            <w:r>
              <w:rPr/>
              <w:t>January 5, 2024</w:t>
            </w:r>
          </w:p>
        </w:tc>
      </w:tr>
      <w:tr>
        <w:trPr>
          <w:trHeight w:val="240" w:hRule="atLeast"/>
        </w:trPr>
        <w:tc>
          <w:tcPr>
            <w:tcW w:w="3765" w:type="dxa"/>
            <w:tcBorders/>
            <w:vAlign w:val="center"/>
          </w:tcPr>
          <w:p>
            <w:pPr>
              <w:pStyle w:val="TableContents"/>
              <w:bidi w:val="0"/>
              <w:spacing w:before="0" w:after="283"/>
              <w:jc w:val="left"/>
              <w:rPr>
                <w:sz w:val="4"/>
                <w:szCs w:val="4"/>
              </w:rPr>
            </w:pPr>
            <w:r>
              <w:rPr>
                <w:sz w:val="4"/>
                <w:szCs w:val="4"/>
              </w:rPr>
            </w:r>
          </w:p>
        </w:tc>
        <w:tc>
          <w:tcPr>
            <w:tcW w:w="4462" w:type="dxa"/>
            <w:gridSpan w:val="2"/>
            <w:tcBorders/>
            <w:vAlign w:val="center"/>
          </w:tcPr>
          <w:p>
            <w:pPr>
              <w:pStyle w:val="TableContents"/>
              <w:bidi w:val="0"/>
              <w:spacing w:before="0" w:after="283"/>
              <w:jc w:val="left"/>
              <w:rPr>
                <w:sz w:val="4"/>
                <w:szCs w:val="4"/>
              </w:rPr>
            </w:pPr>
            <w:r>
              <w:rPr>
                <w:sz w:val="4"/>
                <w:szCs w:val="4"/>
              </w:rPr>
            </w:r>
          </w:p>
        </w:tc>
        <w:tc>
          <w:tcPr>
            <w:tcW w:w="1978" w:type="dxa"/>
            <w:gridSpan w:val="2"/>
            <w:tcBorders/>
            <w:vAlign w:val="center"/>
          </w:tcPr>
          <w:p>
            <w:pPr>
              <w:pStyle w:val="TableContents"/>
              <w:bidi w:val="0"/>
              <w:spacing w:before="0" w:after="283"/>
              <w:jc w:val="left"/>
              <w:rPr>
                <w:sz w:val="4"/>
                <w:szCs w:val="4"/>
              </w:rPr>
            </w:pPr>
            <w:r>
              <w:rPr>
                <w:sz w:val="4"/>
                <w:szCs w:val="4"/>
              </w:rPr>
            </w:r>
          </w:p>
        </w:tc>
      </w:tr>
      <w:tr>
        <w:trPr/>
        <w:tc>
          <w:tcPr>
            <w:tcW w:w="376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Michael J. M. Hitchcock</w:t>
            </w:r>
          </w:p>
          <w:p>
            <w:pPr>
              <w:pStyle w:val="TableContents"/>
              <w:bidi w:val="0"/>
              <w:spacing w:before="0" w:after="20"/>
              <w:jc w:val="center"/>
              <w:rPr>
                <w:rFonts w:ascii="Times New Roman" w:hAnsi="Times New Roman"/>
                <w:sz w:val="20"/>
              </w:rPr>
            </w:pPr>
            <w:r>
              <w:rPr>
                <w:rFonts w:ascii="Times New Roman" w:hAnsi="Times New Roman"/>
                <w:sz w:val="20"/>
              </w:rPr>
              <w:t>Michael J. M. Hitchcock, Ph.D.</w:t>
            </w:r>
          </w:p>
        </w:tc>
        <w:tc>
          <w:tcPr>
            <w:tcW w:w="122"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71" w:type="dxa"/>
            <w:tcBorders/>
          </w:tcPr>
          <w:p>
            <w:pPr>
              <w:pStyle w:val="TableContents"/>
              <w:bidi w:val="0"/>
              <w:spacing w:before="0" w:after="283"/>
              <w:jc w:val="center"/>
              <w:rPr/>
            </w:pPr>
            <w:r>
              <w:rPr/>
              <w:t>January 5, 2024</w:t>
            </w:r>
          </w:p>
        </w:tc>
      </w:tr>
      <w:tr>
        <w:trPr>
          <w:trHeight w:val="240" w:hRule="atLeast"/>
        </w:trPr>
        <w:tc>
          <w:tcPr>
            <w:tcW w:w="3765" w:type="dxa"/>
            <w:tcBorders/>
            <w:vAlign w:val="center"/>
          </w:tcPr>
          <w:p>
            <w:pPr>
              <w:pStyle w:val="TableContents"/>
              <w:bidi w:val="0"/>
              <w:spacing w:before="0" w:after="283"/>
              <w:jc w:val="left"/>
              <w:rPr>
                <w:sz w:val="4"/>
                <w:szCs w:val="4"/>
              </w:rPr>
            </w:pPr>
            <w:r>
              <w:rPr>
                <w:sz w:val="4"/>
                <w:szCs w:val="4"/>
              </w:rPr>
            </w:r>
          </w:p>
        </w:tc>
        <w:tc>
          <w:tcPr>
            <w:tcW w:w="4462" w:type="dxa"/>
            <w:gridSpan w:val="2"/>
            <w:tcBorders/>
            <w:vAlign w:val="center"/>
          </w:tcPr>
          <w:p>
            <w:pPr>
              <w:pStyle w:val="TableContents"/>
              <w:bidi w:val="0"/>
              <w:spacing w:before="0" w:after="283"/>
              <w:jc w:val="left"/>
              <w:rPr>
                <w:sz w:val="4"/>
                <w:szCs w:val="4"/>
              </w:rPr>
            </w:pPr>
            <w:r>
              <w:rPr>
                <w:sz w:val="4"/>
                <w:szCs w:val="4"/>
              </w:rPr>
            </w:r>
          </w:p>
        </w:tc>
        <w:tc>
          <w:tcPr>
            <w:tcW w:w="1978" w:type="dxa"/>
            <w:gridSpan w:val="2"/>
            <w:tcBorders/>
            <w:vAlign w:val="center"/>
          </w:tcPr>
          <w:p>
            <w:pPr>
              <w:pStyle w:val="TableContents"/>
              <w:bidi w:val="0"/>
              <w:spacing w:before="0" w:after="283"/>
              <w:jc w:val="left"/>
              <w:rPr>
                <w:sz w:val="4"/>
                <w:szCs w:val="4"/>
              </w:rPr>
            </w:pPr>
            <w:r>
              <w:rPr>
                <w:sz w:val="4"/>
                <w:szCs w:val="4"/>
              </w:rPr>
            </w:r>
          </w:p>
        </w:tc>
      </w:tr>
      <w:tr>
        <w:trPr/>
        <w:tc>
          <w:tcPr>
            <w:tcW w:w="3765"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Sumita Ray</w:t>
            </w:r>
          </w:p>
          <w:p>
            <w:pPr>
              <w:pStyle w:val="TableContents"/>
              <w:bidi w:val="0"/>
              <w:spacing w:before="0" w:after="20"/>
              <w:jc w:val="center"/>
              <w:rPr>
                <w:rFonts w:ascii="Times New Roman" w:hAnsi="Times New Roman"/>
                <w:sz w:val="20"/>
              </w:rPr>
            </w:pPr>
            <w:r>
              <w:rPr>
                <w:rFonts w:ascii="Times New Roman" w:hAnsi="Times New Roman"/>
                <w:sz w:val="20"/>
              </w:rPr>
              <w:t>Sumita Ray, J.D.</w:t>
            </w:r>
          </w:p>
        </w:tc>
        <w:tc>
          <w:tcPr>
            <w:tcW w:w="122"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71" w:type="dxa"/>
            <w:tcBorders/>
          </w:tcPr>
          <w:p>
            <w:pPr>
              <w:pStyle w:val="TableContents"/>
              <w:bidi w:val="0"/>
              <w:spacing w:before="0" w:after="283"/>
              <w:jc w:val="center"/>
              <w:rPr/>
            </w:pPr>
            <w:r>
              <w:rPr/>
              <w:t>January 5, 2024</w:t>
            </w:r>
          </w:p>
        </w:tc>
      </w:tr>
    </w:tbl>
    <w:p>
      <w:pPr>
        <w:pStyle w:val="TextBody"/>
        <w:bidi w:val="0"/>
        <w:spacing w:before="0" w:after="0"/>
        <w:jc w:val="right"/>
        <w:rPr>
          <w:rFonts w:ascii="Times New Roman" w:hAnsi="Times New Roman"/>
          <w:b/>
          <w:sz w:val="20"/>
        </w:rPr>
      </w:pPr>
      <w:bookmarkStart w:id="4" w:name="d701282dex51.htm"/>
      <w:bookmarkStart w:id="5" w:name="ksd701282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48"/>
        <w:gridCol w:w="105"/>
        <w:gridCol w:w="3070"/>
        <w:gridCol w:w="120"/>
        <w:gridCol w:w="3162"/>
      </w:tblGrid>
      <w:tr>
        <w:trPr/>
        <w:tc>
          <w:tcPr>
            <w:tcW w:w="3748"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r>
      <w:tr>
        <w:trPr/>
        <w:tc>
          <w:tcPr>
            <w:tcW w:w="3748" w:type="dxa"/>
            <w:tcBorders/>
          </w:tcPr>
          <w:p>
            <w:pPr>
              <w:pStyle w:val="TableContents"/>
              <w:bidi w:val="0"/>
              <w:spacing w:before="0" w:after="283"/>
              <w:jc w:val="left"/>
              <w:rPr/>
            </w:pPr>
            <w:r>
              <w:rPr/>
              <w:drawing>
                <wp:inline distT="0" distB="0" distL="0" distR="0">
                  <wp:extent cx="19050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4"/>
                          <a:stretch>
                            <a:fillRect/>
                          </a:stretch>
                        </pic:blipFill>
                        <pic:spPr bwMode="auto">
                          <a:xfrm>
                            <a:off x="0" y="0"/>
                            <a:ext cx="1905000" cy="419100"/>
                          </a:xfrm>
                          <a:prstGeom prst="rect">
                            <a:avLst/>
                          </a:prstGeom>
                        </pic:spPr>
                      </pic:pic>
                    </a:graphicData>
                  </a:graphic>
                </wp:inline>
              </w:drawing>
            </w:r>
            <w:r>
              <w:rPr/>
              <w:t xml:space="preserve"> </w:t>
            </w:r>
          </w:p>
        </w:tc>
        <w:tc>
          <w:tcPr>
            <w:tcW w:w="105" w:type="dxa"/>
            <w:tcBorders/>
            <w:vAlign w:val="bottom"/>
          </w:tcPr>
          <w:p>
            <w:pPr>
              <w:pStyle w:val="TableContents"/>
              <w:bidi w:val="0"/>
              <w:spacing w:before="0" w:after="283"/>
              <w:jc w:val="left"/>
              <w:rPr/>
            </w:pPr>
            <w:r>
              <w:rPr/>
              <w:t> </w:t>
            </w:r>
          </w:p>
        </w:tc>
        <w:tc>
          <w:tcPr>
            <w:tcW w:w="307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62" w:type="dxa"/>
            <w:tcBorders/>
          </w:tcPr>
          <w:p>
            <w:pPr>
              <w:pStyle w:val="TableContents"/>
              <w:bidi w:val="0"/>
              <w:spacing w:before="0" w:after="0"/>
              <w:jc w:val="left"/>
              <w:rPr>
                <w:rFonts w:ascii="Times New Roman" w:hAnsi="Times New Roman"/>
                <w:sz w:val="20"/>
              </w:rPr>
            </w:pPr>
            <w:r>
              <w:rPr>
                <w:rFonts w:ascii="Times New Roman" w:hAnsi="Times New Roman"/>
                <w:sz w:val="20"/>
              </w:rPr>
              <w:t>Goodwin Procter LLP</w:t>
            </w:r>
          </w:p>
          <w:p>
            <w:pPr>
              <w:pStyle w:val="TableContents"/>
              <w:bidi w:val="0"/>
              <w:spacing w:before="0" w:after="20"/>
              <w:jc w:val="left"/>
              <w:rPr>
                <w:rFonts w:ascii="Times New Roman" w:hAnsi="Times New Roman"/>
                <w:sz w:val="20"/>
              </w:rPr>
            </w:pPr>
            <w:r>
              <w:rPr>
                <w:rFonts w:ascii="Times New Roman" w:hAnsi="Times New Roman"/>
                <w:sz w:val="20"/>
              </w:rPr>
              <w:t xml:space="preserve">Three Embarcadero Center </w:t>
              <w:br/>
              <w:t>San Francisco, CA 94111</w:t>
            </w:r>
          </w:p>
        </w:tc>
      </w:tr>
      <w:tr>
        <w:trPr>
          <w:trHeight w:val="120" w:hRule="atLeast"/>
        </w:trPr>
        <w:tc>
          <w:tcPr>
            <w:tcW w:w="3748" w:type="dxa"/>
            <w:tcBorders/>
            <w:vAlign w:val="center"/>
          </w:tcPr>
          <w:p>
            <w:pPr>
              <w:pStyle w:val="TableContents"/>
              <w:bidi w:val="0"/>
              <w:spacing w:before="0" w:after="283"/>
              <w:jc w:val="left"/>
              <w:rPr>
                <w:sz w:val="4"/>
                <w:szCs w:val="4"/>
              </w:rPr>
            </w:pPr>
            <w:r>
              <w:rPr>
                <w:sz w:val="4"/>
                <w:szCs w:val="4"/>
              </w:rPr>
            </w:r>
          </w:p>
        </w:tc>
        <w:tc>
          <w:tcPr>
            <w:tcW w:w="3175" w:type="dxa"/>
            <w:gridSpan w:val="2"/>
            <w:tcBorders/>
            <w:vAlign w:val="center"/>
          </w:tcPr>
          <w:p>
            <w:pPr>
              <w:pStyle w:val="TableContents"/>
              <w:bidi w:val="0"/>
              <w:spacing w:before="0" w:after="283"/>
              <w:jc w:val="left"/>
              <w:rPr>
                <w:sz w:val="4"/>
                <w:szCs w:val="4"/>
              </w:rPr>
            </w:pPr>
            <w:r>
              <w:rPr>
                <w:sz w:val="4"/>
                <w:szCs w:val="4"/>
              </w:rPr>
            </w:r>
          </w:p>
        </w:tc>
        <w:tc>
          <w:tcPr>
            <w:tcW w:w="3282" w:type="dxa"/>
            <w:gridSpan w:val="2"/>
            <w:tcBorders/>
            <w:vAlign w:val="center"/>
          </w:tcPr>
          <w:p>
            <w:pPr>
              <w:pStyle w:val="TableContents"/>
              <w:bidi w:val="0"/>
              <w:spacing w:before="0" w:after="283"/>
              <w:jc w:val="left"/>
              <w:rPr>
                <w:sz w:val="4"/>
                <w:szCs w:val="4"/>
              </w:rPr>
            </w:pPr>
            <w:r>
              <w:rPr>
                <w:sz w:val="4"/>
                <w:szCs w:val="4"/>
              </w:rPr>
            </w:r>
          </w:p>
        </w:tc>
      </w:tr>
      <w:tr>
        <w:trPr/>
        <w:tc>
          <w:tcPr>
            <w:tcW w:w="3748"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07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goodwinlaw.com </w:t>
              <w:br/>
              <w:t>+1 415 733 6000</w:t>
            </w:r>
          </w:p>
          <w:p>
            <w:pPr>
              <w:pStyle w:val="TableContents"/>
              <w:bidi w:val="0"/>
              <w:spacing w:before="0" w:after="20"/>
              <w:jc w:val="left"/>
              <w:rPr>
                <w:rFonts w:ascii="Times New Roman" w:hAnsi="Times New Roman"/>
                <w:sz w:val="20"/>
              </w:rPr>
            </w:pPr>
            <w:r>
              <w:rPr>
                <w:rFonts w:ascii="Times New Roman" w:hAnsi="Times New Roman"/>
                <w:sz w:val="20"/>
              </w:rPr>
              <w:t>January 5, 2024</w:t>
            </w:r>
          </w:p>
        </w:tc>
      </w:tr>
    </w:tbl>
    <w:p>
      <w:pPr>
        <w:pStyle w:val="TextBody"/>
        <w:bidi w:val="0"/>
        <w:spacing w:before="240" w:after="0"/>
        <w:jc w:val="left"/>
        <w:rPr>
          <w:rFonts w:ascii="Times New Roman" w:hAnsi="Times New Roman"/>
          <w:sz w:val="20"/>
        </w:rPr>
      </w:pPr>
      <w:r>
        <w:rPr>
          <w:rFonts w:ascii="Times New Roman" w:hAnsi="Times New Roman"/>
          <w:sz w:val="20"/>
        </w:rPr>
        <w:t xml:space="preserve">Biomea Fusion, Inc. </w:t>
      </w:r>
    </w:p>
    <w:p>
      <w:pPr>
        <w:pStyle w:val="TextBody"/>
        <w:bidi w:val="0"/>
        <w:spacing w:before="0" w:after="0"/>
        <w:jc w:val="left"/>
        <w:rPr>
          <w:rFonts w:ascii="Times New Roman" w:hAnsi="Times New Roman"/>
          <w:sz w:val="20"/>
        </w:rPr>
      </w:pPr>
      <w:r>
        <w:rPr>
          <w:rFonts w:ascii="Times New Roman" w:hAnsi="Times New Roman"/>
          <w:sz w:val="20"/>
        </w:rPr>
        <w:t xml:space="preserve">900 Middlefield Road, 4th Floor </w:t>
      </w:r>
    </w:p>
    <w:p>
      <w:pPr>
        <w:pStyle w:val="TextBody"/>
        <w:bidi w:val="0"/>
        <w:spacing w:before="0" w:after="0"/>
        <w:jc w:val="left"/>
        <w:rPr>
          <w:rFonts w:ascii="Times New Roman" w:hAnsi="Times New Roman"/>
          <w:sz w:val="20"/>
        </w:rPr>
      </w:pPr>
      <w:r>
        <w:rPr>
          <w:rFonts w:ascii="Times New Roman" w:hAnsi="Times New Roman"/>
          <w:sz w:val="20"/>
        </w:rPr>
        <w:t xml:space="preserve">Redwood City, California 94063 </w:t>
      </w:r>
    </w:p>
    <w:p>
      <w:pPr>
        <w:pStyle w:val="TextBody"/>
        <w:bidi w:val="0"/>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Securities Being Registered under Registration Statement on Form S-8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counsel to you in connection with your filing of a Registration Statement on Form S-8 (the Registration Statement) pursuant to the Securities Act of 1933, as amended (the Securities Act), on or about the date hereof relating to an aggregate of 4,158,711 shares (the Shares) of common stock, $0.0001 par value per share (Common Stock), of Biomea Fusion, Inc., a Delaware corporation (the Company), that may be issued pursuant to the Companys 2023 Inducement Plan (the Inducement Plan), 2021 Incentive Award Plan (the 2021 Plan) and 2021 Employee Stock Purchase Plan (the ESPP and, together with the Inducement Plan and the 2021 Plan, the Plans). </w:t>
      </w:r>
    </w:p>
    <w:p>
      <w:pPr>
        <w:pStyle w:val="TextBody"/>
        <w:bidi w:val="0"/>
        <w:spacing w:before="240" w:after="0"/>
        <w:jc w:val="left"/>
        <w:rPr>
          <w:rFonts w:ascii="Times New Roman" w:hAnsi="Times New Roman"/>
          <w:sz w:val="20"/>
        </w:rPr>
      </w:pPr>
      <w:r>
        <w:rPr>
          <w:rFonts w:ascii="Times New Roman" w:hAnsi="Times New Roman"/>
          <w:sz w:val="20"/>
        </w:rPr>
        <w:t xml:space="preserve">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 . </w:t>
      </w:r>
    </w:p>
    <w:p>
      <w:pPr>
        <w:pStyle w:val="TextBody"/>
        <w:bidi w:val="0"/>
        <w:spacing w:before="240" w:after="0"/>
        <w:jc w:val="left"/>
        <w:rPr>
          <w:rFonts w:ascii="Times New Roman" w:hAnsi="Times New Roman"/>
          <w:sz w:val="20"/>
        </w:rPr>
      </w:pPr>
      <w:r>
        <w:rPr>
          <w:rFonts w:ascii="Times New Roman" w:hAnsi="Times New Roman"/>
          <w:sz w:val="20"/>
        </w:rPr>
        <w:t xml:space="preserve">The opinion set forth below is limited to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opinion set forth below, we have assumed that no event occurs that causes the number of authorized shares of Common Stock available for issuance by the Company to be less than the number of then unissued Shares.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we are of the opinion that the Shares have been duly authorized and, upon issuance and delivery against payment therefor in accordance with the terms of the Plans,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and the opinion it contains shall be interpreted in accordance with the Core Opinion Principles as published in 74 </w:t>
      </w:r>
      <w:r>
        <w:rPr>
          <w:rFonts w:ascii="Times New Roman" w:hAnsi="Times New Roman"/>
          <w:i/>
          <w:sz w:val="20"/>
        </w:rPr>
        <w:t>Business Lawyer</w:t>
      </w:r>
      <w:r>
        <w:rPr>
          <w:rFonts w:ascii="Times New Roman" w:hAnsi="Times New Roman"/>
          <w:sz w:val="20"/>
        </w:rPr>
        <w:t xml:space="preserve"> 815 (Summer 2019).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inclusion of this opinion as Exhibit 5.1 to the Registration Statement. In giving our consent, we do not admit that we are in the category of persons whose consent is required under Section 7 of the Securities Act or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Goodwin Procter LLP</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GOODWIN PROCTER LLP</w:t>
            </w:r>
          </w:p>
        </w:tc>
      </w:tr>
    </w:tbl>
    <w:p>
      <w:pPr>
        <w:pStyle w:val="TextBody"/>
        <w:bidi w:val="0"/>
        <w:spacing w:before="0" w:after="0"/>
        <w:jc w:val="right"/>
        <w:rPr>
          <w:rFonts w:ascii="Times New Roman" w:hAnsi="Times New Roman"/>
          <w:b/>
          <w:sz w:val="20"/>
        </w:rPr>
      </w:pPr>
      <w:bookmarkStart w:id="6" w:name="d701282dex231.htm"/>
      <w:bookmarkStart w:id="7" w:name="ksd701282dex231"/>
      <w:bookmarkEnd w:id="6"/>
      <w:bookmarkEnd w:id="7"/>
      <w:r>
        <w:rPr>
          <w:rFonts w:ascii="Times New Roman" w:hAnsi="Times New Roman"/>
          <w:b/>
          <w:sz w:val="20"/>
        </w:rPr>
        <w:t xml:space="preserve">Exhibit 23.1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S-8 of our report dated March 28, 2023 relating to the financial statements of Biomea Fusion, Inc., appearing in the Annual Report on Form 10-K of Biomea Fusion, Inc. for the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San Francisco, California </w:t>
      </w:r>
    </w:p>
    <w:p>
      <w:pPr>
        <w:pStyle w:val="TextBody"/>
        <w:bidi w:val="0"/>
        <w:spacing w:before="240" w:after="0"/>
        <w:jc w:val="left"/>
        <w:rPr>
          <w:rFonts w:ascii="Times New Roman" w:hAnsi="Times New Roman"/>
          <w:sz w:val="20"/>
        </w:rPr>
      </w:pPr>
      <w:r>
        <w:rPr>
          <w:rFonts w:ascii="Times New Roman" w:hAnsi="Times New Roman"/>
          <w:sz w:val="20"/>
        </w:rPr>
        <w:t xml:space="preserve">January 5, 2024 </w:t>
      </w:r>
    </w:p>
    <w:p>
      <w:pPr>
        <w:pStyle w:val="TextBody"/>
        <w:bidi w:val="0"/>
        <w:spacing w:before="0" w:after="0"/>
        <w:jc w:val="right"/>
        <w:rPr>
          <w:rFonts w:ascii="Times New Roman" w:hAnsi="Times New Roman"/>
          <w:b/>
          <w:sz w:val="20"/>
        </w:rPr>
      </w:pPr>
      <w:bookmarkStart w:id="8" w:name="d701282dex993a.htm"/>
      <w:bookmarkStart w:id="9" w:name="ksd701282dex993a"/>
      <w:bookmarkEnd w:id="8"/>
      <w:bookmarkEnd w:id="9"/>
      <w:r>
        <w:rPr>
          <w:rFonts w:ascii="Times New Roman" w:hAnsi="Times New Roman"/>
          <w:b/>
          <w:sz w:val="20"/>
        </w:rPr>
        <w:t xml:space="preserve">Exhibit 99.3(a)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BIOMEA FUSION, INC. </w:t>
      </w:r>
    </w:p>
    <w:p>
      <w:pPr>
        <w:pStyle w:val="TextBody"/>
        <w:bidi w:val="0"/>
        <w:spacing w:before="0" w:after="0"/>
        <w:jc w:val="center"/>
        <w:rPr>
          <w:rFonts w:ascii="Times New Roman" w:hAnsi="Times New Roman"/>
          <w:b/>
          <w:sz w:val="20"/>
        </w:rPr>
      </w:pPr>
      <w:r>
        <w:rPr>
          <w:rFonts w:ascii="Times New Roman" w:hAnsi="Times New Roman"/>
          <w:b/>
          <w:sz w:val="20"/>
        </w:rPr>
        <w:t xml:space="preserve">2023 INDUCEMENT PLAN </w:t>
      </w:r>
    </w:p>
    <w:p>
      <w:pPr>
        <w:pStyle w:val="TextBody"/>
        <w:bidi w:val="0"/>
        <w:spacing w:before="12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PURPOSE </w:t>
      </w:r>
    </w:p>
    <w:p>
      <w:pPr>
        <w:pStyle w:val="TextBody"/>
        <w:bidi w:val="0"/>
        <w:spacing w:before="240" w:after="0"/>
        <w:jc w:val="left"/>
        <w:rPr>
          <w:rFonts w:ascii="Times New Roman" w:hAnsi="Times New Roman"/>
          <w:sz w:val="20"/>
        </w:rPr>
      </w:pPr>
      <w:r>
        <w:rPr>
          <w:rFonts w:ascii="Times New Roman" w:hAnsi="Times New Roman"/>
          <w:sz w:val="20"/>
        </w:rPr>
        <w:t xml:space="preserve">The Plans purpose is to enable the Company to grant equity awards to induce highly-qualified prospective officers and employees who are not currently employed by the Company or any of its Subsidiaries to accept employment and provide these individuals with a proprietary interest in the Company. The Company intends that the Plan be reserved for persons whom the Company may issue securities without stockholder approval as an inducement pursuant to Rule 5635(c)(4) of the Marketplace Rules of the NASDAQ Stock Market, Inc.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As used in the Plan, the following words and phrases have the meanings specified below, unless the context clearly indicates otherwise: </w:t>
      </w:r>
    </w:p>
    <w:p>
      <w:pPr>
        <w:pStyle w:val="TextBody"/>
        <w:bidi w:val="0"/>
        <w:spacing w:before="120" w:after="0"/>
        <w:jc w:val="left"/>
        <w:rPr>
          <w:rFonts w:ascii="Times New Roman" w:hAnsi="Times New Roman"/>
          <w:sz w:val="20"/>
        </w:rPr>
      </w:pPr>
      <w:r>
        <w:rPr>
          <w:rFonts w:ascii="Times New Roman" w:hAnsi="Times New Roman"/>
          <w:sz w:val="20"/>
        </w:rPr>
        <w:t>2.1 </w:t>
      </w:r>
      <w:r>
        <w:rPr>
          <w:rFonts w:ascii="Times New Roman" w:hAnsi="Times New Roman"/>
          <w:b/>
          <w:i/>
          <w:sz w:val="20"/>
        </w:rPr>
        <w:t>Administrator</w:t>
      </w:r>
      <w:r>
        <w:rPr>
          <w:rFonts w:ascii="Times New Roman" w:hAnsi="Times New Roman"/>
          <w:sz w:val="20"/>
        </w:rPr>
        <w:t xml:space="preserve"> means the Board, the compensation committee of the Board or a similar Committee performing the functions of the compensation committee and which is comprised of not less than two Non-Employee Directors who are independent. </w:t>
      </w:r>
    </w:p>
    <w:p>
      <w:pPr>
        <w:pStyle w:val="TextBody"/>
        <w:bidi w:val="0"/>
        <w:spacing w:before="240" w:after="0"/>
        <w:jc w:val="left"/>
        <w:rPr>
          <w:rFonts w:ascii="Times New Roman" w:hAnsi="Times New Roman"/>
          <w:sz w:val="20"/>
        </w:rPr>
      </w:pPr>
      <w:r>
        <w:rPr>
          <w:rFonts w:ascii="Times New Roman" w:hAnsi="Times New Roman"/>
          <w:sz w:val="20"/>
        </w:rPr>
        <w:t>2.2 </w:t>
      </w:r>
      <w:r>
        <w:rPr>
          <w:rFonts w:ascii="Times New Roman" w:hAnsi="Times New Roman"/>
          <w:b/>
          <w:i/>
          <w:sz w:val="20"/>
        </w:rPr>
        <w:t>Applicable Law</w:t>
      </w:r>
      <w:r>
        <w:rPr>
          <w:rFonts w:ascii="Times New Roman" w:hAnsi="Times New Roman"/>
          <w:sz w:val="20"/>
        </w:rPr>
        <w:t xml:space="preserve"> 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 </w:t>
      </w:r>
    </w:p>
    <w:p>
      <w:pPr>
        <w:pStyle w:val="TextBody"/>
        <w:bidi w:val="0"/>
        <w:spacing w:before="240" w:after="0"/>
        <w:jc w:val="left"/>
        <w:rPr>
          <w:rFonts w:ascii="Times New Roman" w:hAnsi="Times New Roman"/>
          <w:sz w:val="20"/>
        </w:rPr>
      </w:pPr>
      <w:r>
        <w:rPr>
          <w:rFonts w:ascii="Times New Roman" w:hAnsi="Times New Roman"/>
          <w:sz w:val="20"/>
        </w:rPr>
        <w:t>2.3 </w:t>
      </w:r>
      <w:r>
        <w:rPr>
          <w:rFonts w:ascii="Times New Roman" w:hAnsi="Times New Roman"/>
          <w:b/>
          <w:i/>
          <w:sz w:val="20"/>
        </w:rPr>
        <w:t>Award</w:t>
      </w:r>
      <w:r>
        <w:rPr>
          <w:rFonts w:ascii="Times New Roman" w:hAnsi="Times New Roman"/>
          <w:sz w:val="20"/>
        </w:rPr>
        <w:t xml:space="preserve"> means a Nonqualified Stock Option, Stock Appreciation Right, Restricted Stock award, Restricted Stock Unit award, Performance Stock Unit award, Unrestricted Stock Award, Dividend Equivalents award or Other Stock Based Award granted to a Participant under the Plan. </w:t>
      </w:r>
    </w:p>
    <w:p>
      <w:pPr>
        <w:pStyle w:val="TextBody"/>
        <w:bidi w:val="0"/>
        <w:spacing w:before="240" w:after="0"/>
        <w:jc w:val="left"/>
        <w:rPr>
          <w:rFonts w:ascii="Times New Roman" w:hAnsi="Times New Roman"/>
          <w:sz w:val="20"/>
        </w:rPr>
      </w:pPr>
      <w:r>
        <w:rPr>
          <w:rFonts w:ascii="Times New Roman" w:hAnsi="Times New Roman"/>
          <w:sz w:val="20"/>
        </w:rPr>
        <w:t>2.4 </w:t>
      </w:r>
      <w:r>
        <w:rPr>
          <w:rFonts w:ascii="Times New Roman" w:hAnsi="Times New Roman"/>
          <w:b/>
          <w:i/>
          <w:sz w:val="20"/>
        </w:rPr>
        <w:t>Award Agreement</w:t>
      </w:r>
      <w:r>
        <w:rPr>
          <w:rFonts w:ascii="Times New Roman" w:hAnsi="Times New Roman"/>
          <w:sz w:val="20"/>
        </w:rPr>
        <w:t xml:space="preserve"> means an agreement evidencing an Award, which may be written or electronic, that contains such terms and conditions as the Administrator determines, consistent with and subject to the terms and conditions of the Plan. </w:t>
      </w:r>
    </w:p>
    <w:p>
      <w:pPr>
        <w:pStyle w:val="TextBody"/>
        <w:bidi w:val="0"/>
        <w:spacing w:before="240" w:after="0"/>
        <w:jc w:val="left"/>
        <w:rPr>
          <w:rFonts w:ascii="Times New Roman" w:hAnsi="Times New Roman"/>
          <w:sz w:val="20"/>
        </w:rPr>
      </w:pPr>
      <w:r>
        <w:rPr>
          <w:rFonts w:ascii="Times New Roman" w:hAnsi="Times New Roman"/>
          <w:sz w:val="20"/>
        </w:rPr>
        <w:t>2.5 </w:t>
      </w:r>
      <w:r>
        <w:rPr>
          <w:rFonts w:ascii="Times New Roman" w:hAnsi="Times New Roman"/>
          <w:b/>
          <w:i/>
          <w:sz w:val="20"/>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2.6 </w:t>
      </w:r>
      <w:r>
        <w:rPr>
          <w:rFonts w:ascii="Times New Roman" w:hAnsi="Times New Roman"/>
          <w:b/>
          <w:i/>
          <w:sz w:val="20"/>
        </w:rPr>
        <w:t>Cause</w:t>
      </w:r>
      <w:r>
        <w:rPr>
          <w:rFonts w:ascii="Times New Roman" w:hAnsi="Times New Roman"/>
          <w:sz w:val="20"/>
        </w:rPr>
        <w:t xml:space="preserve"> shall have the meaning ascribed to such term, or term of similar effect, in any offer letter, employment, severance or similar agreement, including any Award Agreement, between the Participant and the Company; provided, that in the absence of an offer letter, employment, severance or similar agreement containing such definition, Cause means, with respect to a Participant, the occurrence of any of the following: (a) an act of dishonesty made by the Participant in connection with the Participants responsibilities as a Service Provider; (b) the Participants conviction of, or plea of nolo contendere to, a felony or any crime involving fraud, embezzlement or any other act of moral turpitude, or a material violation of federal or state law by the Participant that the Administrator reasonably determines has had or will have a material detrimental effect on the Companys reputation or business; (c) the Participants gross misconduct; (d) the Participants willful and material unauthorized use or disclosure of any proprietary information or trade secrets of the Company or any other party to whom the Participant owes an obligation of nondisclosure as a result of the Participants relationship with the Company; (e) the Participants willful breach of any material obligations under any written agreement or covenant with the Company; or (f) the Participants continued substantial failure to perform the Participants duties as a Service Provider (other than as a result of the Participants physical or mental incapacity) after the Participant has received a written demand for performance that specifically sets forth the factual basis for the determination that the Participant has not substantially performed the Participants duties and has failed to cure such non-performance to the Administrators reasonable satisfaction within 30 business days after receiving such notice. For purposes of this Section 2.6, no act or failure to act shall be considered willful unless it is done in bad faith and without reasonable intent that the act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failure to act was in the best interest of the Company or required by law. Any act, or failure to act, based upon authority or instructions given to the Participant pursuant to a direct instruction from the Companys chief executive officer or based on the advice of counsel for the Company will be conclusively presumed to be done or omitted to be done by the Participant in good faith and in the best interest of the Company. </w:t>
      </w:r>
    </w:p>
    <w:p>
      <w:pPr>
        <w:pStyle w:val="TextBody"/>
        <w:bidi w:val="0"/>
        <w:spacing w:before="240" w:after="0"/>
        <w:jc w:val="left"/>
        <w:rPr>
          <w:rFonts w:ascii="Times New Roman" w:hAnsi="Times New Roman"/>
          <w:sz w:val="20"/>
        </w:rPr>
      </w:pPr>
      <w:r>
        <w:rPr>
          <w:rFonts w:ascii="Times New Roman" w:hAnsi="Times New Roman"/>
          <w:sz w:val="20"/>
        </w:rPr>
        <w:t>2.7 </w:t>
      </w:r>
      <w:r>
        <w:rPr>
          <w:rFonts w:ascii="Times New Roman" w:hAnsi="Times New Roman"/>
          <w:b/>
          <w:i/>
          <w:sz w:val="20"/>
        </w:rPr>
        <w:t>Change in Control</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the Companys securities possessing more than 50% of the total combined voting power of the Companys securities outstanding immediately after such acquisition; provided, however,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2.7(c)(i), 2.7(c)(ii) and 2.7(c)(iii); or (iv) in respect of an Award held by a particular Participant, any acquisition by the Participant or any group of persons including the Participant (or any entity controlled by the Participant or any group of persons including the Participant); </w:t>
      </w:r>
    </w:p>
    <w:p>
      <w:pPr>
        <w:pStyle w:val="TextBody"/>
        <w:bidi w:val="0"/>
        <w:spacing w:before="240" w:after="0"/>
        <w:jc w:val="left"/>
        <w:rPr>
          <w:rFonts w:ascii="Times New Roman" w:hAnsi="Times New Roman"/>
          <w:sz w:val="20"/>
        </w:rPr>
      </w:pPr>
      <w:r>
        <w:rPr>
          <w:rFonts w:ascii="Times New Roman" w:hAnsi="Times New Roman"/>
          <w:sz w:val="20"/>
        </w:rPr>
        <w:t xml:space="preserve">(b) The Incumbent Directors cease for any reason to constitute a majority of the Board; </w:t>
      </w:r>
    </w:p>
    <w:p>
      <w:pPr>
        <w:pStyle w:val="TextBody"/>
        <w:bidi w:val="0"/>
        <w:spacing w:before="240" w:after="0"/>
        <w:jc w:val="left"/>
        <w:rPr>
          <w:rFonts w:ascii="Times New Roman" w:hAnsi="Times New Roman"/>
          <w:sz w:val="20"/>
        </w:rPr>
      </w:pPr>
      <w:r>
        <w:rPr>
          <w:rFonts w:ascii="Times New Roman" w:hAnsi="Times New Roman"/>
          <w:sz w:val="20"/>
        </w:rPr>
        <w:t xml:space="preserve">(c) 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 </w:t>
      </w:r>
    </w:p>
    <w:p>
      <w:pPr>
        <w:pStyle w:val="TextBody"/>
        <w:bidi w:val="0"/>
        <w:spacing w:before="120" w:after="0"/>
        <w:jc w:val="left"/>
        <w:rPr>
          <w:rFonts w:ascii="Times New Roman" w:hAnsi="Times New Roman"/>
          <w:sz w:val="20"/>
        </w:rPr>
      </w:pPr>
      <w:r>
        <w:rPr>
          <w:rFonts w:ascii="Times New Roman" w:hAnsi="Times New Roman"/>
          <w:sz w:val="20"/>
        </w:rPr>
        <w:t>(i)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hAnsi="Times New Roman"/>
          <w:b/>
          <w:i/>
          <w:sz w:val="20"/>
        </w:rPr>
        <w:t>Successor Entity</w:t>
      </w:r>
      <w:r>
        <w:rPr>
          <w:rFonts w:ascii="Times New Roman" w:hAnsi="Times New Roman"/>
          <w:sz w:val="20"/>
        </w:rPr>
        <w:t xml:space="preserve">)) directly or indirectly, at least a majority of the combined voting power of the Successor Entitys outstanding voting securities immediately after the transaction; </w:t>
      </w:r>
    </w:p>
    <w:p>
      <w:pPr>
        <w:pStyle w:val="TextBody"/>
        <w:bidi w:val="0"/>
        <w:spacing w:before="240" w:after="0"/>
        <w:jc w:val="left"/>
        <w:rPr>
          <w:rFonts w:ascii="Times New Roman" w:hAnsi="Times New Roman"/>
          <w:sz w:val="20"/>
        </w:rPr>
      </w:pPr>
      <w:r>
        <w:rPr>
          <w:rFonts w:ascii="Times New Roman" w:hAnsi="Times New Roman"/>
          <w:sz w:val="20"/>
        </w:rPr>
        <w:t>(ii) after which no person or group beneficially owns voting securities representing 50% or more of the combined voting power of the Successor Entity; provided</w:t>
      </w:r>
      <w:r>
        <w:rPr>
          <w:rFonts w:ascii="Times New Roman" w:hAnsi="Times New Roman"/>
          <w:i/>
          <w:sz w:val="20"/>
        </w:rPr>
        <w:t>,</w:t>
      </w:r>
      <w:r>
        <w:rPr>
          <w:rFonts w:ascii="Times New Roman" w:hAnsi="Times New Roman"/>
          <w:sz w:val="20"/>
        </w:rPr>
        <w:t xml:space="preserve"> however, that no person or group shall be treated for purposes of this Section 2.7.(c)(ii) as beneficially owning 50% or more of the combined voting power of the Successor Entity solely as a result of the voting power held in the Company prior to the consummation of the transaction; and </w:t>
      </w:r>
    </w:p>
    <w:p>
      <w:pPr>
        <w:pStyle w:val="TextBody"/>
        <w:bidi w:val="0"/>
        <w:spacing w:before="240" w:after="0"/>
        <w:jc w:val="left"/>
        <w:rPr>
          <w:rFonts w:ascii="Times New Roman" w:hAnsi="Times New Roman"/>
          <w:sz w:val="20"/>
        </w:rPr>
      </w:pPr>
      <w:r>
        <w:rPr>
          <w:rFonts w:ascii="Times New Roman" w:hAnsi="Times New Roman"/>
          <w:sz w:val="20"/>
        </w:rPr>
        <w:t xml:space="preserve">(iii) after which at least a majority of the members of the board of directors (or the analogous governing body) of the Successor Entity were Board members at the time of the Boards approval of the execution of the initial agreement providing for such transaction; or </w:t>
      </w:r>
    </w:p>
    <w:p>
      <w:pPr>
        <w:pStyle w:val="TextBody"/>
        <w:bidi w:val="0"/>
        <w:spacing w:before="240" w:after="0"/>
        <w:jc w:val="left"/>
        <w:rPr>
          <w:rFonts w:ascii="Times New Roman" w:hAnsi="Times New Roman"/>
          <w:sz w:val="20"/>
        </w:rPr>
      </w:pPr>
      <w:r>
        <w:rPr>
          <w:rFonts w:ascii="Times New Roman" w:hAnsi="Times New Roman"/>
          <w:sz w:val="20"/>
        </w:rPr>
        <w:t xml:space="preserve">(d) The completion of a liquidation or dissolution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of this Section 2.7 with respect to such Award (or portion thereof) shall only constitute a Change in Control for purposes of the payment timing of such Award if such transaction also constitutes a change in control event, as defined in Treasury Regulation Section 1.409A-3(i)(5).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Administrator shall have full and final authority, which shall be exercised in its sole discretion, to determine conclusively whether a Change in Control has occurred pursuant to the above definition, the date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 </w:t>
      </w:r>
    </w:p>
    <w:p>
      <w:pPr>
        <w:pStyle w:val="TextBody"/>
        <w:bidi w:val="0"/>
        <w:spacing w:before="240" w:after="0"/>
        <w:jc w:val="left"/>
        <w:rPr>
          <w:rFonts w:ascii="Times New Roman" w:hAnsi="Times New Roman"/>
          <w:sz w:val="20"/>
        </w:rPr>
      </w:pPr>
      <w:r>
        <w:rPr>
          <w:rFonts w:ascii="Times New Roman" w:hAnsi="Times New Roman"/>
          <w:sz w:val="20"/>
        </w:rPr>
        <w:t>2.8 </w:t>
      </w:r>
      <w:r>
        <w:rPr>
          <w:rFonts w:ascii="Times New Roman" w:hAnsi="Times New Roman"/>
          <w:b/>
          <w:i/>
          <w:sz w:val="20"/>
        </w:rPr>
        <w:t>Code</w:t>
      </w:r>
      <w:r>
        <w:rPr>
          <w:rFonts w:ascii="Times New Roman" w:hAnsi="Times New Roman"/>
          <w:sz w:val="20"/>
        </w:rPr>
        <w:t xml:space="preserve"> means the U.S. Internal Revenue Code of 1986, as amended, and all regulations, guidance, compliance programs and other interpretative authority issued thereunder. </w:t>
      </w:r>
    </w:p>
    <w:p>
      <w:pPr>
        <w:pStyle w:val="TextBody"/>
        <w:bidi w:val="0"/>
        <w:spacing w:before="240" w:after="0"/>
        <w:jc w:val="left"/>
        <w:rPr>
          <w:rFonts w:ascii="Times New Roman" w:hAnsi="Times New Roman"/>
          <w:sz w:val="20"/>
        </w:rPr>
      </w:pPr>
      <w:r>
        <w:rPr>
          <w:rFonts w:ascii="Times New Roman" w:hAnsi="Times New Roman"/>
          <w:sz w:val="20"/>
        </w:rPr>
        <w:t>2.9 </w:t>
      </w:r>
      <w:r>
        <w:rPr>
          <w:rFonts w:ascii="Times New Roman" w:hAnsi="Times New Roman"/>
          <w:b/>
          <w:i/>
          <w:sz w:val="20"/>
        </w:rPr>
        <w:t>Committee</w:t>
      </w:r>
      <w:r>
        <w:rPr>
          <w:rFonts w:ascii="Times New Roman" w:hAnsi="Times New Roman"/>
          <w:sz w:val="20"/>
        </w:rPr>
        <w:t xml:space="preserve"> means one or more committees or subcommittees of the Board, which may include one or more Company directors or executive officers, to the extent permitted by Applicable Law.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 </w:t>
      </w:r>
    </w:p>
    <w:p>
      <w:pPr>
        <w:pStyle w:val="TextBody"/>
        <w:bidi w:val="0"/>
        <w:spacing w:before="240" w:after="0"/>
        <w:jc w:val="left"/>
        <w:rPr>
          <w:rFonts w:ascii="Times New Roman" w:hAnsi="Times New Roman"/>
          <w:sz w:val="20"/>
        </w:rPr>
      </w:pPr>
      <w:r>
        <w:rPr>
          <w:rFonts w:ascii="Times New Roman" w:hAnsi="Times New Roman"/>
          <w:sz w:val="20"/>
        </w:rPr>
        <w:t>2.10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sz w:val="20"/>
        </w:rPr>
        <w:t>2.11 </w:t>
      </w:r>
      <w:r>
        <w:rPr>
          <w:rFonts w:ascii="Times New Roman" w:hAnsi="Times New Roman"/>
          <w:b/>
          <w:i/>
          <w:sz w:val="20"/>
        </w:rPr>
        <w:t>Company</w:t>
      </w:r>
      <w:r>
        <w:rPr>
          <w:rFonts w:ascii="Times New Roman" w:hAnsi="Times New Roman"/>
          <w:sz w:val="20"/>
        </w:rPr>
        <w:t xml:space="preserve"> means Biomea Fusion, Inc., a Delaware corporation, or any successor. </w:t>
      </w:r>
    </w:p>
    <w:p>
      <w:pPr>
        <w:pStyle w:val="TextBody"/>
        <w:bidi w:val="0"/>
        <w:spacing w:before="240" w:after="0"/>
        <w:jc w:val="left"/>
        <w:rPr>
          <w:rFonts w:ascii="Times New Roman" w:hAnsi="Times New Roman"/>
          <w:sz w:val="20"/>
        </w:rPr>
      </w:pPr>
      <w:r>
        <w:rPr>
          <w:rFonts w:ascii="Times New Roman" w:hAnsi="Times New Roman"/>
          <w:sz w:val="20"/>
        </w:rPr>
        <w:t>2.12 </w:t>
      </w:r>
      <w:r>
        <w:rPr>
          <w:rFonts w:ascii="Times New Roman" w:hAnsi="Times New Roman"/>
          <w:b/>
          <w:i/>
          <w:sz w:val="20"/>
        </w:rPr>
        <w:t>Consultant</w:t>
      </w:r>
      <w:r>
        <w:rPr>
          <w:rFonts w:ascii="Times New Roman" w:hAnsi="Times New Roman"/>
          <w:sz w:val="20"/>
        </w:rPr>
        <w:t xml:space="preserve"> means any person, including any adviser, engaged by the Company or a Subsidiary to render services to such entity if the consultant or adviser: (i) renders bona fide services to the Company or a Subsidiary; (ii) renders services not in connection with the offer or sale of securities in a capital-raising transaction and does not directly or indirectly promote or maintain a market for the Companys securities; and (iii) is a natural person. </w:t>
      </w:r>
    </w:p>
    <w:p>
      <w:pPr>
        <w:pStyle w:val="TextBody"/>
        <w:bidi w:val="0"/>
        <w:spacing w:before="240" w:after="0"/>
        <w:jc w:val="left"/>
        <w:rPr>
          <w:rFonts w:ascii="Times New Roman" w:hAnsi="Times New Roman"/>
          <w:sz w:val="20"/>
        </w:rPr>
      </w:pPr>
      <w:r>
        <w:rPr>
          <w:rFonts w:ascii="Times New Roman" w:hAnsi="Times New Roman"/>
          <w:sz w:val="20"/>
        </w:rPr>
        <w:t>2.13 </w:t>
      </w:r>
      <w:r>
        <w:rPr>
          <w:rFonts w:ascii="Times New Roman" w:hAnsi="Times New Roman"/>
          <w:b/>
          <w:i/>
          <w:sz w:val="20"/>
        </w:rPr>
        <w:t>Designated Beneficiary</w:t>
      </w:r>
      <w:r>
        <w:rPr>
          <w:rFonts w:ascii="Times New Roman" w:hAnsi="Times New Roman"/>
          <w:sz w:val="20"/>
        </w:rPr>
        <w:t xml:space="preserve"> means, if permitted by the Company, the beneficiary or beneficiaries the Participant designates, in a manner the Company determines, to receive amounts due or exercise the Participants rights if the Participant dies. Without a Participants effective designation, Designated Beneficiary will mean the Participants estate or legal heirs. </w:t>
      </w:r>
    </w:p>
    <w:p>
      <w:pPr>
        <w:pStyle w:val="TextBody"/>
        <w:bidi w:val="0"/>
        <w:spacing w:before="240" w:after="0"/>
        <w:jc w:val="left"/>
        <w:rPr>
          <w:rFonts w:ascii="Times New Roman" w:hAnsi="Times New Roman"/>
          <w:sz w:val="20"/>
        </w:rPr>
      </w:pPr>
      <w:r>
        <w:rPr>
          <w:rFonts w:ascii="Times New Roman" w:hAnsi="Times New Roman"/>
          <w:sz w:val="20"/>
        </w:rPr>
        <w:t>2.14 </w:t>
      </w:r>
      <w:r>
        <w:rPr>
          <w:rFonts w:ascii="Times New Roman" w:hAnsi="Times New Roman"/>
          <w:b/>
          <w:i/>
          <w:sz w:val="20"/>
        </w:rPr>
        <w:t>Director</w:t>
      </w:r>
      <w:r>
        <w:rPr>
          <w:rFonts w:ascii="Times New Roman" w:hAnsi="Times New Roman"/>
          <w:sz w:val="20"/>
        </w:rPr>
        <w:t xml:space="preserve"> means a Board member. </w:t>
      </w:r>
    </w:p>
    <w:p>
      <w:pPr>
        <w:pStyle w:val="TextBody"/>
        <w:bidi w:val="0"/>
        <w:spacing w:before="240" w:after="0"/>
        <w:jc w:val="left"/>
        <w:rPr>
          <w:rFonts w:ascii="Times New Roman" w:hAnsi="Times New Roman"/>
          <w:sz w:val="20"/>
        </w:rPr>
      </w:pPr>
      <w:r>
        <w:rPr>
          <w:rFonts w:ascii="Times New Roman" w:hAnsi="Times New Roman"/>
          <w:sz w:val="20"/>
        </w:rPr>
        <w:t>2.15 </w:t>
      </w:r>
      <w:r>
        <w:rPr>
          <w:rFonts w:ascii="Times New Roman" w:hAnsi="Times New Roman"/>
          <w:b/>
          <w:i/>
          <w:sz w:val="20"/>
        </w:rPr>
        <w:t>Disability</w:t>
      </w:r>
      <w:r>
        <w:rPr>
          <w:rFonts w:ascii="Times New Roman" w:hAnsi="Times New Roman"/>
          <w:sz w:val="20"/>
        </w:rPr>
        <w:t xml:space="preserve"> means a permanent and total disability under Section 22(e)(3) of the Code. </w:t>
      </w:r>
    </w:p>
    <w:p>
      <w:pPr>
        <w:pStyle w:val="TextBody"/>
        <w:bidi w:val="0"/>
        <w:spacing w:before="240" w:after="0"/>
        <w:jc w:val="left"/>
        <w:rPr>
          <w:rFonts w:ascii="Times New Roman" w:hAnsi="Times New Roman"/>
          <w:sz w:val="20"/>
        </w:rPr>
      </w:pPr>
      <w:r>
        <w:rPr>
          <w:rFonts w:ascii="Times New Roman" w:hAnsi="Times New Roman"/>
          <w:sz w:val="20"/>
        </w:rPr>
        <w:t>2.16 </w:t>
      </w:r>
      <w:r>
        <w:rPr>
          <w:rFonts w:ascii="Times New Roman" w:hAnsi="Times New Roman"/>
          <w:b/>
          <w:i/>
          <w:sz w:val="20"/>
        </w:rPr>
        <w:t>Dividend Equivalents</w:t>
      </w:r>
      <w:r>
        <w:rPr>
          <w:rFonts w:ascii="Times New Roman" w:hAnsi="Times New Roman"/>
          <w:sz w:val="20"/>
        </w:rPr>
        <w:t xml:space="preserve"> means a right granted to a Participant to receive the equivalent value (in cash or Shares) of dividends paid on a specified number of Shares. Such Dividend Equivalent shall be converted to cash or additional Shares, or a combination of cash and Shares, by such formula and at such time and subject to such limitations as may be determined by the Administrator. </w:t>
      </w:r>
    </w:p>
    <w:p>
      <w:pPr>
        <w:pStyle w:val="TextBody"/>
        <w:bidi w:val="0"/>
        <w:spacing w:before="240" w:after="0"/>
        <w:jc w:val="left"/>
        <w:rPr>
          <w:rFonts w:ascii="Times New Roman" w:hAnsi="Times New Roman"/>
          <w:sz w:val="20"/>
        </w:rPr>
      </w:pPr>
      <w:r>
        <w:rPr>
          <w:rFonts w:ascii="Times New Roman" w:hAnsi="Times New Roman"/>
          <w:sz w:val="20"/>
        </w:rPr>
        <w:t>2.17 </w:t>
      </w:r>
      <w:r>
        <w:rPr>
          <w:rFonts w:ascii="Times New Roman" w:hAnsi="Times New Roman"/>
          <w:b/>
          <w:i/>
          <w:sz w:val="20"/>
        </w:rPr>
        <w:t>DRO</w:t>
      </w:r>
      <w:r>
        <w:rPr>
          <w:rFonts w:ascii="Times New Roman" w:hAnsi="Times New Roman"/>
          <w:sz w:val="20"/>
        </w:rPr>
        <w:t xml:space="preserve"> means a domestic relations order as defined by the Code or Title I of the Employee Retirement Income Security Act of 1974, as amended, or the rules thereunder. </w:t>
      </w:r>
    </w:p>
    <w:p>
      <w:pPr>
        <w:pStyle w:val="TextBody"/>
        <w:bidi w:val="0"/>
        <w:spacing w:before="240" w:after="0"/>
        <w:jc w:val="left"/>
        <w:rPr>
          <w:rFonts w:ascii="Times New Roman" w:hAnsi="Times New Roman"/>
          <w:sz w:val="20"/>
        </w:rPr>
      </w:pPr>
      <w:r>
        <w:rPr>
          <w:rFonts w:ascii="Times New Roman" w:hAnsi="Times New Roman"/>
          <w:sz w:val="20"/>
        </w:rPr>
        <w:t>2.18 </w:t>
      </w:r>
      <w:r>
        <w:rPr>
          <w:rFonts w:ascii="Times New Roman" w:hAnsi="Times New Roman"/>
          <w:b/>
          <w:i/>
          <w:sz w:val="20"/>
        </w:rPr>
        <w:t>Effective Date</w:t>
      </w:r>
      <w:r>
        <w:rPr>
          <w:rFonts w:ascii="Times New Roman" w:hAnsi="Times New Roman"/>
          <w:sz w:val="20"/>
        </w:rPr>
        <w:t xml:space="preserve"> has the meaning set forth in Section 11.3. </w:t>
      </w:r>
    </w:p>
    <w:p>
      <w:pPr>
        <w:pStyle w:val="TextBody"/>
        <w:bidi w:val="0"/>
        <w:spacing w:before="240" w:after="0"/>
        <w:jc w:val="left"/>
        <w:rPr>
          <w:rFonts w:ascii="Times New Roman" w:hAnsi="Times New Roman"/>
          <w:sz w:val="20"/>
        </w:rPr>
      </w:pPr>
      <w:r>
        <w:rPr>
          <w:rFonts w:ascii="Times New Roman" w:hAnsi="Times New Roman"/>
          <w:sz w:val="20"/>
        </w:rPr>
        <w:t>2.19 </w:t>
      </w:r>
      <w:r>
        <w:rPr>
          <w:rFonts w:ascii="Times New Roman" w:hAnsi="Times New Roman"/>
          <w:b/>
          <w:i/>
          <w:sz w:val="20"/>
        </w:rPr>
        <w:t>Employee</w:t>
      </w:r>
      <w:r>
        <w:rPr>
          <w:rFonts w:ascii="Times New Roman" w:hAnsi="Times New Roman"/>
          <w:sz w:val="20"/>
        </w:rPr>
        <w:t xml:space="preserve"> means an individual (i) not previously an employee or Director of the Company or any of its Subsidiaries, or (ii) following a bona fide period of non-employment, determined on a case-by-case basis, in each case, in accordance with Rule 5635(c)(4) of the Marketplace Rules of the NASDAQ Stock Market, Inc. </w:t>
      </w:r>
    </w:p>
    <w:p>
      <w:pPr>
        <w:pStyle w:val="TextBody"/>
        <w:bidi w:val="0"/>
        <w:spacing w:before="240" w:after="0"/>
        <w:jc w:val="left"/>
        <w:rPr>
          <w:rFonts w:ascii="Times New Roman" w:hAnsi="Times New Roman"/>
          <w:sz w:val="20"/>
        </w:rPr>
      </w:pPr>
      <w:r>
        <w:rPr>
          <w:rFonts w:ascii="Times New Roman" w:hAnsi="Times New Roman"/>
          <w:sz w:val="20"/>
        </w:rPr>
        <w:t>2.20 </w:t>
      </w:r>
      <w:r>
        <w:rPr>
          <w:rFonts w:ascii="Times New Roman" w:hAnsi="Times New Roman"/>
          <w:b/>
          <w:i/>
          <w:sz w:val="20"/>
        </w:rPr>
        <w:t>Equity Restructuring</w:t>
      </w:r>
      <w:r>
        <w:rPr>
          <w:rFonts w:ascii="Times New Roman" w:hAnsi="Times New Roman"/>
          <w:sz w:val="20"/>
        </w:rPr>
        <w:t xml:space="preserve"> means a nonreciprocal transaction between the Company and its stockholders, such as a stock dividend, stock split (including a reverse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2.21 </w:t>
      </w:r>
      <w:r>
        <w:rPr>
          <w:rFonts w:ascii="Times New Roman" w:hAnsi="Times New Roman"/>
          <w:b/>
          <w:i/>
          <w:sz w:val="20"/>
        </w:rPr>
        <w:t>Exchange Act</w:t>
      </w:r>
      <w:r>
        <w:rPr>
          <w:rFonts w:ascii="Times New Roman" w:hAnsi="Times New Roman"/>
          <w:sz w:val="20"/>
        </w:rPr>
        <w:t xml:space="preserve"> means the U.S. Securities Exchange Act of 1934, as amended, and all regulations, guidance and other interpretative authority issued thereunder. </w:t>
      </w:r>
    </w:p>
    <w:p>
      <w:pPr>
        <w:pStyle w:val="TextBody"/>
        <w:bidi w:val="0"/>
        <w:spacing w:before="240" w:after="0"/>
        <w:jc w:val="left"/>
        <w:rPr>
          <w:rFonts w:ascii="Times New Roman" w:hAnsi="Times New Roman"/>
          <w:sz w:val="20"/>
        </w:rPr>
      </w:pPr>
      <w:r>
        <w:rPr>
          <w:rFonts w:ascii="Times New Roman" w:hAnsi="Times New Roman"/>
          <w:sz w:val="20"/>
        </w:rPr>
        <w:t>2.22 </w:t>
      </w:r>
      <w:r>
        <w:rPr>
          <w:rFonts w:ascii="Times New Roman" w:hAnsi="Times New Roman"/>
          <w:b/>
          <w:i/>
          <w:sz w:val="20"/>
        </w:rPr>
        <w:t>Fair Market Value</w:t>
      </w:r>
      <w:r>
        <w:rPr>
          <w:rFonts w:ascii="Times New Roman" w:hAnsi="Times New Roman"/>
          <w:sz w:val="20"/>
        </w:rPr>
        <w:t xml:space="preserve"> means, as of any date, the value of a Share determined as follows: (i) if the Common Stock is listed on any established stock exchange, the value of a Share will be the closing sales price for a Share as quoted on such exchange for such date, or if no sale occurred on such date, the last day preceding such date during which a sale occurred, as reported in </w:t>
      </w:r>
      <w:r>
        <w:rPr>
          <w:rFonts w:ascii="Times New Roman" w:hAnsi="Times New Roman"/>
          <w:i/>
          <w:sz w:val="20"/>
        </w:rPr>
        <w:t>The Wall Street Journal</w:t>
      </w:r>
      <w:r>
        <w:rPr>
          <w:rFonts w:ascii="Times New Roman" w:hAnsi="Times New Roman"/>
          <w:sz w:val="20"/>
        </w:rPr>
        <w:t xml:space="preserve"> or another source the Administrator deems reliable; (ii) if the Common Stock is not listed on an established stock exchange but is quoted on a national market or other quotation system, the value of a Share will be the closing sales price for a Share on such date, or if no sales occurred on such date, then on the last date preceding such date during which a sale occurred, as reported in </w:t>
      </w:r>
      <w:r>
        <w:rPr>
          <w:rFonts w:ascii="Times New Roman" w:hAnsi="Times New Roman"/>
          <w:i/>
          <w:sz w:val="20"/>
        </w:rPr>
        <w:t>The Wall Street Journal</w:t>
      </w:r>
      <w:r>
        <w:rPr>
          <w:rFonts w:ascii="Times New Roman" w:hAnsi="Times New Roman"/>
          <w:sz w:val="20"/>
        </w:rPr>
        <w:t xml:space="preserve"> or another source the Administrator deems reliable; or (iii) if the Common Stock is not listed on any established stock exchange or quoted on a national market or other quotation system, the value established by the Administrator in its sole discretion. </w:t>
      </w:r>
    </w:p>
    <w:p>
      <w:pPr>
        <w:pStyle w:val="TextBody"/>
        <w:bidi w:val="0"/>
        <w:spacing w:before="240" w:after="0"/>
        <w:jc w:val="left"/>
        <w:rPr>
          <w:rFonts w:ascii="Times New Roman" w:hAnsi="Times New Roman"/>
          <w:sz w:val="20"/>
        </w:rPr>
      </w:pPr>
      <w:r>
        <w:rPr>
          <w:rFonts w:ascii="Times New Roman" w:hAnsi="Times New Roman"/>
          <w:sz w:val="20"/>
        </w:rPr>
        <w:t>2.23 </w:t>
      </w:r>
      <w:r>
        <w:rPr>
          <w:rFonts w:ascii="Times New Roman" w:hAnsi="Times New Roman"/>
          <w:b/>
          <w:i/>
          <w:sz w:val="20"/>
        </w:rPr>
        <w:t>Good Reason</w:t>
      </w:r>
      <w:r>
        <w:rPr>
          <w:rFonts w:ascii="Times New Roman" w:hAnsi="Times New Roman"/>
          <w:sz w:val="20"/>
        </w:rPr>
        <w:t xml:space="preserve"> shall have the meaning ascribed to such term, or term of similar effect, in any offer letter, employment, severance or similar agreement, including any Award Agreement, between the Participant and the Company; provided, that in the absence of an offer letter, employment, severance or similar agreement containing such definition, Good Reason means the occurrence of one or more of the following without the Participants consent: (i) a material reduction in the Participants base compensation, unless such diminution applies to all similarly situated employees, or (ii) a relocation of the principal place at which the Participant must perform services by more than 50 miles. In order to establish Good Reason, the Participant must provide the Administrator with notice of the event giving rise to Good Reason within 30 days of the occurrence of such event, the event shall remain uncured 30 days thereafter and the Participant must actually terminate services within 30 days following the end of such cure period. </w:t>
      </w:r>
    </w:p>
    <w:p>
      <w:pPr>
        <w:pStyle w:val="TextBody"/>
        <w:bidi w:val="0"/>
        <w:spacing w:before="240" w:after="0"/>
        <w:jc w:val="left"/>
        <w:rPr>
          <w:rFonts w:ascii="Times New Roman" w:hAnsi="Times New Roman"/>
          <w:sz w:val="20"/>
        </w:rPr>
      </w:pPr>
      <w:r>
        <w:rPr>
          <w:rFonts w:ascii="Times New Roman" w:hAnsi="Times New Roman"/>
          <w:sz w:val="20"/>
        </w:rPr>
        <w:t>2.24 </w:t>
      </w:r>
      <w:r>
        <w:rPr>
          <w:rFonts w:ascii="Times New Roman" w:hAnsi="Times New Roman"/>
          <w:b/>
          <w:i/>
          <w:sz w:val="20"/>
        </w:rPr>
        <w:t>Incumbent Directors</w:t>
      </w:r>
      <w:r>
        <w:rPr>
          <w:rFonts w:ascii="Times New Roman" w:hAnsi="Times New Roman"/>
          <w:sz w:val="20"/>
        </w:rPr>
        <w:t xml:space="preserve"> means,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clause (a) or (c) of the Change in Control definition)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 </w:t>
      </w:r>
    </w:p>
    <w:p>
      <w:pPr>
        <w:pStyle w:val="TextBody"/>
        <w:bidi w:val="0"/>
        <w:spacing w:before="240" w:after="0"/>
        <w:jc w:val="left"/>
        <w:rPr>
          <w:rFonts w:ascii="Times New Roman" w:hAnsi="Times New Roman"/>
          <w:sz w:val="20"/>
        </w:rPr>
      </w:pPr>
      <w:r>
        <w:rPr>
          <w:rFonts w:ascii="Times New Roman" w:hAnsi="Times New Roman"/>
          <w:sz w:val="20"/>
        </w:rPr>
        <w:t>2.25 </w:t>
      </w:r>
      <w:r>
        <w:rPr>
          <w:rFonts w:ascii="Times New Roman" w:hAnsi="Times New Roman"/>
          <w:b/>
          <w:i/>
          <w:sz w:val="20"/>
        </w:rPr>
        <w:t>Non-Employee Directo</w:t>
      </w:r>
      <w:r>
        <w:rPr>
          <w:rFonts w:ascii="Times New Roman" w:hAnsi="Times New Roman"/>
          <w:i/>
          <w:sz w:val="20"/>
        </w:rPr>
        <w:t>r</w:t>
      </w:r>
      <w:r>
        <w:rPr>
          <w:rFonts w:ascii="Times New Roman" w:hAnsi="Times New Roman"/>
          <w:sz w:val="20"/>
        </w:rPr>
        <w:t xml:space="preserve"> means a Director who is not an Employee. </w:t>
      </w:r>
    </w:p>
    <w:p>
      <w:pPr>
        <w:pStyle w:val="TextBody"/>
        <w:bidi w:val="0"/>
        <w:spacing w:before="240" w:after="0"/>
        <w:jc w:val="left"/>
        <w:rPr>
          <w:rFonts w:ascii="Times New Roman" w:hAnsi="Times New Roman"/>
          <w:sz w:val="20"/>
        </w:rPr>
      </w:pPr>
      <w:r>
        <w:rPr>
          <w:rFonts w:ascii="Times New Roman" w:hAnsi="Times New Roman"/>
          <w:sz w:val="20"/>
        </w:rPr>
        <w:t>2.26 </w:t>
      </w:r>
      <w:r>
        <w:rPr>
          <w:rFonts w:ascii="Times New Roman" w:hAnsi="Times New Roman"/>
          <w:b/>
          <w:i/>
          <w:sz w:val="20"/>
        </w:rPr>
        <w:t>Nonqualified Stock Option</w:t>
      </w:r>
      <w:r>
        <w:rPr>
          <w:rFonts w:ascii="Times New Roman" w:hAnsi="Times New Roman"/>
          <w:sz w:val="20"/>
        </w:rPr>
        <w:t xml:space="preserve"> means an Option that is not an incentive stock option under Section 422 of the Code. </w:t>
      </w:r>
    </w:p>
    <w:p>
      <w:pPr>
        <w:pStyle w:val="TextBody"/>
        <w:bidi w:val="0"/>
        <w:spacing w:before="240" w:after="0"/>
        <w:jc w:val="left"/>
        <w:rPr>
          <w:rFonts w:ascii="Times New Roman" w:hAnsi="Times New Roman"/>
          <w:sz w:val="20"/>
        </w:rPr>
      </w:pPr>
      <w:r>
        <w:rPr>
          <w:rFonts w:ascii="Times New Roman" w:hAnsi="Times New Roman"/>
          <w:sz w:val="20"/>
        </w:rPr>
        <w:t>2.27 </w:t>
      </w:r>
      <w:r>
        <w:rPr>
          <w:rFonts w:ascii="Times New Roman" w:hAnsi="Times New Roman"/>
          <w:b/>
          <w:i/>
          <w:sz w:val="20"/>
        </w:rPr>
        <w:t>Option</w:t>
      </w:r>
      <w:r>
        <w:rPr>
          <w:rFonts w:ascii="Times New Roman" w:hAnsi="Times New Roman"/>
          <w:sz w:val="20"/>
        </w:rPr>
        <w:t xml:space="preserve"> means a Nonqualified Stock Option granted under Article VI to purchase a specified number of Shares at a specified price per Share during a specified time period. </w:t>
      </w:r>
    </w:p>
    <w:p>
      <w:pPr>
        <w:pStyle w:val="TextBody"/>
        <w:bidi w:val="0"/>
        <w:spacing w:before="240" w:after="0"/>
        <w:jc w:val="left"/>
        <w:rPr>
          <w:rFonts w:ascii="Times New Roman" w:hAnsi="Times New Roman"/>
          <w:sz w:val="20"/>
        </w:rPr>
      </w:pPr>
      <w:r>
        <w:rPr>
          <w:rFonts w:ascii="Times New Roman" w:hAnsi="Times New Roman"/>
          <w:sz w:val="20"/>
        </w:rPr>
        <w:t>2.28 </w:t>
      </w:r>
      <w:r>
        <w:rPr>
          <w:rFonts w:ascii="Times New Roman" w:hAnsi="Times New Roman"/>
          <w:b/>
          <w:i/>
          <w:sz w:val="20"/>
        </w:rPr>
        <w:t>Other Stock Based Awards</w:t>
      </w:r>
      <w:r>
        <w:rPr>
          <w:rFonts w:ascii="Times New Roman" w:hAnsi="Times New Roman"/>
          <w:sz w:val="20"/>
        </w:rPr>
        <w:t xml:space="preserve"> means awards of Shares and other awards valued wholly or partially by referring to, or are otherwise based on, Shares or other property; provided that, no such awards shall be an incentive stock option under Section 422 of the Code. </w:t>
      </w:r>
    </w:p>
    <w:p>
      <w:pPr>
        <w:pStyle w:val="TextBody"/>
        <w:bidi w:val="0"/>
        <w:spacing w:before="240" w:after="0"/>
        <w:jc w:val="left"/>
        <w:rPr>
          <w:rFonts w:ascii="Times New Roman" w:hAnsi="Times New Roman"/>
          <w:sz w:val="20"/>
        </w:rPr>
      </w:pPr>
      <w:r>
        <w:rPr>
          <w:rFonts w:ascii="Times New Roman" w:hAnsi="Times New Roman"/>
          <w:sz w:val="20"/>
        </w:rPr>
        <w:t>2.29 </w:t>
      </w:r>
      <w:r>
        <w:rPr>
          <w:rFonts w:ascii="Times New Roman" w:hAnsi="Times New Roman"/>
          <w:b/>
          <w:i/>
          <w:sz w:val="20"/>
        </w:rPr>
        <w:t>Participant</w:t>
      </w:r>
      <w:r>
        <w:rPr>
          <w:rFonts w:ascii="Times New Roman" w:hAnsi="Times New Roman"/>
          <w:sz w:val="20"/>
        </w:rPr>
        <w:t xml:space="preserve"> means an Employee who has been granted an Award. </w:t>
      </w:r>
    </w:p>
    <w:p>
      <w:pPr>
        <w:pStyle w:val="TextBody"/>
        <w:bidi w:val="0"/>
        <w:spacing w:before="240" w:after="0"/>
        <w:jc w:val="left"/>
        <w:rPr>
          <w:rFonts w:ascii="Times New Roman" w:hAnsi="Times New Roman"/>
          <w:sz w:val="20"/>
        </w:rPr>
      </w:pPr>
      <w:r>
        <w:rPr>
          <w:rFonts w:ascii="Times New Roman" w:hAnsi="Times New Roman"/>
          <w:sz w:val="20"/>
        </w:rPr>
        <w:t>2.30 </w:t>
      </w:r>
      <w:r>
        <w:rPr>
          <w:rFonts w:ascii="Times New Roman" w:hAnsi="Times New Roman"/>
          <w:b/>
          <w:i/>
          <w:sz w:val="20"/>
        </w:rPr>
        <w:t>Performance Stock Unit</w:t>
      </w:r>
      <w:r>
        <w:rPr>
          <w:rFonts w:ascii="Times New Roman" w:hAnsi="Times New Roman"/>
          <w:sz w:val="20"/>
        </w:rPr>
        <w:t xml:space="preserve"> means a right granted to a Participant pursuant to Section 8.1 and subject to Section 8.2, to receive cash or Shares, the payment of which is contingent upon achieving certain performance goals or other performance-based targets established by the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2.31 </w:t>
      </w:r>
      <w:r>
        <w:rPr>
          <w:rFonts w:ascii="Times New Roman" w:hAnsi="Times New Roman"/>
          <w:b/>
          <w:i/>
          <w:sz w:val="20"/>
        </w:rPr>
        <w:t>Permitted Transferee</w:t>
      </w:r>
      <w:r>
        <w:rPr>
          <w:rFonts w:ascii="Times New Roman" w:hAnsi="Times New Roman"/>
          <w:sz w:val="20"/>
        </w:rPr>
        <w:t xml:space="preserve"> means, with respect to a Participant, any family member of the Participant, as defined in the General Instructions to Form S-8 Registration Statement under the Securities Act (or any successor form thereto), or any other transferee specifically approved by the Administrator after taking into account Applicable Law. </w:t>
      </w:r>
    </w:p>
    <w:p>
      <w:pPr>
        <w:pStyle w:val="TextBody"/>
        <w:bidi w:val="0"/>
        <w:spacing w:before="240" w:after="0"/>
        <w:jc w:val="left"/>
        <w:rPr>
          <w:rFonts w:ascii="Times New Roman" w:hAnsi="Times New Roman"/>
          <w:sz w:val="20"/>
        </w:rPr>
      </w:pPr>
      <w:r>
        <w:rPr>
          <w:rFonts w:ascii="Times New Roman" w:hAnsi="Times New Roman"/>
          <w:sz w:val="20"/>
        </w:rPr>
        <w:t>2.32 </w:t>
      </w:r>
      <w:r>
        <w:rPr>
          <w:rFonts w:ascii="Times New Roman" w:hAnsi="Times New Roman"/>
          <w:b/>
          <w:i/>
          <w:sz w:val="20"/>
        </w:rPr>
        <w:t>Plan</w:t>
      </w:r>
      <w:r>
        <w:rPr>
          <w:rFonts w:ascii="Times New Roman" w:hAnsi="Times New Roman"/>
          <w:sz w:val="20"/>
        </w:rPr>
        <w:t xml:space="preserve"> means this 2023 Inducement Plan. </w:t>
      </w:r>
    </w:p>
    <w:p>
      <w:pPr>
        <w:pStyle w:val="TextBody"/>
        <w:bidi w:val="0"/>
        <w:spacing w:before="240" w:after="0"/>
        <w:jc w:val="left"/>
        <w:rPr>
          <w:rFonts w:ascii="Times New Roman" w:hAnsi="Times New Roman"/>
          <w:sz w:val="20"/>
        </w:rPr>
      </w:pPr>
      <w:r>
        <w:rPr>
          <w:rFonts w:ascii="Times New Roman" w:hAnsi="Times New Roman"/>
          <w:sz w:val="20"/>
        </w:rPr>
        <w:t>2.33 </w:t>
      </w:r>
      <w:r>
        <w:rPr>
          <w:rFonts w:ascii="Times New Roman" w:hAnsi="Times New Roman"/>
          <w:b/>
          <w:i/>
          <w:sz w:val="20"/>
        </w:rPr>
        <w:t>Restricted Stock</w:t>
      </w:r>
      <w:r>
        <w:rPr>
          <w:rFonts w:ascii="Times New Roman" w:hAnsi="Times New Roman"/>
          <w:sz w:val="20"/>
        </w:rPr>
        <w:t xml:space="preserve"> means Shares awarded to a Participant under Article VII, subject to certain vesting conditions and other restrictions. </w:t>
      </w:r>
    </w:p>
    <w:p>
      <w:pPr>
        <w:pStyle w:val="TextBody"/>
        <w:bidi w:val="0"/>
        <w:spacing w:before="240" w:after="0"/>
        <w:jc w:val="left"/>
        <w:rPr>
          <w:rFonts w:ascii="Times New Roman" w:hAnsi="Times New Roman"/>
          <w:sz w:val="20"/>
        </w:rPr>
      </w:pPr>
      <w:r>
        <w:rPr>
          <w:rFonts w:ascii="Times New Roman" w:hAnsi="Times New Roman"/>
          <w:sz w:val="20"/>
        </w:rPr>
        <w:t>2.34 </w:t>
      </w:r>
      <w:r>
        <w:rPr>
          <w:rFonts w:ascii="Times New Roman" w:hAnsi="Times New Roman"/>
          <w:b/>
          <w:i/>
          <w:sz w:val="20"/>
        </w:rPr>
        <w:t>Restricted Stock Unit</w:t>
      </w:r>
      <w:r>
        <w:rPr>
          <w:rFonts w:ascii="Times New Roman" w:hAnsi="Times New Roman"/>
          <w:sz w:val="20"/>
        </w:rPr>
        <w:t xml:space="preserve"> means an unfunded, unsecured right to receive, on the applicable settlement date, one Share or an amount in cash or other consideration determined by the Administrator to be of equal value as of such settlement date, subject to certain vesting conditions and other restrictions. </w:t>
      </w:r>
    </w:p>
    <w:p>
      <w:pPr>
        <w:pStyle w:val="TextBody"/>
        <w:bidi w:val="0"/>
        <w:spacing w:before="240" w:after="0"/>
        <w:jc w:val="left"/>
        <w:rPr>
          <w:rFonts w:ascii="Times New Roman" w:hAnsi="Times New Roman"/>
          <w:sz w:val="20"/>
        </w:rPr>
      </w:pPr>
      <w:r>
        <w:rPr>
          <w:rFonts w:ascii="Times New Roman" w:hAnsi="Times New Roman"/>
          <w:sz w:val="20"/>
        </w:rPr>
        <w:t>2.35 </w:t>
      </w:r>
      <w:r>
        <w:rPr>
          <w:rFonts w:ascii="Times New Roman" w:hAnsi="Times New Roman"/>
          <w:b/>
          <w:i/>
          <w:sz w:val="20"/>
        </w:rPr>
        <w:t>Rule 16b-3</w:t>
      </w:r>
      <w:r>
        <w:rPr>
          <w:rFonts w:ascii="Times New Roman" w:hAnsi="Times New Roman"/>
          <w:sz w:val="20"/>
        </w:rPr>
        <w:t xml:space="preserve"> means Rule 16b-3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2.36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means Section 409A of the Code and the regulations promulgated thereunder by the United States Treasury Department, as amended or as may be amended from time to time. </w:t>
      </w:r>
    </w:p>
    <w:p>
      <w:pPr>
        <w:pStyle w:val="TextBody"/>
        <w:bidi w:val="0"/>
        <w:spacing w:before="240" w:after="0"/>
        <w:jc w:val="left"/>
        <w:rPr>
          <w:rFonts w:ascii="Times New Roman" w:hAnsi="Times New Roman"/>
          <w:sz w:val="20"/>
        </w:rPr>
      </w:pPr>
      <w:r>
        <w:rPr>
          <w:rFonts w:ascii="Times New Roman" w:hAnsi="Times New Roman"/>
          <w:sz w:val="20"/>
        </w:rPr>
        <w:t>2.37 </w:t>
      </w:r>
      <w:r>
        <w:rPr>
          <w:rFonts w:ascii="Times New Roman" w:hAnsi="Times New Roman"/>
          <w:b/>
          <w:i/>
          <w:sz w:val="20"/>
        </w:rPr>
        <w:t>Securities Act</w:t>
      </w:r>
      <w:r>
        <w:rPr>
          <w:rFonts w:ascii="Times New Roman" w:hAnsi="Times New Roman"/>
          <w:sz w:val="20"/>
        </w:rPr>
        <w:t xml:space="preserve"> means the Securities Act of 1933, as amended, and all regulations, guidance and other interpretative authority issued thereunder. </w:t>
      </w:r>
    </w:p>
    <w:p>
      <w:pPr>
        <w:pStyle w:val="TextBody"/>
        <w:bidi w:val="0"/>
        <w:spacing w:before="240" w:after="0"/>
        <w:jc w:val="left"/>
        <w:rPr>
          <w:rFonts w:ascii="Times New Roman" w:hAnsi="Times New Roman"/>
          <w:sz w:val="20"/>
        </w:rPr>
      </w:pPr>
      <w:r>
        <w:rPr>
          <w:rFonts w:ascii="Times New Roman" w:hAnsi="Times New Roman"/>
          <w:sz w:val="20"/>
        </w:rPr>
        <w:t>2.38 </w:t>
      </w:r>
      <w:r>
        <w:rPr>
          <w:rFonts w:ascii="Times New Roman" w:hAnsi="Times New Roman"/>
          <w:b/>
          <w:i/>
          <w:sz w:val="20"/>
        </w:rPr>
        <w:t>Service Provider</w:t>
      </w:r>
      <w:r>
        <w:rPr>
          <w:rFonts w:ascii="Times New Roman" w:hAnsi="Times New Roman"/>
          <w:sz w:val="20"/>
        </w:rPr>
        <w:t xml:space="preserve"> means an Employee, Consultant or Director. </w:t>
      </w:r>
    </w:p>
    <w:p>
      <w:pPr>
        <w:pStyle w:val="TextBody"/>
        <w:bidi w:val="0"/>
        <w:spacing w:before="240" w:after="0"/>
        <w:jc w:val="left"/>
        <w:rPr>
          <w:rFonts w:ascii="Times New Roman" w:hAnsi="Times New Roman"/>
          <w:sz w:val="20"/>
        </w:rPr>
      </w:pPr>
      <w:r>
        <w:rPr>
          <w:rFonts w:ascii="Times New Roman" w:hAnsi="Times New Roman"/>
          <w:sz w:val="20"/>
        </w:rPr>
        <w:t>2.39 </w:t>
      </w:r>
      <w:r>
        <w:rPr>
          <w:rFonts w:ascii="Times New Roman" w:hAnsi="Times New Roman"/>
          <w:b/>
          <w:i/>
          <w:sz w:val="20"/>
        </w:rPr>
        <w:t>Shares</w:t>
      </w:r>
      <w:r>
        <w:rPr>
          <w:rFonts w:ascii="Times New Roman" w:hAnsi="Times New Roman"/>
          <w:sz w:val="20"/>
        </w:rPr>
        <w:t xml:space="preserve"> means shares of Common Stock. </w:t>
      </w:r>
    </w:p>
    <w:p>
      <w:pPr>
        <w:pStyle w:val="TextBody"/>
        <w:bidi w:val="0"/>
        <w:spacing w:before="240" w:after="0"/>
        <w:jc w:val="left"/>
        <w:rPr>
          <w:rFonts w:ascii="Times New Roman" w:hAnsi="Times New Roman"/>
          <w:sz w:val="20"/>
        </w:rPr>
      </w:pPr>
      <w:r>
        <w:rPr>
          <w:rFonts w:ascii="Times New Roman" w:hAnsi="Times New Roman"/>
          <w:sz w:val="20"/>
        </w:rPr>
        <w:t>2.40 </w:t>
      </w:r>
      <w:r>
        <w:rPr>
          <w:rFonts w:ascii="Times New Roman" w:hAnsi="Times New Roman"/>
          <w:b/>
          <w:i/>
          <w:sz w:val="20"/>
        </w:rPr>
        <w:t>Stock Appreciation Right</w:t>
      </w:r>
      <w:r>
        <w:rPr>
          <w:rFonts w:ascii="Times New Roman" w:hAnsi="Times New Roman"/>
          <w:sz w:val="20"/>
        </w:rPr>
        <w:t> or </w:t>
      </w:r>
      <w:r>
        <w:rPr>
          <w:rFonts w:ascii="Times New Roman" w:hAnsi="Times New Roman"/>
          <w:b/>
          <w:i/>
          <w:sz w:val="20"/>
        </w:rPr>
        <w:t>SAR</w:t>
      </w:r>
      <w:r>
        <w:rPr>
          <w:rFonts w:ascii="Times New Roman" w:hAnsi="Times New Roman"/>
          <w:sz w:val="20"/>
        </w:rPr>
        <w:t xml:space="preserve"> means a right granted under Article VI to receive a payment equal to the excess of the Fair Market Value of a specified number of Shares on the date the right is exercised over the exercise price set forth in the applicable Award Agreement. </w:t>
      </w:r>
    </w:p>
    <w:p>
      <w:pPr>
        <w:pStyle w:val="TextBody"/>
        <w:bidi w:val="0"/>
        <w:spacing w:before="240" w:after="0"/>
        <w:jc w:val="left"/>
        <w:rPr>
          <w:rFonts w:ascii="Times New Roman" w:hAnsi="Times New Roman"/>
          <w:sz w:val="20"/>
        </w:rPr>
      </w:pPr>
      <w:r>
        <w:rPr>
          <w:rFonts w:ascii="Times New Roman" w:hAnsi="Times New Roman"/>
          <w:sz w:val="20"/>
        </w:rPr>
        <w:t>2.41 </w:t>
      </w:r>
      <w:r>
        <w:rPr>
          <w:rFonts w:ascii="Times New Roman" w:hAnsi="Times New Roman"/>
          <w:b/>
          <w:i/>
          <w:sz w:val="20"/>
        </w:rPr>
        <w:t>Subsidiary</w:t>
      </w:r>
      <w:r>
        <w:rPr>
          <w:rFonts w:ascii="Times New Roman" w:hAnsi="Times New Roman"/>
          <w:sz w:val="20"/>
        </w:rPr>
        <w:t xml:space="preserve"> means any entity (other than the Company), whether U.S. or non-U.S.,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 </w:t>
      </w:r>
    </w:p>
    <w:p>
      <w:pPr>
        <w:pStyle w:val="TextBody"/>
        <w:bidi w:val="0"/>
        <w:spacing w:before="240" w:after="0"/>
        <w:jc w:val="left"/>
        <w:rPr>
          <w:rFonts w:ascii="Times New Roman" w:hAnsi="Times New Roman"/>
          <w:sz w:val="20"/>
        </w:rPr>
      </w:pPr>
      <w:r>
        <w:rPr>
          <w:rFonts w:ascii="Times New Roman" w:hAnsi="Times New Roman"/>
          <w:sz w:val="20"/>
        </w:rPr>
        <w:t>2.42 </w:t>
      </w:r>
      <w:r>
        <w:rPr>
          <w:rFonts w:ascii="Times New Roman" w:hAnsi="Times New Roman"/>
          <w:b/>
          <w:i/>
          <w:sz w:val="20"/>
        </w:rPr>
        <w:t>Tax-Related Items</w:t>
      </w:r>
      <w:r>
        <w:rPr>
          <w:rFonts w:ascii="Times New Roman" w:hAnsi="Times New Roman"/>
          <w:sz w:val="20"/>
        </w:rPr>
        <w:t xml:space="preserve"> means any U.S. and non-U.S. federal, state and/or local taxes (including, without limitation, income tax, social insurance contributions, fringe benefit tax, employment tax, stamp tax and any employer tax liability which has been transferred to a Participant) for which a Participant is liable in connection with Awards and/or Shares. </w:t>
      </w:r>
    </w:p>
    <w:p>
      <w:pPr>
        <w:pStyle w:val="TextBody"/>
        <w:bidi w:val="0"/>
        <w:spacing w:before="240" w:after="0"/>
        <w:jc w:val="left"/>
        <w:rPr>
          <w:rFonts w:ascii="Times New Roman" w:hAnsi="Times New Roman"/>
          <w:sz w:val="20"/>
        </w:rPr>
      </w:pPr>
      <w:r>
        <w:rPr>
          <w:rFonts w:ascii="Times New Roman" w:hAnsi="Times New Roman"/>
          <w:sz w:val="20"/>
        </w:rPr>
        <w:t>2.43 </w:t>
      </w:r>
      <w:r>
        <w:rPr>
          <w:rFonts w:ascii="Times New Roman" w:hAnsi="Times New Roman"/>
          <w:b/>
          <w:i/>
          <w:sz w:val="20"/>
        </w:rPr>
        <w:t>Termination of Service</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As to a Consultant, the time when the engagement of a Participant as a Consultant to the Company or a Subsidiary is terminated for any reason, with or without Cause, including, without limitation, by resignation, discharge, death or retirement, but excluding terminations where the Consultant simultaneously commences or remains in employment or service with the Company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(b) As to a Non-Employee Director, the time when a Participant who is a Non-Employee Director ceases to be a Director for any reason, including, without limitation, a termination by resignation, failure to be elected, death or retirement, but excluding terminations where the Participant simultaneously commences or remains in employment or service with the Company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(c) As to an Employee, the time when the employee-employer relationship between a Participant and the Company or any Subsidiary is terminated for any reason, including, without limitation, a termination by resignation, discharge, death, disability or retirement; but excluding terminations where the Participant simultaneously commences or remains in employment or service with the Company or 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For purposes of the Plan, a Participants employee-employer relationship or other service relationship shall be deemed to be terminated in the event that the Subsidiary employing or contracting with such Participant ceases to remain a Subsidiary following any merger, sale of stock or other corporate transaction or event (including, without limitation, a spin-off), even though the Participant may subsequently continue to perform services for that entity.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ELIGIBILITY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Plans, grantees under the Plan will be such Employees of the Company and its Subsidiaries to whom the Company may issue securities without stockholder approval in accordance with Rule 5635(c)(4) of the Marketplace Rules of the NASDAQ Stock Market, as selected from time to time by the Administrator in its sole discretion. Neither the Company nor the Administrator is obligated to treat grantees uniformly.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ADMINISTRATION AND DELEGATION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Administration.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Plan is administered by the Administrator. The Administrator has authority to determine which Employees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reconcile inconsistencies in the Plan or any Award and make all other determinations that it deems necessary or appropriate to administer the Plan and any Awards. The Administrator (and each member thereof) is entitled to, in good faith, rely or act upon any report or other information furnished to it, him or her by any officer or other employee of the Company or any Subsidiary, the Companys independent certified public accountants, or any executive compensation consultant or other professional retained by the Company to assist in the administration of the Plan. The Administrators determinations under the Plan are in its sole discretion and will be final, binding and conclusive on all persons having or claiming any interest in the Plan or any Award.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foregoing, the Administrator has the exclusive power, authority and sole discretion to: (i) designate Participants; (ii) determine the type or types of Awards to be granted to each Participant; (iii) determine the number of Awards to be granted and the number of Shares to which an Award will relate; (iv) subject to the limitations in the Plan, determine the terms and conditions of any Award and related Award Agreement, including, but not limited to, the exercise price, grant price, purchase price, any performance criteria, any restrictions or limitations on the Award, any schedule for vesting, lapse of forfeiture restrictions or restrictions on the exercisability of an Award, and accelerations, waivers or amendments thereof; (v) determine whether, to what extent, and under what circumstances an Award may be settled in, or the exercise price of an Award may be paid in cash, Shares, or other property, or an Award may be canceled, forfeited, or surrendered; and (vi) make all other decisions and determinations that may be required pursuant to the Plan or as the Administrator deems necessary or advisable to administer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STOCK AVAILABLE FOR AWARDS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Number of Shares</w:t>
      </w:r>
      <w:r>
        <w:rPr>
          <w:rFonts w:ascii="Times New Roman" w:hAnsi="Times New Roman"/>
          <w:sz w:val="20"/>
        </w:rPr>
        <w:t>. Subject to adjustment under Article IX and the terms of this Article V, the maximum number of Shares available for issuance under the Plan shall be 2,000,000 (the </w:t>
      </w:r>
      <w:r>
        <w:rPr>
          <w:rFonts w:ascii="Times New Roman" w:hAnsi="Times New Roman"/>
          <w:b/>
          <w:i/>
          <w:sz w:val="20"/>
        </w:rPr>
        <w:t>Share Limit</w:t>
      </w:r>
      <w:r>
        <w:rPr>
          <w:rFonts w:ascii="Times New Roman" w:hAnsi="Times New Roman"/>
          <w:sz w:val="20"/>
        </w:rPr>
        <w:t xml:space="preserve">). Shares issued or delivered under the Plan may consist of authorized but unissued Shares, Shares purchased on the open market or treasury Shares.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Share Recycling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all or any part of an Award expires, lapses or is terminated, converted into an award in respect of shares of another entity in connection with a spin-off or other similar event, exchanged or settled for cash, surrendered, repurchased, canceled without having been fully exercised or forfeited, in any case, in a manner that results in the Company acquiring Shares covered by the Award at a price not greater than the price (as adjusted to reflect any Equity Restructuring) paid by the Participant for such Shares or not issuing any Shares covered by the Award, the unused Shares covered by the Award will become or again be available for Awards under the Plan. The payment of Dividend Equivalents in cash in conjunction with any outstanding Awards shall not count against the Share Limit.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the following Shares shall be available for future grants of Awards: (i) Shares tendered by a Participant or withheld by the Company in payment of the exercise price of an Option; (ii) Shares tendered by the Participant or withheld by the Company to satisfy any tax withholding obligation with respect to an Award; and (iii) Shares subject to a Stock Appreciation Right that are not issued in connection with the stock settlement of the Stock Appreciation Right on exercise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STOCK OPTIONS AND STOCK APPRECIATION RIGHTS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General</w:t>
      </w:r>
      <w:r>
        <w:rPr>
          <w:rFonts w:ascii="Times New Roman" w:hAnsi="Times New Roman"/>
          <w:sz w:val="20"/>
        </w:rPr>
        <w:t xml:space="preserve">. The Administrator may grant Options or Stock Appreciation Rights to one or more Participants, subject to such terms and conditions not inconsistent with the Plan as the Administrator shall determine.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on the date of exercise or a combination of the two as the Administrator may determine or provide in the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Exercise Price</w:t>
      </w:r>
      <w:r>
        <w:rPr>
          <w:rFonts w:ascii="Times New Roman" w:hAnsi="Times New Roman"/>
          <w:sz w:val="20"/>
        </w:rPr>
        <w:t xml:space="preserve">. The Administrator will establish each Options and Stock Appreciation Rights exercise price and specify the exercise price in the Award Agreement. The exercise price will not be less than 100% of the Fair Market Value on the grant date of the Option or Stock Appreciation Right.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Duration of Options</w:t>
      </w:r>
      <w:r>
        <w:rPr>
          <w:rFonts w:ascii="Times New Roman" w:hAnsi="Times New Roman"/>
          <w:sz w:val="20"/>
        </w:rPr>
        <w:t xml:space="preserve">. Each Option or Stock Appreciation Right will be exercisable at such times and as specified in the Award Agreement, provided that the term of an Option or Stock Appreciation Right will not exceed ten years; provided, further, that, unless otherwise determined by the Administrator or specified in the Award Agreement, (a) no portion of an Option or Stock Appreciation Right which is unexercisable at a Participants Termination of Service shall thereafter become exercisable and (b) the portion of an Option or Stock Appreciation Right that is unexercisable at a Participants Termination of Service shall automatically expire on the date of such Termination of Service. In addition, in no event shall an Option or Stock Appreciation Right granted to an Employee who is a non-exempt employee for purposes of overtime pay under the U.S. Fair Labor Standards Act of 1938 be exercisable earlier than six months after its date of grant. Notwithstanding the foregoing, if the Participant, prior to the end of the term of an Option or Stock Appreciation Right, commits an act of Cause (as determined by the Administrator), or violates any non-competition, non-solicitation or confidentiality provisions of any employment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contract, confidentiality and nondisclosure agreement or other agreement between the Participant and the Company or any of its Subsidiaries, the right to exercise the Option or Stock Appreciation Right, as applicable, may be terminated by the Company and the Company may suspend the Participants right to exercise the Option or Stock Appreciation Right when it reasonably believes that the Participant may have participated in any such act or violation.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Exercise</w:t>
      </w:r>
      <w:r>
        <w:rPr>
          <w:rFonts w:ascii="Times New Roman" w:hAnsi="Times New Roman"/>
          <w:sz w:val="20"/>
        </w:rPr>
        <w:t xml:space="preserve">. Options and Stock Appreciation Rights may be exercised by delivering to the Company (or such other person or entity designated by the Administrator) a notice of exercise, in a form and manner the Company approves (which may be written, electronic or telephonic and may contain representations and warranties deemed advisable by the Administrator), signed or authenticated by the person authorized to exercise the Option or Stock Appreciation Right, together with, as applicable, (a) payment in full of the exercise price for the number of Shares for which the Option is exercised in a manner specified in Section 6.5 and (b) satisfaction in full of any withholding obligation for Tax-Related Items in a manner specified in Section 10.5. The Administrator may, in its discretion, limit exercise with respect to fractional Shares and require that any partial exercise of an Option or Stock Appreciation Right be with respect to a minimum number of Shares.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Payment Upon Exercise</w:t>
      </w:r>
      <w:r>
        <w:rPr>
          <w:rFonts w:ascii="Times New Roman" w:hAnsi="Times New Roman"/>
          <w:sz w:val="20"/>
        </w:rPr>
        <w:t xml:space="preserve">. The Administrator shall determine the methods by which payment of the exercise price of an Option shall be made, including,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(a) Cash, check or wire transfer of immediately available funds; provided that the Company may limit the use of one of the foregoing methods if one or more of the methods below is permitted; </w:t>
      </w:r>
    </w:p>
    <w:p>
      <w:pPr>
        <w:pStyle w:val="TextBody"/>
        <w:bidi w:val="0"/>
        <w:spacing w:before="240" w:after="0"/>
        <w:jc w:val="left"/>
        <w:rPr>
          <w:rFonts w:ascii="Times New Roman" w:hAnsi="Times New Roman"/>
          <w:sz w:val="20"/>
        </w:rPr>
      </w:pPr>
      <w:r>
        <w:rPr>
          <w:rFonts w:ascii="Times New Roman" w:hAnsi="Times New Roman"/>
          <w:sz w:val="20"/>
        </w:rPr>
        <w:t xml:space="preserve">(b) If there is a public market for Shares at the time of exercise, unless the Company otherwise determines, (A) delivery (including electronically or telephonically to the extent permitted by the Company) of a notice that the Participant has placed a market sell order with a broker acceptable to the Company with respect to Shares then issuable upon exercise of the Option and that the broker has been directed to deliver promptly to the Company funds sufficient to pay the exercise price, or (B) the Participants delivery to the Company of a copy of irrevocable and unconditional instructions to a broker acceptable to the Company to deliver promptly to the Company an amount sufficient to pay the exercise price by cash, wire transfer of immediately available funds or check; provided that such amount is paid to the Company at such time as may be required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permitted by the Administrator, delivery (either by actual delivery or attestation) of Shares owned by the Participant valued at their Fair Market Value on the date of delivery; </w:t>
      </w:r>
    </w:p>
    <w:p>
      <w:pPr>
        <w:pStyle w:val="TextBody"/>
        <w:bidi w:val="0"/>
        <w:spacing w:before="240" w:after="0"/>
        <w:jc w:val="left"/>
        <w:rPr>
          <w:rFonts w:ascii="Times New Roman" w:hAnsi="Times New Roman"/>
          <w:sz w:val="20"/>
        </w:rPr>
      </w:pPr>
      <w:r>
        <w:rPr>
          <w:rFonts w:ascii="Times New Roman" w:hAnsi="Times New Roman"/>
          <w:sz w:val="20"/>
        </w:rPr>
        <w:t xml:space="preserve">(d) To the extent permitted by the Administrator, surrendering Shares then issuable upon the Options exercise valued at their Fair Market Value on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(e) To the extent permitted by the Administrator, delivery of a promissory note or any other lawful consideration; or (f) To the extent permitted by the Administrator, any combination of the above payment forms.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General</w:t>
      </w:r>
      <w:r>
        <w:rPr>
          <w:rFonts w:ascii="Times New Roman" w:hAnsi="Times New Roman"/>
          <w:sz w:val="20"/>
        </w:rPr>
        <w:t xml:space="preserve">. The Administrator may grant Restricted Stock, or the right to purchase Restricted Stock, to any Participant, subject to forfeiture or the Companys right to repurchase all or part of such shares at their issue price or other stated or formula price from the Participant if conditions the Administrator specifies in the Award Agreement are not satisfied before the end of the applicable restriction period or periods that the Administrator establishes for such Award. In addition, the Administrator may grant Restricted Stock Units, which may be subject to vesting and forfeiture conditions during the applicable restriction period or periods, as set forth in an Award Agreement, to Participants. The Administrator shall establish the purchase price, if any, and form of payment for Restricted Stock and Restricted Stock Units; provided, however, that if a purchase price is charged, such purchase price shall be no less than the par value, if any, of the Shares to be purchased, unless otherwise permitted by Applicable Law. In all cases, legal consideration shall be required for each issuance of Restricted Stock and Restricted Stock Units to the extent required by Applicable Law. The Award Agreement for each Award of Restricted Stock and Restricted Stock Units shall set forth the terms and conditions not inconsistent with the Plan as the Administrator shall determine.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Restricted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Stockholder Rights</w:t>
      </w:r>
      <w:r>
        <w:rPr>
          <w:rFonts w:ascii="Times New Roman" w:hAnsi="Times New Roman"/>
          <w:sz w:val="20"/>
        </w:rPr>
        <w:t xml:space="preserve">. Unless otherwise determined by the Administrator, each Participant holding shares of Restricted Stock will be entitled to all the rights of a stockholder with respect to such Shares, subject to the restrictions in the Plan and the applicable Award Agreement, including the right to receive all dividends and other distributions paid or made with respect to the Shares to the extent such dividends and other distributions have a record date that is on or after the date on which such Participant becomes the record holder of such Shares; provided, however, that with respect to a share of Restricted Stock subject to restrictions or vesting conditions, except in connection with a spin-off or other similar event as otherwise permitted under Section 9.2, dividends which are paid to Company stockholders prior to the removal of restrictions and satisfaction of vesting conditions shall only be paid to the Participant to the extent that the restrictions are subsequently removed and the vesting conditions are subsequently satisfied and the share of Restricted Stock vests.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Stock Certificates</w:t>
      </w:r>
      <w:r>
        <w:rPr>
          <w:rFonts w:ascii="Times New Roman" w:hAnsi="Times New Roman"/>
          <w:sz w:val="20"/>
        </w:rPr>
        <w:t xml:space="preserve">. The Company may require that the Participant deposit in escrow with the Company (or its designee) any stock certificates issued in respect of shares of Restricted Stock, together with a stock power endorsed in blank.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Section 83(b) Election</w:t>
      </w:r>
      <w:r>
        <w:rPr>
          <w:rFonts w:ascii="Times New Roman" w:hAnsi="Times New Roman"/>
          <w:sz w:val="20"/>
        </w:rPr>
        <w:t xml:space="preserve">. If a Participant makes an election under Section 83(b) of the Code to be taxed with respect to the Restricted Stock as of the date of transfer of the Restricted Stock rather than as of the date or dates upon which such Participant would otherwise be taxable under Section 83(a) of the Code, such Participant shall be required to deliver a copy of such election to the Company promptly after filing such election with the Internal Revenue Service along with proof of the timely filing thereof.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Restricted Stock Units</w:t>
      </w:r>
      <w:r>
        <w:rPr>
          <w:rFonts w:ascii="Times New Roman" w:hAnsi="Times New Roman"/>
          <w:sz w:val="20"/>
        </w:rPr>
        <w:t xml:space="preserve">. The Administrator may provide that settlement of Restricted Stock Units will occur upon or as soon as reasonably practicable after the Restricted Stock Units vest or will instead be deferred, on a mandatory basis or at the Participants election, subject to compliance with Applicable Law. A Participant holding Restricted Stock Units will have only the rights of a general unsecured creditor of the Company until delivery of Shares, cash or other securities or property is made as specified in the applicable Award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OTHER TYPES OF AWARDS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General</w:t>
      </w:r>
      <w:r>
        <w:rPr>
          <w:rFonts w:ascii="Times New Roman" w:hAnsi="Times New Roman"/>
          <w:sz w:val="20"/>
        </w:rPr>
        <w:t xml:space="preserve">. The Administrator may grant Performance Stock Unit awards, Dividend Equivalents or Other Stock Based Awards, to one or more Participants, in such amounts and subject to such terms and conditions not inconsistent with the Plan as the Administrator shall determine.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Performance Stock Unit Awards</w:t>
      </w:r>
      <w:r>
        <w:rPr>
          <w:rFonts w:ascii="Times New Roman" w:hAnsi="Times New Roman"/>
          <w:sz w:val="20"/>
        </w:rPr>
        <w:t xml:space="preserve">. Each Performance Stock Unit award shall be denominated in a number of Shares or in unit equivalents of Shares or units of value (including a dollar value of Shares) and may be linked to any one or more of performance or other specific criteria, including service to the Company or Subsidiaries, determined to be appropriate by the Administrator, in each case on a specified date or dates or over any period or periods determined by the Administrator. In making such determinations, the Administrator may consider (among such other factors as it deems relevant in light of the specific type of award) the contributions, responsibilities and other compensation of the particular Participant.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Dividend Equivalents</w:t>
      </w:r>
      <w:r>
        <w:rPr>
          <w:rFonts w:ascii="Times New Roman" w:hAnsi="Times New Roman"/>
          <w:sz w:val="20"/>
        </w:rPr>
        <w:t xml:space="preserve">. If the Administrator provides, an Award (other than an Option or Stock Appreciation Right) may provide a Participant with the right to receive Dividend Equivalents. Dividend Equivalents may be paid currently or credited to an account for the Participant, settled in cash or Shares and subject to the same restrictions on transferability and forfeitability as the Award with respect to which the Dividend Equivalents are granted and subject to other terms and conditions as set forth in the Award Agreement. Notwithstanding anything to the contrary herein, Dividend Equivalents with respect to an Award subject to vesting shall either (i) to the extent permitted by Applicable Law, not be paid or credited or (ii) be accumulated and subject to vesting to the same extent as the related Award. All such Dividend Equivalents shall be paid at such time as the Administrator shall specify in the applicable Award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8.4 O</w:t>
      </w:r>
      <w:r>
        <w:rPr>
          <w:rFonts w:ascii="Times New Roman" w:hAnsi="Times New Roman"/>
          <w:sz w:val="20"/>
          <w:u w:val="single"/>
        </w:rPr>
        <w:t>ther Stock Based Awards</w:t>
      </w:r>
      <w:r>
        <w:rPr>
          <w:rFonts w:ascii="Times New Roman" w:hAnsi="Times New Roman"/>
          <w:sz w:val="20"/>
        </w:rPr>
        <w:t xml:space="preserve">. Other Stock Based Awards may be granted to Participants, including Awards entitling Participants to receive cash or Shares to be delivered in the future (whether based on specified performance criteria or otherwise), subject to any conditions and limitations in the Plan. Such Other Stock Based Awards will also be available as a payment form in the settlement of other Awards, as standalone payments and as payment in lieu of compensation to which a Participant is otherwise entitled, subject to compliance with Section 409A. Other Stock Based Awards may be paid in Shares, cash or other property, as the Administrator determines. Subject to the provisions of the Plan, the Administrator will determine the terms and conditions of each Other Stock Based Award, including any purchase price, performance goal(s), transfer restrictions, and vesting conditions, which will be set forth in the applicable Award Agreement. Except in connection with a spin-off or other similar event as otherwise permitted under Article IX, dividends that are paid prior to vesting of any Other Stock Based Award shall only be paid to the applicable Participant to the extent that the vesting conditions are subsequently satisfied and the Other Stock Based Award vests.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ADJUSTMENTS FOR CHANGES IN COMMON STOCK </w:t>
      </w:r>
    </w:p>
    <w:p>
      <w:pPr>
        <w:pStyle w:val="TextBody"/>
        <w:bidi w:val="0"/>
        <w:spacing w:before="0" w:after="0"/>
        <w:jc w:val="center"/>
        <w:rPr>
          <w:rFonts w:ascii="Times New Roman" w:hAnsi="Times New Roman"/>
          <w:b/>
          <w:sz w:val="20"/>
        </w:rPr>
      </w:pPr>
      <w:r>
        <w:rPr>
          <w:rFonts w:ascii="Times New Roman" w:hAnsi="Times New Roman"/>
          <w:b/>
          <w:sz w:val="20"/>
        </w:rPr>
        <w:t xml:space="preserve">AND CERTAIN OTHER EVENTS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Equity Restructuring</w:t>
      </w:r>
      <w:r>
        <w:rPr>
          <w:rFonts w:ascii="Times New Roman" w:hAnsi="Times New Roman"/>
          <w:sz w:val="20"/>
        </w:rPr>
        <w:t xml:space="preserve">. In connection with any Equity Restructuring, notwithstanding anything to the contrary in this Article IX, the Administrator will equitably adjust the terms of the Plan and each outstanding Award as it deems appropriate to reflect the Equity Restructuring, which may include (i) adjusting the number and type of securities subject to each outstanding Award or with respect to which Awards may be granted under the Plan (including, but not limited to, adjustments of the limitations in Article V hereof on the maximum number and kind of shares that may be issued); (ii) adjusting the terms and conditions of (including the grant or exercise price), and the performance goals or other criteria included in, outstanding Awards; and (iii) granting new Awards or making cash payments to Participants. The adjustments provided under this Section 9.1 will be nondiscretionary and final and binding on all interested parties, including the affected Participant and the Company; provided that the Administrator will determine whether an adjustment is equitable.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Corporate Transactions</w:t>
      </w:r>
      <w:r>
        <w:rPr>
          <w:rFonts w:ascii="Times New Roman" w:hAnsi="Times New Roman"/>
          <w:sz w:val="20"/>
        </w:rPr>
        <w:t xml:space="preserve">. In the event of any extraordinary dividend or other distribution (whether in the form of cash, Common Stock, other securities, or other property), reorganization, merger, consolidation, split-up, spin off,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 or 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(a) 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provide that such Award shall vest and, to the extent applicable, be exercisable as to all Shares (or other property) covered thereby, notwithstanding anything to the contrary in the Plan or the provisions of such Award; </w:t>
      </w:r>
    </w:p>
    <w:p>
      <w:pPr>
        <w:pStyle w:val="TextBody"/>
        <w:bidi w:val="0"/>
        <w:spacing w:before="240" w:after="0"/>
        <w:jc w:val="left"/>
        <w:rPr>
          <w:rFonts w:ascii="Times New Roman" w:hAnsi="Times New Roman"/>
          <w:sz w:val="20"/>
        </w:rPr>
      </w:pPr>
      <w:r>
        <w:rPr>
          <w:rFonts w:ascii="Times New Roman" w:hAnsi="Times New Roman"/>
          <w:sz w:val="20"/>
        </w:rPr>
        <w:t xml:space="preserve">(c) To provide that such Award be assumed by the successor or survivor corporation or entity, or a parent or subsidiary thereof, or shall be substituted for by awards covering the stock of the successor or survivor corporation or entity, or a parent or subsidiary thereof, with appropriate adjustments as to the number and kind of shares and applicable exercise or purchase price, in all cases, as determined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(d) To make adjustments in the number and type of shares of Common Stock (or other securities or property) subject to outstanding Awards or with respect to which Awards may be granted under the Plan (including, but not limited to, adjustments of the limitations in Article V hereof on the maximum number and kind of shares which may be issued) or in the terms and conditions of (including the grant or exercise price), and the criteria included in, outstanding Awards; </w:t>
      </w:r>
    </w:p>
    <w:p>
      <w:pPr>
        <w:pStyle w:val="TextBody"/>
        <w:bidi w:val="0"/>
        <w:spacing w:before="240" w:after="0"/>
        <w:jc w:val="left"/>
        <w:rPr>
          <w:rFonts w:ascii="Times New Roman" w:hAnsi="Times New Roman"/>
          <w:sz w:val="20"/>
        </w:rPr>
      </w:pPr>
      <w:r>
        <w:rPr>
          <w:rFonts w:ascii="Times New Roman" w:hAnsi="Times New Roman"/>
          <w:sz w:val="20"/>
        </w:rPr>
        <w:t xml:space="preserve">(e) To replace such Award with other rights or property selected by the Administrator; or </w:t>
      </w:r>
    </w:p>
    <w:p>
      <w:pPr>
        <w:pStyle w:val="TextBody"/>
        <w:bidi w:val="0"/>
        <w:spacing w:before="240" w:after="0"/>
        <w:jc w:val="left"/>
        <w:rPr>
          <w:rFonts w:ascii="Times New Roman" w:hAnsi="Times New Roman"/>
          <w:sz w:val="20"/>
        </w:rPr>
      </w:pPr>
      <w:r>
        <w:rPr>
          <w:rFonts w:ascii="Times New Roman" w:hAnsi="Times New Roman"/>
          <w:sz w:val="20"/>
        </w:rPr>
        <w:t xml:space="preserve">(f) To provide that the Award will terminate and cannot vest, be exercised or become payable after the applicable event.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Change in Control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Section 9.2,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the successor corporation in a Change in Control refuses to assume or substitute for an Award (other than any portion subject to performance-based vesting, which shall be handled as specified in the individual Award Agreement or as otherwise provided by the Administrator), the Administrator shall cause such Award to become fully vested and, if applicable, exercisable immediately prior to the consummation of such transaction and all forfeiture restrictions on such Award to lapse and, to the extent unexercised upon the consummation of such transaction, to terminate in exchange for cash, rights or other property. The Administrator shall notify the Participant of any Award that becomes exercisable pursuant to the preceding sentence that such Award shall be fully exercisable for a period of time as determined by the Administrator from the date of such notice (which shall be fifteen (15) days if no period is determined by the Administrator), contingent upon the occurrence of the Change in Control, and such Award shall terminate upon the consummation of the Change in Control in accordance with the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(c) For the purposes of this Section 9.3,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per-share consideration received by holders of Common Stock in the Change in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Notwithstanding anything to the contrary herein, if a Participant experiences a Termination of Service during the period beginning three months prior to and ending 12 months following the closing of a Change in Control that is effected by the Company without Cause or by the Participant for Good Reason, then, the Award(s) (other than any portion subject to performance-based vesting, which shall be handled as specified in the individual Award Agreement or as otherwise provided by the Administrator) held by such Participant shall become fully vested and, if applicable, exercisable and all forfeiture restrictions on such Award(s) shall lapse as of immediately prior to the consummation of such Change in Control or, if later, the date of such Termination of Service.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Administrative Stand Still</w:t>
      </w:r>
      <w:r>
        <w:rPr>
          <w:rFonts w:ascii="Times New Roman" w:hAnsi="Times New Roman"/>
          <w:sz w:val="20"/>
        </w:rPr>
        <w:t xml:space="preserve">.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or for reasons of administrative convenience or to facilitate compliance with any Applicable Law, the Administrator may refuse to permit the exercise or settlement of one or more Awards for such period of time as the Company may determine to be reasonably appropriate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General</w:t>
      </w:r>
      <w:r>
        <w:rPr>
          <w:rFonts w:ascii="Times New Roman" w:hAnsi="Times New Roman"/>
          <w:sz w:val="20"/>
        </w:rPr>
        <w:t xml:space="preserve">.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9.1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spinoff, dissolution or liquidation of the Company or sale of Company assets or (iii) any sale or issuance of securities, including securities with rights superior to those of the Shares or securities convertible into or exchangeable for Shares.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PROVISIONS APPLICABLE TO AWARDS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Transferability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Award may be sold, assigned, transferred, pledged or otherwise encumbered, either voluntarily or by operation of law, except by will or the laws of descent and distribution, or, subject to the Administrators consent, pursuant to a DRO, unless and until such Award has been exercised or the Shares underlying such Award have been issued, and all restrictions applicable to such Shares have lapsed. During the life of a Participant, Awards will be exercisable only by the Participant, unless it has been disposed of pursuant to a DRO. After the death of a Participant, any exercisable portion of an Award may, prior to the time when such portion becomes unexercisable under the Plan or the applicable Award Agreement, be exercised by the Participants personal representative or by any person empowered to do so under the deceased Participants will or under the then- Applicable Law of descent and distribution. References to a Participant, to the extent relevant in the context, will include references to a transferee approved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Section 10.1(a), the Administrator, in its sole discretion, may determine to permit a Participant or a Permitted Transferee of such Participant to transfer an Award to any one or more Permitted Transferees of such Participant, subject to the following terms and conditions: (i) an Award transferred to a Permitted Transferee shall not be assignable or transferable by the Permitted Transferee other than (A) to another Permitted Transferee of the applicable Participant or (B) by will or the laws of descent and distribution or, subject to the consent of the Administrator, pursuant to a domestic relations order; (ii) 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(iii) the Participant (or transferring Permitted Transferee) and the receiving Permitted Transferee shall execute any and all documents requested by the Administrator, including,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limitation documents to (A) confirm the status of the transferee as a Permitted Transferee, (B) satisfy any requirements for an exemption for the transfer under Applicable Law and (C) evidence the transfer; and (iv) any transfer of an Award to a Permitted Transferee shall be without consideration,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Section 10.1(a), if permitted by the Administrator, a Participant may, in the manner determined by the Administrator, designate a Designated Beneficiary. A Designated Beneficiary, legal guardian, legal representative, or other person claiming any rights pursuant to the Plan is subject to all terms and conditions of the Plan and any Award Agreement applicable to the Participant and any additional restrictions deemed necessary or appropriate by the Administrator. If the Participant is married or a domestic partner in a domestic partnership qualified under Applicable Law and resides in a community property state, a designation of a person other than the Participants spouse or domestic partner, as applicable, as the Participants Designated Beneficiary with respect to more than 50% of the Participants interest in the Award shall not be effective without the prior written or electronic consent of the Participants spouse or domestic partner. Subject to the foregoing, a beneficiary designation may be changed or revoked by a Participant at any time; provided that the change or revocation is delivered in writing to the Administrator prior to the Participants death.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Documentation</w:t>
      </w:r>
      <w:r>
        <w:rPr>
          <w:rFonts w:ascii="Times New Roman" w:hAnsi="Times New Roman"/>
          <w:sz w:val="20"/>
        </w:rPr>
        <w:t xml:space="preserve">. Each Award will be evidenced in an Award Agreement in such form as the Administrator determines in its discretion. Each Award may contain such terms and conditions as are determined by the Administrator in its sole discretion, to the extent not inconsistent with those set forth in the Plan. </w:t>
      </w:r>
    </w:p>
    <w:p>
      <w:pPr>
        <w:pStyle w:val="TextBody"/>
        <w:bidi w:val="0"/>
        <w:spacing w:before="240" w:after="0"/>
        <w:jc w:val="left"/>
        <w:rPr>
          <w:rFonts w:ascii="Times New Roman" w:hAnsi="Times New Roman"/>
          <w:sz w:val="20"/>
        </w:rPr>
      </w:pPr>
      <w:r>
        <w:rPr>
          <w:rFonts w:ascii="Times New Roman" w:hAnsi="Times New Roman"/>
          <w:sz w:val="20"/>
        </w:rPr>
        <w:t xml:space="preserve">10.3 </w:t>
      </w:r>
      <w:r>
        <w:rPr>
          <w:rFonts w:ascii="Times New Roman" w:hAnsi="Times New Roman"/>
          <w:sz w:val="20"/>
          <w:u w:val="single"/>
        </w:rPr>
        <w:t>Discretion</w:t>
      </w:r>
      <w:r>
        <w:rPr>
          <w:rFonts w:ascii="Times New Roman" w:hAnsi="Times New Roman"/>
          <w:sz w:val="20"/>
        </w:rPr>
        <w:t xml:space="preserve">. Except as the Plan otherwise provides, each Award may be made alone or in addition or in relation to any other Award. The terms of each Award to a Participant need not be identical, and the Administrator need not treat Participants or Awards (or portions thereof) uniformly. </w:t>
      </w:r>
    </w:p>
    <w:p>
      <w:pPr>
        <w:pStyle w:val="TextBody"/>
        <w:bidi w:val="0"/>
        <w:spacing w:before="240" w:after="0"/>
        <w:jc w:val="left"/>
        <w:rPr>
          <w:rFonts w:ascii="Times New Roman" w:hAnsi="Times New Roman"/>
          <w:sz w:val="20"/>
        </w:rPr>
      </w:pPr>
      <w:r>
        <w:rPr>
          <w:rFonts w:ascii="Times New Roman" w:hAnsi="Times New Roman"/>
          <w:sz w:val="20"/>
        </w:rPr>
        <w:t xml:space="preserve">10.4 </w:t>
      </w:r>
      <w:r>
        <w:rPr>
          <w:rFonts w:ascii="Times New Roman" w:hAnsi="Times New Roman"/>
          <w:sz w:val="20"/>
          <w:u w:val="single"/>
        </w:rPr>
        <w:t>Changes in Participants Status</w:t>
      </w:r>
      <w:r>
        <w:rPr>
          <w:rFonts w:ascii="Times New Roman" w:hAnsi="Times New Roman"/>
          <w:sz w:val="20"/>
        </w:rPr>
        <w:t xml:space="preserve">. The Administrator will determine how the disability, death, retirement, authorized leave of absence or any other change or purported change in a Participants status affects an Award and the extent to which, and the period during which, the Participant, the Participants legal representative, conservator, guardian or Designated Beneficiary may exercise rights under the Award, if applicable. Except to the extent otherwise required by Applicable Law or expressly authorized by the Company or by the Companys written policy on leaves of absence, no service credit shall be given for vesting purposes for any period the Participant is on a leave of absence. </w:t>
      </w:r>
    </w:p>
    <w:p>
      <w:pPr>
        <w:pStyle w:val="TextBody"/>
        <w:bidi w:val="0"/>
        <w:spacing w:before="240" w:after="0"/>
        <w:jc w:val="left"/>
        <w:rPr>
          <w:rFonts w:ascii="Times New Roman" w:hAnsi="Times New Roman"/>
          <w:sz w:val="20"/>
        </w:rPr>
      </w:pPr>
      <w:r>
        <w:rPr>
          <w:rFonts w:ascii="Times New Roman" w:hAnsi="Times New Roman"/>
          <w:sz w:val="20"/>
        </w:rPr>
        <w:t xml:space="preserve">10.5 </w:t>
      </w:r>
      <w:r>
        <w:rPr>
          <w:rFonts w:ascii="Times New Roman" w:hAnsi="Times New Roman"/>
          <w:sz w:val="20"/>
          <w:u w:val="single"/>
        </w:rPr>
        <w:t>Withholding</w:t>
      </w:r>
      <w:r>
        <w:rPr>
          <w:rFonts w:ascii="Times New Roman" w:hAnsi="Times New Roman"/>
          <w:sz w:val="20"/>
        </w:rPr>
        <w:t xml:space="preserve">. Each Participant must pay the Company or a Subsidiary, as applicable, or make provision satisfactory to the Administrator for payment of, any Tax-Related Items required by Applicable Law to be withheld in connection with such Participants Awards and/or Shares by the date of the event creating the liability for Tax-Related Items. At the Companys discretion and subject to any Company insider trading policy (including black-out periods), any withholding obligation for Tax-Related Items may be satisfied by (i) deducting an amount sufficient to satisfy such withholding obligation from any payment of any kind otherwise due to a Participant; (ii) accepting a payment from the Participant in cash, by wire transfer of immediately available funds, or by check made payable to the order of the Company or a Subsidiary, as applicable; (iii) accepting the delivery of Shares, including Shares delivered by attestation; (iv) retaining Shares from the Award creating the withholding obligation for Tax-Related Items, valued on the date of delivery, (v) if there is a public market for Shares at the time the withholding obligation for Tax-Related Items is satisfied, selling Shares issued pursuant to the Award creating the withholding obligation for Tax-Related Items, either voluntarily by the Participant or mandatorily by the Company; (vi) accepting delivery of a promissory note or any other lawful consideration; or (vii) any combination of the foregoing payment forms. The amount withheld pursuant to any of the foregoing payment forms shall be determined by the Company and may be up to, but no greater than, the aggregate amount of such obligations based on the maximum statutory withholding rates in the applicable Participants jurisdiction for all Tax-Related Items that are applicable to such taxable income. If any tax withholding obligation will be satisfied under clause (v) of the preceding paragraph, each Participants acceptance of an Award under the Plan will constitute the Participants authorization to the Company and instruction and authorization to any brokerage firm selected by the Company to effect the sale to complete the transactions described in clause (v).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10.6 </w:t>
      </w:r>
      <w:r>
        <w:rPr>
          <w:rFonts w:ascii="Times New Roman" w:hAnsi="Times New Roman"/>
          <w:sz w:val="20"/>
          <w:u w:val="single"/>
        </w:rPr>
        <w:t>Amendment of Award; Repricing</w:t>
      </w:r>
      <w:r>
        <w:rPr>
          <w:rFonts w:ascii="Times New Roman" w:hAnsi="Times New Roman"/>
          <w:sz w:val="20"/>
        </w:rPr>
        <w:t xml:space="preserve">. The Administrator may amend, modify or terminate any outstanding Award, including by substituting another Award of the same or a different type, or changing the exercise or settlement date. The Participants consent to such action will be required unless (i) the action, taking into account any related action, does not materially and adversely affect the Participants rights under the Award, or (ii) the change is permitted under Article IX or pursuant to Section 11.6. In addition, the Administrator shall, without the approval of the stockholders of the Company, have the authority to (a) amend any outstanding Option or Stock Appreciation Right to reduce its exercise price per Share or (b) cancel any Option or Stock Appreciation Right in exchange for cash or another Award. </w:t>
      </w:r>
    </w:p>
    <w:p>
      <w:pPr>
        <w:pStyle w:val="TextBody"/>
        <w:bidi w:val="0"/>
        <w:spacing w:before="240" w:after="0"/>
        <w:jc w:val="left"/>
        <w:rPr>
          <w:rFonts w:ascii="Times New Roman" w:hAnsi="Times New Roman"/>
          <w:sz w:val="20"/>
        </w:rPr>
      </w:pPr>
      <w:r>
        <w:rPr>
          <w:rFonts w:ascii="Times New Roman" w:hAnsi="Times New Roman"/>
          <w:sz w:val="20"/>
        </w:rPr>
        <w:t xml:space="preserve">10.7 </w:t>
      </w:r>
      <w:r>
        <w:rPr>
          <w:rFonts w:ascii="Times New Roman" w:hAnsi="Times New Roman"/>
          <w:sz w:val="20"/>
          <w:u w:val="single"/>
        </w:rPr>
        <w:t>Conditions on Delivery of Stock</w:t>
      </w:r>
      <w:r>
        <w:rPr>
          <w:rFonts w:ascii="Times New Roman" w:hAnsi="Times New Roman"/>
          <w:sz w:val="20"/>
        </w:rPr>
        <w:t xml:space="preserve">.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without limitation, any applicable securities laws and stock exchange or stock market rules and regulations, (iii) any approvals from governmental agencies that the Company determines are necessary or advisable have been obtained, and (iv) the Participant has executed and delivered to the Company such representations or agreements as the Administrator deems necessary or appropriate to satisfy Applicable Law. 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and shall constitute circumstances in which the Administrator may determine to amend or cancel Awards pertaining to such Shares, with or without consideration to the Participant. </w:t>
      </w:r>
    </w:p>
    <w:p>
      <w:pPr>
        <w:pStyle w:val="TextBody"/>
        <w:bidi w:val="0"/>
        <w:spacing w:before="240" w:after="0"/>
        <w:jc w:val="left"/>
        <w:rPr>
          <w:rFonts w:ascii="Times New Roman" w:hAnsi="Times New Roman"/>
          <w:sz w:val="20"/>
        </w:rPr>
      </w:pPr>
      <w:r>
        <w:rPr>
          <w:rFonts w:ascii="Times New Roman" w:hAnsi="Times New Roman"/>
          <w:sz w:val="20"/>
        </w:rPr>
        <w:t xml:space="preserve">10.8 </w:t>
      </w:r>
      <w:r>
        <w:rPr>
          <w:rFonts w:ascii="Times New Roman" w:hAnsi="Times New Roman"/>
          <w:sz w:val="20"/>
          <w:u w:val="single"/>
        </w:rPr>
        <w:t>Acceleration</w:t>
      </w:r>
      <w:r>
        <w:rPr>
          <w:rFonts w:ascii="Times New Roman" w:hAnsi="Times New Roman"/>
          <w:sz w:val="20"/>
        </w:rPr>
        <w:t xml:space="preserve">. The Administrator may at any time provide that any Award will become immediately vested and fully or partially exercisable, free of some or all restrictions or conditions, or otherwise fully or partially realizable.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sz w:val="20"/>
          <w:u w:val="single"/>
        </w:rPr>
        <w:t>No Right to Employment or Other Status</w:t>
      </w:r>
      <w:r>
        <w:rPr>
          <w:rFonts w:ascii="Times New Roman" w:hAnsi="Times New Roman"/>
          <w:sz w:val="20"/>
        </w:rPr>
        <w:t xml:space="preserve">. No person will have any claim or right to be granted an Award, and the grant of an Award will not be construed as giving a Participant the right to continue employment or any other relationship with the Company or a Subsidiary. The Company and its Subsidiaries expressly reserve the right at any time to dismiss or otherwise terminate its relationship with a Participant free from any liability or claim under the Plan or any Award, except as expressly provided in an Award Agreement or other written agreement between the Participant and the Company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11.2 </w:t>
      </w:r>
      <w:r>
        <w:rPr>
          <w:rFonts w:ascii="Times New Roman" w:hAnsi="Times New Roman"/>
          <w:sz w:val="20"/>
          <w:u w:val="single"/>
        </w:rPr>
        <w:t>No Rights as Stockholder; Certificates</w:t>
      </w:r>
      <w:r>
        <w:rPr>
          <w:rFonts w:ascii="Times New Roman" w:hAnsi="Times New Roman"/>
          <w:sz w:val="20"/>
        </w:rPr>
        <w:t xml:space="preserve">.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 requires,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any share certificate or book entry to reference restrictions applicable to the Shares (including, without limitation, restrictions applicable to Restricted Stock). </w:t>
      </w:r>
    </w:p>
    <w:p>
      <w:pPr>
        <w:pStyle w:val="TextBody"/>
        <w:bidi w:val="0"/>
        <w:spacing w:before="240" w:after="0"/>
        <w:jc w:val="left"/>
        <w:rPr>
          <w:rFonts w:ascii="Times New Roman" w:hAnsi="Times New Roman"/>
          <w:sz w:val="20"/>
        </w:rPr>
      </w:pPr>
      <w:r>
        <w:rPr>
          <w:rFonts w:ascii="Times New Roman" w:hAnsi="Times New Roman"/>
          <w:sz w:val="20"/>
        </w:rPr>
        <w:t xml:space="preserve">11.3 </w:t>
      </w:r>
      <w:r>
        <w:rPr>
          <w:rFonts w:ascii="Times New Roman" w:hAnsi="Times New Roman"/>
          <w:sz w:val="20"/>
          <w:u w:val="single"/>
        </w:rPr>
        <w:t>Effective Date</w:t>
      </w:r>
      <w:r>
        <w:rPr>
          <w:rFonts w:ascii="Times New Roman" w:hAnsi="Times New Roman"/>
          <w:sz w:val="20"/>
        </w:rPr>
        <w:t xml:space="preserve">. The Plan shall be effective immediately upon approval by the Board. </w:t>
      </w:r>
    </w:p>
    <w:p>
      <w:pPr>
        <w:pStyle w:val="TextBody"/>
        <w:bidi w:val="0"/>
        <w:spacing w:before="240" w:after="0"/>
        <w:jc w:val="left"/>
        <w:rPr>
          <w:rFonts w:ascii="Times New Roman" w:hAnsi="Times New Roman"/>
          <w:sz w:val="20"/>
        </w:rPr>
      </w:pPr>
      <w:r>
        <w:rPr>
          <w:rFonts w:ascii="Times New Roman" w:hAnsi="Times New Roman"/>
          <w:sz w:val="20"/>
        </w:rPr>
        <w:t xml:space="preserve">11.4 </w:t>
      </w:r>
      <w:r>
        <w:rPr>
          <w:rFonts w:ascii="Times New Roman" w:hAnsi="Times New Roman"/>
          <w:sz w:val="20"/>
          <w:u w:val="single"/>
        </w:rPr>
        <w:t>Amendment of Plan</w:t>
      </w:r>
      <w:r>
        <w:rPr>
          <w:rFonts w:ascii="Times New Roman" w:hAnsi="Times New Roman"/>
          <w:sz w:val="20"/>
        </w:rPr>
        <w:t xml:space="preserve">. The Board may amend, suspend or terminate the Plan at any time and from time to time; provided that no amendment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in effect before such suspension or termination. </w:t>
      </w:r>
    </w:p>
    <w:p>
      <w:pPr>
        <w:pStyle w:val="TextBody"/>
        <w:bidi w:val="0"/>
        <w:spacing w:before="240" w:after="0"/>
        <w:jc w:val="left"/>
        <w:rPr>
          <w:rFonts w:ascii="Times New Roman" w:hAnsi="Times New Roman"/>
          <w:sz w:val="20"/>
        </w:rPr>
      </w:pPr>
      <w:r>
        <w:rPr>
          <w:rFonts w:ascii="Times New Roman" w:hAnsi="Times New Roman"/>
          <w:sz w:val="20"/>
        </w:rPr>
        <w:t xml:space="preserve">11.5 </w:t>
      </w:r>
      <w:r>
        <w:rPr>
          <w:rFonts w:ascii="Times New Roman" w:hAnsi="Times New Roman"/>
          <w:sz w:val="20"/>
          <w:u w:val="single"/>
        </w:rPr>
        <w:t>Provisions for Foreign Participants</w:t>
      </w:r>
      <w:r>
        <w:rPr>
          <w:rFonts w:ascii="Times New Roman" w:hAnsi="Times New Roman"/>
          <w:sz w:val="20"/>
        </w:rPr>
        <w:t xml:space="preserve">. The Administrator may modify Awards granted to Participants who are nationals of a country other than the United States or employed or residing outside the United States, establish subplans or procedures under the Plan or take any other necessary or appropriate action to address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Law, including (a) differences in laws, rules, regulations or customs of such jurisdictions with respect to tax, securities, currency, employee benefit or other matters, (b) listing and other requirements of any non-U.S. securities exchange, and (c) any necessary local governmental or regulatory exemptions or approvals. </w:t>
      </w:r>
    </w:p>
    <w:p>
      <w:pPr>
        <w:pStyle w:val="TextBody"/>
        <w:bidi w:val="0"/>
        <w:spacing w:before="240" w:after="0"/>
        <w:jc w:val="left"/>
        <w:rPr>
          <w:rFonts w:ascii="Times New Roman" w:hAnsi="Times New Roman"/>
          <w:sz w:val="20"/>
        </w:rPr>
      </w:pPr>
      <w:r>
        <w:rPr>
          <w:rFonts w:ascii="Times New Roman" w:hAnsi="Times New Roman"/>
          <w:sz w:val="20"/>
        </w:rPr>
        <w:t xml:space="preserve">11.6 </w:t>
      </w:r>
      <w:r>
        <w:rPr>
          <w:rFonts w:ascii="Times New Roman" w:hAnsi="Times New Roman"/>
          <w:sz w:val="20"/>
          <w:u w:val="single"/>
        </w:rPr>
        <w:t>Section 409A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xml:space="preserve">.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11.6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Separation from Service</w:t>
      </w:r>
      <w:r>
        <w:rPr>
          <w:rFonts w:ascii="Times New Roman" w:hAnsi="Times New Roman"/>
          <w:sz w:val="20"/>
        </w:rPr>
        <w:t xml:space="preserve">. If an Award constitutes nonqualified deferred compensation under Section 409A, any payment or settlement of such Award upon a Participants Termination of Service will, to the extent necessary to avoid taxes under Section 409A, be made only upon the Participants separation from service (within the meaning of Section 409A), whether such separation from service occurs upon or after the Participants Termination of Service. For purposes of this Plan or any Award Agreement relating to any such payments or benefits, references to a termination, termination of employment or like terms means a separation from service.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Payments to Specified Employees</w:t>
      </w:r>
      <w:r>
        <w:rPr>
          <w:rFonts w:ascii="Times New Roman" w:hAnsi="Times New Roman"/>
          <w:sz w:val="20"/>
        </w:rPr>
        <w:t xml:space="preserve">.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Separate Payments</w:t>
      </w:r>
      <w:r>
        <w:rPr>
          <w:rFonts w:ascii="Times New Roman" w:hAnsi="Times New Roman"/>
          <w:sz w:val="20"/>
        </w:rPr>
        <w:t xml:space="preserve">. If an Award includes a series of installment payments within the meaning of Section 1.409A-2(b)(2)(iii) of Section 409A, the Participants right to the series of installment payments will be treated as a right to a series of separate payments and not as a right to a single payment and, if an Award includes dividend equivalents within the meaning of Section 1.409A-3(e) of Section 409A, the Participants right to receive the dividend equivalents will be treated separately from the right to other amounts under the Award.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Change in Control</w:t>
      </w:r>
      <w:r>
        <w:rPr>
          <w:rFonts w:ascii="Times New Roman" w:hAnsi="Times New Roman"/>
          <w:sz w:val="20"/>
        </w:rPr>
        <w:t xml:space="preserve">. Any payment due upon a Change in Control of the Company will be paid only if such Change in Control constitutes a change in ownership or change in effective control within the meaning of Section 409A, and in the event that such Change in Control does not constitute a change in the ownership or change in the effective control within the meaning of Section 409A, such Award will vest upon the Change in Control and any payment will be delayed until the first compliant date under Section 409A. </w:t>
      </w:r>
    </w:p>
    <w:p>
      <w:pPr>
        <w:pStyle w:val="TextBody"/>
        <w:bidi w:val="0"/>
        <w:spacing w:before="240" w:after="0"/>
        <w:jc w:val="left"/>
        <w:rPr>
          <w:rFonts w:ascii="Times New Roman" w:hAnsi="Times New Roman"/>
          <w:sz w:val="20"/>
        </w:rPr>
      </w:pPr>
      <w:r>
        <w:rPr>
          <w:rFonts w:ascii="Times New Roman" w:hAnsi="Times New Roman"/>
          <w:sz w:val="20"/>
        </w:rPr>
        <w:t xml:space="preserve">11.7 </w:t>
      </w:r>
      <w:r>
        <w:rPr>
          <w:rFonts w:ascii="Times New Roman" w:hAnsi="Times New Roman"/>
          <w:sz w:val="20"/>
          <w:u w:val="single"/>
        </w:rPr>
        <w:t>Limitations on Liability</w:t>
      </w:r>
      <w:r>
        <w:rPr>
          <w:rFonts w:ascii="Times New Roman" w:hAnsi="Times New Roman"/>
          <w:sz w:val="20"/>
        </w:rPr>
        <w:t xml:space="preserve">. Notwithstanding any other provisions of the Plan, no individual acting as a director, officer or other employee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or other employee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Company or any Subsidiary. The Company will indemnify and hold harmless each director, officer or other employee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 provided that he or she gives the Company an opportunity, at its own expense, to handle and defend the same before he or she undertakes to handle and defend it on his or her own behalf. </w:t>
      </w:r>
    </w:p>
    <w:p>
      <w:pPr>
        <w:pStyle w:val="TextBody"/>
        <w:bidi w:val="0"/>
        <w:spacing w:before="240" w:after="0"/>
        <w:jc w:val="left"/>
        <w:rPr>
          <w:rFonts w:ascii="Times New Roman" w:hAnsi="Times New Roman"/>
          <w:sz w:val="20"/>
        </w:rPr>
      </w:pPr>
      <w:r>
        <w:rPr>
          <w:rFonts w:ascii="Times New Roman" w:hAnsi="Times New Roman"/>
          <w:sz w:val="20"/>
        </w:rPr>
        <w:t xml:space="preserve">11.8 </w:t>
      </w:r>
      <w:r>
        <w:rPr>
          <w:rFonts w:ascii="Times New Roman" w:hAnsi="Times New Roman"/>
          <w:sz w:val="20"/>
          <w:u w:val="single"/>
        </w:rPr>
        <w:t>Data Privacy</w:t>
      </w:r>
      <w:r>
        <w:rPr>
          <w:rFonts w:ascii="Times New Roman" w:hAnsi="Times New Roman"/>
          <w:sz w:val="20"/>
        </w:rPr>
        <w:t>. As a condition for receiving any Award, each Participant explicitly and unambiguously consents to the collection, use and transfer, in electronic or other form, of personal data as described in this Section 11.8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hAnsi="Times New Roman"/>
          <w:b/>
          <w:i/>
          <w:sz w:val="20"/>
        </w:rPr>
        <w:t>Data</w:t>
      </w:r>
      <w:r>
        <w:rPr>
          <w:rFonts w:ascii="Times New Roman" w:hAnsi="Times New Roman"/>
          <w:sz w:val="20"/>
        </w:rPr>
        <w:t xml:space="preserve">).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11.8 in writing, without cost, by contacting the local human resources representative. The Company may cancel Participants ability to participate in the Plan and, in the Administrators sole discretion, the Participant may forfeit any outstanding Awards if the Participant refuses or withdraws the consents in this Section 11.8. For more information on the consequences of refusing or withdrawing consent, Participants may contact their local human resources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11.9 </w:t>
      </w:r>
      <w:r>
        <w:rPr>
          <w:rFonts w:ascii="Times New Roman" w:hAnsi="Times New Roman"/>
          <w:sz w:val="20"/>
          <w:u w:val="single"/>
        </w:rPr>
        <w:t>Severability</w:t>
      </w:r>
      <w:r>
        <w:rPr>
          <w:rFonts w:ascii="Times New Roman" w:hAnsi="Times New Roman"/>
          <w:sz w:val="20"/>
        </w:rPr>
        <w:t xml:space="preserve">.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11.10 </w:t>
      </w:r>
      <w:r>
        <w:rPr>
          <w:rFonts w:ascii="Times New Roman" w:hAnsi="Times New Roman"/>
          <w:sz w:val="20"/>
          <w:u w:val="single"/>
        </w:rPr>
        <w:t>Governing Documents</w:t>
      </w:r>
      <w:r>
        <w:rPr>
          <w:rFonts w:ascii="Times New Roman" w:hAnsi="Times New Roman"/>
          <w:sz w:val="20"/>
        </w:rPr>
        <w:t xml:space="preserve">. If any contradiction occurs between the Plan and any Award Agreement or other written agreement between a Participant and the Company (or any Subsidiary), the Plan will govern, unless such Award Agreement or other written agreement was approved by the Administrator and expressly provides that a specific provision of the Plan will not apply. </w:t>
      </w:r>
    </w:p>
    <w:p>
      <w:pPr>
        <w:pStyle w:val="TextBody"/>
        <w:bidi w:val="0"/>
        <w:spacing w:before="240" w:after="0"/>
        <w:jc w:val="left"/>
        <w:rPr>
          <w:rFonts w:ascii="Times New Roman" w:hAnsi="Times New Roman"/>
          <w:sz w:val="20"/>
        </w:rPr>
      </w:pPr>
      <w:r>
        <w:rPr>
          <w:rFonts w:ascii="Times New Roman" w:hAnsi="Times New Roman"/>
          <w:sz w:val="20"/>
        </w:rPr>
        <w:t xml:space="preserve">11.11 </w:t>
      </w:r>
      <w:r>
        <w:rPr>
          <w:rFonts w:ascii="Times New Roman" w:hAnsi="Times New Roman"/>
          <w:sz w:val="20"/>
          <w:u w:val="single"/>
        </w:rPr>
        <w:t>Governing Law</w:t>
      </w:r>
      <w:r>
        <w:rPr>
          <w:rFonts w:ascii="Times New Roman" w:hAnsi="Times New Roman"/>
          <w:sz w:val="20"/>
        </w:rPr>
        <w:t xml:space="preserve">. The Plan and all Awards will be governed by and interpreted in accordance with the laws of the State of Delaware, without regard to the conflict of law rules thereof or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11.12 </w:t>
      </w:r>
      <w:r>
        <w:rPr>
          <w:rFonts w:ascii="Times New Roman" w:hAnsi="Times New Roman"/>
          <w:sz w:val="20"/>
          <w:u w:val="single"/>
        </w:rPr>
        <w:t>Clawback Provisions</w:t>
      </w:r>
      <w:r>
        <w:rPr>
          <w:rFonts w:ascii="Times New Roman" w:hAnsi="Times New Roman"/>
          <w:sz w:val="20"/>
        </w:rPr>
        <w:t xml:space="preserve">. All Awards (including the gross amount of any proceeds, gains or other economic benefit the Participant actually or constructively receives upon receipt or exercise of any Award or the receipt or resale of any Shares underlying the Award) will be subject to recoupment by the Company to the extent required to comply with Applicable Law or any policy of the Company providing for the reimbursement of incentive compensation, whether or not such policy was in place at the time of grant of an Award. </w:t>
      </w:r>
    </w:p>
    <w:p>
      <w:pPr>
        <w:pStyle w:val="TextBody"/>
        <w:bidi w:val="0"/>
        <w:spacing w:before="240" w:after="0"/>
        <w:jc w:val="left"/>
        <w:rPr>
          <w:rFonts w:ascii="Times New Roman" w:hAnsi="Times New Roman"/>
          <w:sz w:val="20"/>
        </w:rPr>
      </w:pPr>
      <w:r>
        <w:rPr>
          <w:rFonts w:ascii="Times New Roman" w:hAnsi="Times New Roman"/>
          <w:sz w:val="20"/>
        </w:rPr>
        <w:t xml:space="preserve">11.13 </w:t>
      </w:r>
      <w:r>
        <w:rPr>
          <w:rFonts w:ascii="Times New Roman" w:hAnsi="Times New Roman"/>
          <w:sz w:val="20"/>
          <w:u w:val="single"/>
        </w:rPr>
        <w:t>Titles and Headings</w:t>
      </w:r>
      <w:r>
        <w:rPr>
          <w:rFonts w:ascii="Times New Roman" w:hAnsi="Times New Roman"/>
          <w:sz w:val="20"/>
        </w:rPr>
        <w:t xml:space="preserve">. The titles and headings in the Plan are for convenience of reference only and, if any conflict, the Plans text, rather than such titles or headings, will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11.14 </w:t>
      </w:r>
      <w:r>
        <w:rPr>
          <w:rFonts w:ascii="Times New Roman" w:hAnsi="Times New Roman"/>
          <w:sz w:val="20"/>
          <w:u w:val="single"/>
        </w:rPr>
        <w:t>Conformity to Applicable Law</w:t>
      </w:r>
      <w:r>
        <w:rPr>
          <w:rFonts w:ascii="Times New Roman" w:hAnsi="Times New Roman"/>
          <w:sz w:val="20"/>
        </w:rPr>
        <w:t xml:space="preserve">. Participant acknowledges that the Plan is intended to conform to the extent necessary with Applicable Law. Notwithstanding anything herein to the contrary, the Plan and all Awards will be administered only in a manner intended to conform with Applicable Law. To the extent Applicable Law permits, the Plan and all Award Agreements will be deemed amended as necessary to conform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11.15 </w:t>
      </w:r>
      <w:r>
        <w:rPr>
          <w:rFonts w:ascii="Times New Roman" w:hAnsi="Times New Roman"/>
          <w:sz w:val="20"/>
          <w:u w:val="single"/>
        </w:rPr>
        <w:t>Relationship to Other Benefits</w:t>
      </w:r>
      <w:r>
        <w:rPr>
          <w:rFonts w:ascii="Times New Roman" w:hAnsi="Times New Roman"/>
          <w:sz w:val="20"/>
        </w:rPr>
        <w:t xml:space="preserve">.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 </w:t>
      </w:r>
    </w:p>
    <w:p>
      <w:pPr>
        <w:pStyle w:val="TextBody"/>
        <w:bidi w:val="0"/>
        <w:spacing w:before="240" w:after="0"/>
        <w:jc w:val="left"/>
        <w:rPr>
          <w:rFonts w:ascii="Times New Roman" w:hAnsi="Times New Roman"/>
          <w:sz w:val="20"/>
        </w:rPr>
      </w:pPr>
      <w:r>
        <w:rPr>
          <w:rFonts w:ascii="Times New Roman" w:hAnsi="Times New Roman"/>
          <w:sz w:val="20"/>
        </w:rPr>
        <w:t xml:space="preserve">11.16 </w:t>
      </w:r>
      <w:r>
        <w:rPr>
          <w:rFonts w:ascii="Times New Roman" w:hAnsi="Times New Roman"/>
          <w:sz w:val="20"/>
          <w:u w:val="single"/>
        </w:rPr>
        <w:t>Unfunded Status of Awards</w:t>
      </w:r>
      <w:r>
        <w:rPr>
          <w:rFonts w:ascii="Times New Roman" w:hAnsi="Times New Roman"/>
          <w:sz w:val="20"/>
        </w:rPr>
        <w:t xml:space="preserve">. The Plan is intended to be an unfunded plan for incentive compensation. With respect to any payments not yet made to a Participant pursuant to an Award, nothing contained in the Plan or Award Agreement shall give the Participant any rights that are greater than those of a general creditor of the Company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11.17 </w:t>
      </w:r>
      <w:r>
        <w:rPr>
          <w:rFonts w:ascii="Times New Roman" w:hAnsi="Times New Roman"/>
          <w:sz w:val="20"/>
          <w:u w:val="single"/>
        </w:rPr>
        <w:t>Limitations Applicable to Section 16 Persons</w:t>
      </w:r>
      <w:r>
        <w:rPr>
          <w:rFonts w:ascii="Times New Roman" w:hAnsi="Times New Roman"/>
          <w:sz w:val="20"/>
        </w:rPr>
        <w:t xml:space="preserve">.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 </w:t>
      </w:r>
    </w:p>
    <w:p>
      <w:pPr>
        <w:pStyle w:val="TextBody"/>
        <w:bidi w:val="0"/>
        <w:spacing w:before="240" w:after="0"/>
        <w:jc w:val="left"/>
        <w:rPr>
          <w:rFonts w:ascii="Times New Roman" w:hAnsi="Times New Roman"/>
          <w:sz w:val="20"/>
        </w:rPr>
      </w:pPr>
      <w:r>
        <w:rPr>
          <w:rFonts w:ascii="Times New Roman" w:hAnsi="Times New Roman"/>
          <w:sz w:val="20"/>
        </w:rPr>
        <w:t xml:space="preserve">11.18 </w:t>
      </w:r>
      <w:r>
        <w:rPr>
          <w:rFonts w:ascii="Times New Roman" w:hAnsi="Times New Roman"/>
          <w:sz w:val="20"/>
          <w:u w:val="single"/>
        </w:rPr>
        <w:t>Prohibition on Executive Officer and Director Loans</w:t>
      </w:r>
      <w:r>
        <w:rPr>
          <w:rFonts w:ascii="Times New Roman" w:hAnsi="Times New Roman"/>
          <w:sz w:val="20"/>
        </w:rPr>
        <w:t xml:space="preserve">. Notwithstanding any other provision of the Plan to the contrary, no Participant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11.19 </w:t>
      </w:r>
      <w:r>
        <w:rPr>
          <w:rFonts w:ascii="Times New Roman" w:hAnsi="Times New Roman"/>
          <w:sz w:val="20"/>
          <w:u w:val="single"/>
        </w:rPr>
        <w:t>Broker-Assisted Sales</w:t>
      </w:r>
      <w:r>
        <w:rPr>
          <w:rFonts w:ascii="Times New Roman" w:hAnsi="Times New Roman"/>
          <w:sz w:val="20"/>
        </w:rPr>
        <w:t xml:space="preserve">. In the event of a broker-assisted sale of Shares in connection with the payment of amounts owed by a Participant under or with respect to the Plan or Awards, including amounts to be paid under the final sentence of Section 10.5: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 </w:t>
      </w:r>
    </w:p>
    <w:p>
      <w:pPr>
        <w:pStyle w:val="TextBody"/>
        <w:bidi w:val="0"/>
        <w:spacing w:before="240" w:after="0"/>
        <w:jc w:val="center"/>
        <w:rPr>
          <w:rFonts w:ascii="Times New Roman" w:hAnsi="Times New Roman"/>
          <w:b/>
          <w:sz w:val="20"/>
        </w:rPr>
      </w:pPr>
      <w:r>
        <w:rPr>
          <w:rFonts w:ascii="Times New Roman" w:hAnsi="Times New Roman"/>
          <w:b/>
          <w:sz w:val="20"/>
        </w:rPr>
        <w:t xml:space="preserve">*    *    *    *    * </w:t>
      </w:r>
    </w:p>
    <w:p>
      <w:pPr>
        <w:pStyle w:val="TextBody"/>
        <w:bidi w:val="0"/>
        <w:spacing w:before="240" w:after="0"/>
        <w:jc w:val="left"/>
        <w:rPr>
          <w:rFonts w:ascii="Times New Roman" w:hAnsi="Times New Roman"/>
          <w:sz w:val="20"/>
        </w:rPr>
      </w:pPr>
      <w:r>
        <w:rPr>
          <w:rFonts w:ascii="Times New Roman" w:hAnsi="Times New Roman"/>
          <w:sz w:val="20"/>
        </w:rPr>
        <w:t xml:space="preserve">DATE APPROVED BY BOARD OF DIRECTORS: November 17,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p>
    <w:p>
      <w:pPr>
        <w:pStyle w:val="TextBody"/>
        <w:bidi w:val="0"/>
        <w:spacing w:before="0" w:after="0"/>
        <w:jc w:val="right"/>
        <w:rPr>
          <w:rFonts w:ascii="Times New Roman" w:hAnsi="Times New Roman"/>
          <w:b/>
          <w:sz w:val="20"/>
        </w:rPr>
      </w:pPr>
      <w:bookmarkStart w:id="10" w:name="d701282dex993b.htm"/>
      <w:bookmarkStart w:id="11" w:name="ksd701282dex993b"/>
      <w:bookmarkEnd w:id="10"/>
      <w:bookmarkEnd w:id="11"/>
      <w:r>
        <w:rPr>
          <w:rFonts w:ascii="Times New Roman" w:hAnsi="Times New Roman"/>
          <w:b/>
          <w:sz w:val="20"/>
        </w:rPr>
        <w:t xml:space="preserve">Exhibit 99.3(b)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BIOMEA FUSION, INC. </w:t>
      </w:r>
    </w:p>
    <w:p>
      <w:pPr>
        <w:pStyle w:val="TextBody"/>
        <w:bidi w:val="0"/>
        <w:spacing w:before="0" w:after="0"/>
        <w:jc w:val="center"/>
        <w:rPr>
          <w:rFonts w:ascii="Times New Roman" w:hAnsi="Times New Roman"/>
          <w:b/>
          <w:sz w:val="20"/>
        </w:rPr>
      </w:pPr>
      <w:r>
        <w:rPr>
          <w:rFonts w:ascii="Times New Roman" w:hAnsi="Times New Roman"/>
          <w:b/>
          <w:sz w:val="20"/>
        </w:rPr>
        <w:t xml:space="preserve">2023 INDUCEMENT PLAN </w:t>
      </w:r>
    </w:p>
    <w:p>
      <w:pPr>
        <w:pStyle w:val="TextBody"/>
        <w:bidi w:val="0"/>
        <w:spacing w:before="0" w:after="0"/>
        <w:jc w:val="center"/>
        <w:rPr>
          <w:rFonts w:ascii="Times New Roman" w:hAnsi="Times New Roman"/>
          <w:b/>
          <w:sz w:val="20"/>
        </w:rPr>
      </w:pPr>
      <w:r>
        <w:rPr>
          <w:rFonts w:ascii="Times New Roman" w:hAnsi="Times New Roman"/>
          <w:b/>
          <w:sz w:val="20"/>
        </w:rPr>
        <w:t xml:space="preserve">NONQUALIFIED STOCK OPTION GRANT NOTICE </w:t>
      </w:r>
    </w:p>
    <w:p>
      <w:pPr>
        <w:pStyle w:val="TextBody"/>
        <w:bidi w:val="0"/>
        <w:spacing w:before="240" w:after="0"/>
        <w:jc w:val="left"/>
        <w:rPr>
          <w:rFonts w:ascii="Times New Roman" w:hAnsi="Times New Roman"/>
          <w:sz w:val="20"/>
        </w:rPr>
      </w:pPr>
      <w:r>
        <w:rPr>
          <w:rFonts w:ascii="Times New Roman" w:hAnsi="Times New Roman"/>
          <w:sz w:val="20"/>
        </w:rPr>
        <w:t>Biomea Fusion, Inc., a Delaware corporation, (the </w:t>
      </w:r>
      <w:r>
        <w:rPr>
          <w:rFonts w:ascii="Times New Roman" w:hAnsi="Times New Roman"/>
          <w:b/>
          <w:i/>
          <w:sz w:val="20"/>
        </w:rPr>
        <w:t>Company</w:t>
      </w:r>
      <w:r>
        <w:rPr>
          <w:rFonts w:ascii="Times New Roman" w:hAnsi="Times New Roman"/>
          <w:sz w:val="20"/>
        </w:rPr>
        <w:t>), pursuant to its 2023 Inducement Plan, as may be amended from time to time (the </w:t>
      </w:r>
      <w:r>
        <w:rPr>
          <w:rFonts w:ascii="Times New Roman" w:hAnsi="Times New Roman"/>
          <w:b/>
          <w:i/>
          <w:sz w:val="20"/>
        </w:rPr>
        <w:t>Plan</w:t>
      </w:r>
      <w:r>
        <w:rPr>
          <w:rFonts w:ascii="Times New Roman" w:hAnsi="Times New Roman"/>
          <w:sz w:val="20"/>
        </w:rPr>
        <w:t>), hereby grants to the holder listed below (</w:t>
      </w:r>
      <w:r>
        <w:rPr>
          <w:rFonts w:ascii="Times New Roman" w:hAnsi="Times New Roman"/>
          <w:b/>
          <w:i/>
          <w:sz w:val="20"/>
        </w:rPr>
        <w:t>Participant</w:t>
      </w:r>
      <w:r>
        <w:rPr>
          <w:rFonts w:ascii="Times New Roman" w:hAnsi="Times New Roman"/>
          <w:sz w:val="20"/>
        </w:rPr>
        <w:t>), an option to purchase the number of shares of the Companys Common Stock (the </w:t>
      </w:r>
      <w:r>
        <w:rPr>
          <w:rFonts w:ascii="Times New Roman" w:hAnsi="Times New Roman"/>
          <w:b/>
          <w:i/>
          <w:sz w:val="20"/>
        </w:rPr>
        <w:t>Shares</w:t>
      </w:r>
      <w:r>
        <w:rPr>
          <w:rFonts w:ascii="Times New Roman" w:hAnsi="Times New Roman"/>
          <w:sz w:val="20"/>
        </w:rPr>
        <w:t>), set forth below (the </w:t>
      </w:r>
      <w:r>
        <w:rPr>
          <w:rFonts w:ascii="Times New Roman" w:hAnsi="Times New Roman"/>
          <w:b/>
          <w:i/>
          <w:sz w:val="20"/>
        </w:rPr>
        <w:t>Option</w:t>
      </w:r>
      <w:r>
        <w:rPr>
          <w:rFonts w:ascii="Times New Roman" w:hAnsi="Times New Roman"/>
          <w:sz w:val="20"/>
        </w:rPr>
        <w:t xml:space="preserve">) as an inducement pursuant to Rule 5635(c)(4) of the Marketplace Rules of NASDAQ Stock Market, Inc. This Option is subject to all of the terms and conditions set forth herein, as well as in the Plan and the Nonqualified Stock Option Agreement attached hereto as </w:t>
      </w:r>
      <w:r>
        <w:rPr>
          <w:rFonts w:ascii="Times New Roman" w:hAnsi="Times New Roman"/>
          <w:b/>
          <w:sz w:val="20"/>
        </w:rPr>
        <w:t>Exhibit A</w:t>
      </w:r>
      <w:r>
        <w:rPr>
          <w:rFonts w:ascii="Times New Roman" w:hAnsi="Times New Roman"/>
          <w:sz w:val="20"/>
        </w:rPr>
        <w:t xml:space="preserve"> (the </w:t>
      </w:r>
      <w:r>
        <w:rPr>
          <w:rFonts w:ascii="Times New Roman" w:hAnsi="Times New Roman"/>
          <w:b/>
          <w:i/>
          <w:sz w:val="20"/>
        </w:rPr>
        <w:t>Stock Option Agreement</w:t>
      </w:r>
      <w:r>
        <w:rPr>
          <w:rFonts w:ascii="Times New Roman" w:hAnsi="Times New Roman"/>
          <w:sz w:val="20"/>
        </w:rPr>
        <w:t xml:space="preserve">), each of which are incorporated herein by reference. Unless otherwise defined herein, the terms defined in the Plan shall have the same defined meanings in this Grant Notice and the Stock Option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29"/>
        <w:gridCol w:w="120"/>
        <w:gridCol w:w="4756"/>
      </w:tblGrid>
      <w:tr>
        <w:trPr/>
        <w:tc>
          <w:tcPr>
            <w:tcW w:w="53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56" w:type="dxa"/>
            <w:tcBorders/>
            <w:vAlign w:val="center"/>
          </w:tcPr>
          <w:p>
            <w:pPr>
              <w:pStyle w:val="TableContents"/>
              <w:bidi w:val="0"/>
              <w:spacing w:before="0" w:after="283"/>
              <w:jc w:val="left"/>
              <w:rPr>
                <w:sz w:val="4"/>
                <w:szCs w:val="4"/>
              </w:rPr>
            </w:pPr>
            <w:r>
              <w:rPr>
                <w:sz w:val="4"/>
                <w:szCs w:val="4"/>
              </w:rPr>
            </w:r>
          </w:p>
        </w:tc>
      </w:tr>
      <w:tr>
        <w:trPr/>
        <w:tc>
          <w:tcPr>
            <w:tcW w:w="5329" w:type="dxa"/>
            <w:tcBorders/>
          </w:tcPr>
          <w:p>
            <w:pPr>
              <w:pStyle w:val="TableContents"/>
              <w:bidi w:val="0"/>
              <w:spacing w:before="0" w:after="283"/>
              <w:jc w:val="left"/>
              <w:rPr>
                <w:b/>
              </w:rPr>
            </w:pPr>
            <w:r>
              <w:rPr>
                <w:b/>
              </w:rPr>
              <w:t>Participant:</w:t>
            </w:r>
          </w:p>
        </w:tc>
        <w:tc>
          <w:tcPr>
            <w:tcW w:w="120" w:type="dxa"/>
            <w:tcBorders/>
            <w:vAlign w:val="bottom"/>
          </w:tcPr>
          <w:p>
            <w:pPr>
              <w:pStyle w:val="TableContents"/>
              <w:bidi w:val="0"/>
              <w:spacing w:before="0" w:after="283"/>
              <w:jc w:val="left"/>
              <w:rPr/>
            </w:pPr>
            <w:r>
              <w:rPr/>
              <w:t>  </w:t>
            </w:r>
          </w:p>
        </w:tc>
        <w:tc>
          <w:tcPr>
            <w:tcW w:w="4756" w:type="dxa"/>
            <w:tcBorders/>
          </w:tcPr>
          <w:p>
            <w:pPr>
              <w:pStyle w:val="TableContents"/>
              <w:bidi w:val="0"/>
              <w:spacing w:before="0" w:after="283"/>
              <w:jc w:val="left"/>
              <w:rPr/>
            </w:pPr>
            <w:r>
              <w:rPr/>
              <w:t>[____________]</w:t>
            </w:r>
          </w:p>
        </w:tc>
      </w:tr>
      <w:tr>
        <w:trPr>
          <w:trHeight w:val="120" w:hRule="atLeast"/>
        </w:trPr>
        <w:tc>
          <w:tcPr>
            <w:tcW w:w="5329" w:type="dxa"/>
            <w:tcBorders/>
            <w:vAlign w:val="center"/>
          </w:tcPr>
          <w:p>
            <w:pPr>
              <w:pStyle w:val="TableContents"/>
              <w:bidi w:val="0"/>
              <w:spacing w:before="0" w:after="283"/>
              <w:jc w:val="left"/>
              <w:rPr>
                <w:sz w:val="4"/>
                <w:szCs w:val="4"/>
              </w:rPr>
            </w:pPr>
            <w:r>
              <w:rPr>
                <w:sz w:val="4"/>
                <w:szCs w:val="4"/>
              </w:rPr>
            </w:r>
          </w:p>
        </w:tc>
        <w:tc>
          <w:tcPr>
            <w:tcW w:w="4876" w:type="dxa"/>
            <w:gridSpan w:val="2"/>
            <w:tcBorders/>
            <w:vAlign w:val="center"/>
          </w:tcPr>
          <w:p>
            <w:pPr>
              <w:pStyle w:val="TableContents"/>
              <w:bidi w:val="0"/>
              <w:spacing w:before="0" w:after="283"/>
              <w:jc w:val="left"/>
              <w:rPr>
                <w:sz w:val="4"/>
                <w:szCs w:val="4"/>
              </w:rPr>
            </w:pPr>
            <w:r>
              <w:rPr>
                <w:sz w:val="4"/>
                <w:szCs w:val="4"/>
              </w:rPr>
            </w:r>
          </w:p>
        </w:tc>
      </w:tr>
      <w:tr>
        <w:trPr/>
        <w:tc>
          <w:tcPr>
            <w:tcW w:w="5329" w:type="dxa"/>
            <w:tcBorders/>
          </w:tcPr>
          <w:p>
            <w:pPr>
              <w:pStyle w:val="TableContents"/>
              <w:bidi w:val="0"/>
              <w:spacing w:before="0" w:after="283"/>
              <w:jc w:val="left"/>
              <w:rPr>
                <w:b/>
              </w:rPr>
            </w:pPr>
            <w:r>
              <w:rPr>
                <w:b/>
              </w:rPr>
              <w:t>Grant Date:</w:t>
            </w:r>
          </w:p>
        </w:tc>
        <w:tc>
          <w:tcPr>
            <w:tcW w:w="120" w:type="dxa"/>
            <w:tcBorders/>
            <w:vAlign w:val="bottom"/>
          </w:tcPr>
          <w:p>
            <w:pPr>
              <w:pStyle w:val="TableContents"/>
              <w:bidi w:val="0"/>
              <w:spacing w:before="0" w:after="283"/>
              <w:jc w:val="left"/>
              <w:rPr/>
            </w:pPr>
            <w:r>
              <w:rPr/>
              <w:t>  </w:t>
            </w:r>
          </w:p>
        </w:tc>
        <w:tc>
          <w:tcPr>
            <w:tcW w:w="4756" w:type="dxa"/>
            <w:tcBorders/>
          </w:tcPr>
          <w:p>
            <w:pPr>
              <w:pStyle w:val="TableContents"/>
              <w:bidi w:val="0"/>
              <w:spacing w:before="0" w:after="283"/>
              <w:jc w:val="left"/>
              <w:rPr/>
            </w:pPr>
            <w:r>
              <w:rPr/>
              <w:t>[____________]</w:t>
            </w:r>
          </w:p>
        </w:tc>
      </w:tr>
      <w:tr>
        <w:trPr>
          <w:trHeight w:val="120" w:hRule="atLeast"/>
        </w:trPr>
        <w:tc>
          <w:tcPr>
            <w:tcW w:w="5329" w:type="dxa"/>
            <w:tcBorders/>
            <w:vAlign w:val="center"/>
          </w:tcPr>
          <w:p>
            <w:pPr>
              <w:pStyle w:val="TableContents"/>
              <w:bidi w:val="0"/>
              <w:spacing w:before="0" w:after="283"/>
              <w:jc w:val="left"/>
              <w:rPr>
                <w:sz w:val="4"/>
                <w:szCs w:val="4"/>
              </w:rPr>
            </w:pPr>
            <w:r>
              <w:rPr>
                <w:sz w:val="4"/>
                <w:szCs w:val="4"/>
              </w:rPr>
            </w:r>
          </w:p>
        </w:tc>
        <w:tc>
          <w:tcPr>
            <w:tcW w:w="4876" w:type="dxa"/>
            <w:gridSpan w:val="2"/>
            <w:tcBorders/>
            <w:vAlign w:val="center"/>
          </w:tcPr>
          <w:p>
            <w:pPr>
              <w:pStyle w:val="TableContents"/>
              <w:bidi w:val="0"/>
              <w:spacing w:before="0" w:after="283"/>
              <w:jc w:val="left"/>
              <w:rPr>
                <w:sz w:val="4"/>
                <w:szCs w:val="4"/>
              </w:rPr>
            </w:pPr>
            <w:r>
              <w:rPr>
                <w:sz w:val="4"/>
                <w:szCs w:val="4"/>
              </w:rPr>
            </w:r>
          </w:p>
        </w:tc>
      </w:tr>
      <w:tr>
        <w:trPr/>
        <w:tc>
          <w:tcPr>
            <w:tcW w:w="5329" w:type="dxa"/>
            <w:tcBorders/>
          </w:tcPr>
          <w:p>
            <w:pPr>
              <w:pStyle w:val="TableContents"/>
              <w:bidi w:val="0"/>
              <w:spacing w:before="0" w:after="283"/>
              <w:jc w:val="left"/>
              <w:rPr>
                <w:b/>
              </w:rPr>
            </w:pPr>
            <w:r>
              <w:rPr>
                <w:b/>
              </w:rPr>
              <w:t>Vesting Commencement Date:</w:t>
            </w:r>
          </w:p>
        </w:tc>
        <w:tc>
          <w:tcPr>
            <w:tcW w:w="120" w:type="dxa"/>
            <w:tcBorders/>
            <w:vAlign w:val="bottom"/>
          </w:tcPr>
          <w:p>
            <w:pPr>
              <w:pStyle w:val="TableContents"/>
              <w:bidi w:val="0"/>
              <w:spacing w:before="0" w:after="283"/>
              <w:jc w:val="left"/>
              <w:rPr/>
            </w:pPr>
            <w:r>
              <w:rPr/>
              <w:t>  </w:t>
            </w:r>
          </w:p>
        </w:tc>
        <w:tc>
          <w:tcPr>
            <w:tcW w:w="4756" w:type="dxa"/>
            <w:tcBorders/>
          </w:tcPr>
          <w:p>
            <w:pPr>
              <w:pStyle w:val="TableContents"/>
              <w:bidi w:val="0"/>
              <w:spacing w:before="0" w:after="283"/>
              <w:jc w:val="left"/>
              <w:rPr/>
            </w:pPr>
            <w:r>
              <w:rPr/>
              <w:t>[____________]</w:t>
            </w:r>
          </w:p>
        </w:tc>
      </w:tr>
      <w:tr>
        <w:trPr>
          <w:trHeight w:val="120" w:hRule="atLeast"/>
        </w:trPr>
        <w:tc>
          <w:tcPr>
            <w:tcW w:w="5329" w:type="dxa"/>
            <w:tcBorders/>
            <w:vAlign w:val="center"/>
          </w:tcPr>
          <w:p>
            <w:pPr>
              <w:pStyle w:val="TableContents"/>
              <w:bidi w:val="0"/>
              <w:spacing w:before="0" w:after="283"/>
              <w:jc w:val="left"/>
              <w:rPr>
                <w:sz w:val="4"/>
                <w:szCs w:val="4"/>
              </w:rPr>
            </w:pPr>
            <w:r>
              <w:rPr>
                <w:sz w:val="4"/>
                <w:szCs w:val="4"/>
              </w:rPr>
            </w:r>
          </w:p>
        </w:tc>
        <w:tc>
          <w:tcPr>
            <w:tcW w:w="4876" w:type="dxa"/>
            <w:gridSpan w:val="2"/>
            <w:tcBorders/>
            <w:vAlign w:val="center"/>
          </w:tcPr>
          <w:p>
            <w:pPr>
              <w:pStyle w:val="TableContents"/>
              <w:bidi w:val="0"/>
              <w:spacing w:before="0" w:after="283"/>
              <w:jc w:val="left"/>
              <w:rPr>
                <w:sz w:val="4"/>
                <w:szCs w:val="4"/>
              </w:rPr>
            </w:pPr>
            <w:r>
              <w:rPr>
                <w:sz w:val="4"/>
                <w:szCs w:val="4"/>
              </w:rPr>
            </w:r>
          </w:p>
        </w:tc>
      </w:tr>
      <w:tr>
        <w:trPr/>
        <w:tc>
          <w:tcPr>
            <w:tcW w:w="5329" w:type="dxa"/>
            <w:tcBorders/>
          </w:tcPr>
          <w:p>
            <w:pPr>
              <w:pStyle w:val="TableContents"/>
              <w:bidi w:val="0"/>
              <w:spacing w:before="0" w:after="283"/>
              <w:jc w:val="left"/>
              <w:rPr>
                <w:b/>
              </w:rPr>
            </w:pPr>
            <w:r>
              <w:rPr>
                <w:b/>
              </w:rPr>
              <w:t>Exercise Price per Share:</w:t>
            </w:r>
          </w:p>
        </w:tc>
        <w:tc>
          <w:tcPr>
            <w:tcW w:w="120" w:type="dxa"/>
            <w:tcBorders/>
            <w:vAlign w:val="bottom"/>
          </w:tcPr>
          <w:p>
            <w:pPr>
              <w:pStyle w:val="TableContents"/>
              <w:bidi w:val="0"/>
              <w:spacing w:before="0" w:after="283"/>
              <w:jc w:val="left"/>
              <w:rPr/>
            </w:pPr>
            <w:r>
              <w:rPr/>
              <w:t>  </w:t>
            </w:r>
          </w:p>
        </w:tc>
        <w:tc>
          <w:tcPr>
            <w:tcW w:w="4756" w:type="dxa"/>
            <w:tcBorders/>
          </w:tcPr>
          <w:p>
            <w:pPr>
              <w:pStyle w:val="TableContents"/>
              <w:bidi w:val="0"/>
              <w:spacing w:before="0" w:after="283"/>
              <w:jc w:val="left"/>
              <w:rPr/>
            </w:pPr>
            <w:r>
              <w:rPr/>
              <w:t>$[___________]</w:t>
            </w:r>
          </w:p>
        </w:tc>
      </w:tr>
      <w:tr>
        <w:trPr>
          <w:trHeight w:val="120" w:hRule="atLeast"/>
        </w:trPr>
        <w:tc>
          <w:tcPr>
            <w:tcW w:w="5329" w:type="dxa"/>
            <w:tcBorders/>
            <w:vAlign w:val="center"/>
          </w:tcPr>
          <w:p>
            <w:pPr>
              <w:pStyle w:val="TableContents"/>
              <w:bidi w:val="0"/>
              <w:spacing w:before="0" w:after="283"/>
              <w:jc w:val="left"/>
              <w:rPr>
                <w:sz w:val="4"/>
                <w:szCs w:val="4"/>
              </w:rPr>
            </w:pPr>
            <w:r>
              <w:rPr>
                <w:sz w:val="4"/>
                <w:szCs w:val="4"/>
              </w:rPr>
            </w:r>
          </w:p>
        </w:tc>
        <w:tc>
          <w:tcPr>
            <w:tcW w:w="4876" w:type="dxa"/>
            <w:gridSpan w:val="2"/>
            <w:tcBorders/>
            <w:vAlign w:val="center"/>
          </w:tcPr>
          <w:p>
            <w:pPr>
              <w:pStyle w:val="TableContents"/>
              <w:bidi w:val="0"/>
              <w:spacing w:before="0" w:after="283"/>
              <w:jc w:val="left"/>
              <w:rPr>
                <w:sz w:val="4"/>
                <w:szCs w:val="4"/>
              </w:rPr>
            </w:pPr>
            <w:r>
              <w:rPr>
                <w:sz w:val="4"/>
                <w:szCs w:val="4"/>
              </w:rPr>
            </w:r>
          </w:p>
        </w:tc>
      </w:tr>
      <w:tr>
        <w:trPr/>
        <w:tc>
          <w:tcPr>
            <w:tcW w:w="5329" w:type="dxa"/>
            <w:tcBorders/>
          </w:tcPr>
          <w:p>
            <w:pPr>
              <w:pStyle w:val="TableContents"/>
              <w:bidi w:val="0"/>
              <w:spacing w:before="0" w:after="283"/>
              <w:jc w:val="left"/>
              <w:rPr>
                <w:b/>
              </w:rPr>
            </w:pPr>
            <w:r>
              <w:rPr>
                <w:b/>
              </w:rPr>
              <w:t>Total Exercise Price:</w:t>
            </w:r>
          </w:p>
        </w:tc>
        <w:tc>
          <w:tcPr>
            <w:tcW w:w="120" w:type="dxa"/>
            <w:tcBorders/>
            <w:vAlign w:val="bottom"/>
          </w:tcPr>
          <w:p>
            <w:pPr>
              <w:pStyle w:val="TableContents"/>
              <w:bidi w:val="0"/>
              <w:spacing w:before="0" w:after="283"/>
              <w:jc w:val="left"/>
              <w:rPr/>
            </w:pPr>
            <w:r>
              <w:rPr/>
              <w:t>  </w:t>
            </w:r>
          </w:p>
        </w:tc>
        <w:tc>
          <w:tcPr>
            <w:tcW w:w="4756" w:type="dxa"/>
            <w:tcBorders/>
          </w:tcPr>
          <w:p>
            <w:pPr>
              <w:pStyle w:val="TableContents"/>
              <w:bidi w:val="0"/>
              <w:spacing w:before="0" w:after="283"/>
              <w:jc w:val="left"/>
              <w:rPr/>
            </w:pPr>
            <w:r>
              <w:rPr/>
              <w:t>$[___________]</w:t>
            </w:r>
          </w:p>
        </w:tc>
      </w:tr>
      <w:tr>
        <w:trPr>
          <w:trHeight w:val="120" w:hRule="atLeast"/>
        </w:trPr>
        <w:tc>
          <w:tcPr>
            <w:tcW w:w="5329" w:type="dxa"/>
            <w:tcBorders/>
            <w:vAlign w:val="center"/>
          </w:tcPr>
          <w:p>
            <w:pPr>
              <w:pStyle w:val="TableContents"/>
              <w:bidi w:val="0"/>
              <w:spacing w:before="0" w:after="283"/>
              <w:jc w:val="left"/>
              <w:rPr>
                <w:sz w:val="4"/>
                <w:szCs w:val="4"/>
              </w:rPr>
            </w:pPr>
            <w:r>
              <w:rPr>
                <w:sz w:val="4"/>
                <w:szCs w:val="4"/>
              </w:rPr>
            </w:r>
          </w:p>
        </w:tc>
        <w:tc>
          <w:tcPr>
            <w:tcW w:w="4876" w:type="dxa"/>
            <w:gridSpan w:val="2"/>
            <w:tcBorders/>
            <w:vAlign w:val="center"/>
          </w:tcPr>
          <w:p>
            <w:pPr>
              <w:pStyle w:val="TableContents"/>
              <w:bidi w:val="0"/>
              <w:spacing w:before="0" w:after="283"/>
              <w:jc w:val="left"/>
              <w:rPr>
                <w:sz w:val="4"/>
                <w:szCs w:val="4"/>
              </w:rPr>
            </w:pPr>
            <w:r>
              <w:rPr>
                <w:sz w:val="4"/>
                <w:szCs w:val="4"/>
              </w:rPr>
            </w:r>
          </w:p>
        </w:tc>
      </w:tr>
      <w:tr>
        <w:trPr/>
        <w:tc>
          <w:tcPr>
            <w:tcW w:w="5329" w:type="dxa"/>
            <w:tcBorders/>
          </w:tcPr>
          <w:p>
            <w:pPr>
              <w:pStyle w:val="TableContents"/>
              <w:bidi w:val="0"/>
              <w:spacing w:before="0" w:after="283"/>
              <w:jc w:val="left"/>
              <w:rPr>
                <w:b/>
              </w:rPr>
            </w:pPr>
            <w:r>
              <w:rPr>
                <w:b/>
              </w:rPr>
              <w:t>Total Number of Shares Subject to the Option:</w:t>
            </w:r>
          </w:p>
        </w:tc>
        <w:tc>
          <w:tcPr>
            <w:tcW w:w="120" w:type="dxa"/>
            <w:tcBorders/>
            <w:vAlign w:val="bottom"/>
          </w:tcPr>
          <w:p>
            <w:pPr>
              <w:pStyle w:val="TableContents"/>
              <w:bidi w:val="0"/>
              <w:spacing w:before="0" w:after="283"/>
              <w:jc w:val="left"/>
              <w:rPr/>
            </w:pPr>
            <w:r>
              <w:rPr/>
              <w:t>  </w:t>
            </w:r>
          </w:p>
        </w:tc>
        <w:tc>
          <w:tcPr>
            <w:tcW w:w="4756" w:type="dxa"/>
            <w:tcBorders/>
          </w:tcPr>
          <w:p>
            <w:pPr>
              <w:pStyle w:val="TableContents"/>
              <w:bidi w:val="0"/>
              <w:spacing w:before="0" w:after="283"/>
              <w:jc w:val="left"/>
              <w:rPr/>
            </w:pPr>
            <w:r>
              <w:rPr/>
              <w:t>[____________]</w:t>
            </w:r>
          </w:p>
        </w:tc>
      </w:tr>
      <w:tr>
        <w:trPr>
          <w:trHeight w:val="120" w:hRule="atLeast"/>
        </w:trPr>
        <w:tc>
          <w:tcPr>
            <w:tcW w:w="5329" w:type="dxa"/>
            <w:tcBorders/>
            <w:vAlign w:val="center"/>
          </w:tcPr>
          <w:p>
            <w:pPr>
              <w:pStyle w:val="TableContents"/>
              <w:bidi w:val="0"/>
              <w:spacing w:before="0" w:after="283"/>
              <w:jc w:val="left"/>
              <w:rPr>
                <w:sz w:val="4"/>
                <w:szCs w:val="4"/>
              </w:rPr>
            </w:pPr>
            <w:r>
              <w:rPr>
                <w:sz w:val="4"/>
                <w:szCs w:val="4"/>
              </w:rPr>
            </w:r>
          </w:p>
        </w:tc>
        <w:tc>
          <w:tcPr>
            <w:tcW w:w="4876" w:type="dxa"/>
            <w:gridSpan w:val="2"/>
            <w:tcBorders/>
            <w:vAlign w:val="center"/>
          </w:tcPr>
          <w:p>
            <w:pPr>
              <w:pStyle w:val="TableContents"/>
              <w:bidi w:val="0"/>
              <w:spacing w:before="0" w:after="283"/>
              <w:jc w:val="left"/>
              <w:rPr>
                <w:sz w:val="4"/>
                <w:szCs w:val="4"/>
              </w:rPr>
            </w:pPr>
            <w:r>
              <w:rPr>
                <w:sz w:val="4"/>
                <w:szCs w:val="4"/>
              </w:rPr>
            </w:r>
          </w:p>
        </w:tc>
      </w:tr>
      <w:tr>
        <w:trPr/>
        <w:tc>
          <w:tcPr>
            <w:tcW w:w="5329" w:type="dxa"/>
            <w:tcBorders/>
          </w:tcPr>
          <w:p>
            <w:pPr>
              <w:pStyle w:val="TableContents"/>
              <w:bidi w:val="0"/>
              <w:spacing w:before="0" w:after="283"/>
              <w:jc w:val="left"/>
              <w:rPr>
                <w:b/>
              </w:rPr>
            </w:pPr>
            <w:r>
              <w:rPr>
                <w:b/>
              </w:rPr>
              <w:t>Expiration Date:</w:t>
            </w:r>
          </w:p>
        </w:tc>
        <w:tc>
          <w:tcPr>
            <w:tcW w:w="120" w:type="dxa"/>
            <w:tcBorders/>
            <w:vAlign w:val="bottom"/>
          </w:tcPr>
          <w:p>
            <w:pPr>
              <w:pStyle w:val="TableContents"/>
              <w:bidi w:val="0"/>
              <w:spacing w:before="0" w:after="283"/>
              <w:jc w:val="left"/>
              <w:rPr/>
            </w:pPr>
            <w:r>
              <w:rPr/>
              <w:t>  </w:t>
            </w:r>
          </w:p>
        </w:tc>
        <w:tc>
          <w:tcPr>
            <w:tcW w:w="4756" w:type="dxa"/>
            <w:tcBorders/>
          </w:tcPr>
          <w:p>
            <w:pPr>
              <w:pStyle w:val="TableContents"/>
              <w:bidi w:val="0"/>
              <w:spacing w:before="0" w:after="283"/>
              <w:jc w:val="left"/>
              <w:rPr/>
            </w:pPr>
            <w:r>
              <w:rPr/>
              <w:t>[____________]</w:t>
            </w:r>
          </w:p>
        </w:tc>
      </w:tr>
      <w:tr>
        <w:trPr>
          <w:trHeight w:val="120" w:hRule="atLeast"/>
        </w:trPr>
        <w:tc>
          <w:tcPr>
            <w:tcW w:w="5329" w:type="dxa"/>
            <w:tcBorders/>
            <w:vAlign w:val="center"/>
          </w:tcPr>
          <w:p>
            <w:pPr>
              <w:pStyle w:val="TableContents"/>
              <w:bidi w:val="0"/>
              <w:spacing w:before="0" w:after="283"/>
              <w:jc w:val="left"/>
              <w:rPr>
                <w:sz w:val="4"/>
                <w:szCs w:val="4"/>
              </w:rPr>
            </w:pPr>
            <w:r>
              <w:rPr>
                <w:sz w:val="4"/>
                <w:szCs w:val="4"/>
              </w:rPr>
            </w:r>
          </w:p>
        </w:tc>
        <w:tc>
          <w:tcPr>
            <w:tcW w:w="4876" w:type="dxa"/>
            <w:gridSpan w:val="2"/>
            <w:tcBorders/>
            <w:vAlign w:val="center"/>
          </w:tcPr>
          <w:p>
            <w:pPr>
              <w:pStyle w:val="TableContents"/>
              <w:bidi w:val="0"/>
              <w:spacing w:before="0" w:after="283"/>
              <w:jc w:val="left"/>
              <w:rPr>
                <w:sz w:val="4"/>
                <w:szCs w:val="4"/>
              </w:rPr>
            </w:pPr>
            <w:r>
              <w:rPr>
                <w:sz w:val="4"/>
                <w:szCs w:val="4"/>
              </w:rPr>
            </w:r>
          </w:p>
        </w:tc>
      </w:tr>
      <w:tr>
        <w:trPr/>
        <w:tc>
          <w:tcPr>
            <w:tcW w:w="5329" w:type="dxa"/>
            <w:tcBorders/>
          </w:tcPr>
          <w:p>
            <w:pPr>
              <w:pStyle w:val="TableContents"/>
              <w:bidi w:val="0"/>
              <w:spacing w:before="0" w:after="283"/>
              <w:jc w:val="left"/>
              <w:rPr>
                <w:b/>
              </w:rPr>
            </w:pPr>
            <w:r>
              <w:rPr>
                <w:b/>
              </w:rPr>
              <w:t>Vesting Schedule:</w:t>
            </w:r>
          </w:p>
        </w:tc>
        <w:tc>
          <w:tcPr>
            <w:tcW w:w="120" w:type="dxa"/>
            <w:tcBorders/>
            <w:vAlign w:val="bottom"/>
          </w:tcPr>
          <w:p>
            <w:pPr>
              <w:pStyle w:val="TableContents"/>
              <w:bidi w:val="0"/>
              <w:spacing w:before="0" w:after="283"/>
              <w:jc w:val="left"/>
              <w:rPr/>
            </w:pPr>
            <w:r>
              <w:rPr/>
              <w:t>  </w:t>
            </w:r>
          </w:p>
        </w:tc>
        <w:tc>
          <w:tcPr>
            <w:tcW w:w="4756" w:type="dxa"/>
            <w:tcBorders/>
          </w:tcPr>
          <w:p>
            <w:pPr>
              <w:pStyle w:val="TableContents"/>
              <w:bidi w:val="0"/>
              <w:spacing w:before="0" w:after="283"/>
              <w:jc w:val="left"/>
              <w:rPr/>
            </w:pPr>
            <w:r>
              <w:rPr/>
              <w:t>[____________]</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his or her signature and the Companys signature below, Participant agrees to be bound by the terms and conditions of the Plan, the Stock Option Agreement and this Grant Notice. Participant has reviewed the Plan, the Stock Option Agreement and this Grant Notice in their entirety, has had an opportunity to obtain the advice of counsel prior to executing this Grant Notice and fully understands all provisions of the Plan, the Stock Option Agreement and this Grant Notice. Participant hereby agrees to accept as binding, conclusive and final all decisions or interpretations of the Administrator upon any questions arising under the Plan, the Stock Option Agreement or this Grant Notice.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52"/>
        <w:gridCol w:w="117"/>
        <w:gridCol w:w="3203"/>
        <w:gridCol w:w="117"/>
        <w:gridCol w:w="354"/>
        <w:gridCol w:w="117"/>
        <w:gridCol w:w="1595"/>
        <w:gridCol w:w="130"/>
        <w:gridCol w:w="3220"/>
      </w:tblGrid>
      <w:tr>
        <w:trPr/>
        <w:tc>
          <w:tcPr>
            <w:tcW w:w="1352"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3220" w:type="dxa"/>
            <w:tcBorders/>
            <w:vAlign w:val="center"/>
          </w:tcPr>
          <w:p>
            <w:pPr>
              <w:pStyle w:val="TableContents"/>
              <w:bidi w:val="0"/>
              <w:spacing w:before="0" w:after="283"/>
              <w:jc w:val="left"/>
              <w:rPr>
                <w:sz w:val="4"/>
                <w:szCs w:val="4"/>
              </w:rPr>
            </w:pPr>
            <w:r>
              <w:rPr>
                <w:sz w:val="4"/>
                <w:szCs w:val="4"/>
              </w:rPr>
            </w:r>
          </w:p>
        </w:tc>
      </w:tr>
      <w:tr>
        <w:trPr/>
        <w:tc>
          <w:tcPr>
            <w:tcW w:w="4672" w:type="dxa"/>
            <w:gridSpan w:val="3"/>
            <w:tcBorders/>
            <w:vAlign w:val="bottom"/>
          </w:tcPr>
          <w:p>
            <w:pPr>
              <w:pStyle w:val="TableContents"/>
              <w:bidi w:val="0"/>
              <w:spacing w:before="0" w:after="283"/>
              <w:jc w:val="left"/>
              <w:rPr>
                <w:b/>
              </w:rPr>
            </w:pPr>
            <w:r>
              <w:rPr>
                <w:b/>
              </w:rPr>
              <w:t>BIOMEA FUSION, INC.:</w:t>
            </w:r>
          </w:p>
        </w:tc>
        <w:tc>
          <w:tcPr>
            <w:tcW w:w="117"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4945" w:type="dxa"/>
            <w:gridSpan w:val="3"/>
            <w:tcBorders/>
            <w:vAlign w:val="bottom"/>
          </w:tcPr>
          <w:p>
            <w:pPr>
              <w:pStyle w:val="TableContents"/>
              <w:bidi w:val="0"/>
              <w:spacing w:before="0" w:after="283"/>
              <w:jc w:val="left"/>
              <w:rPr>
                <w:b/>
              </w:rPr>
            </w:pPr>
            <w:r>
              <w:rPr>
                <w:b/>
              </w:rPr>
              <w:t>PARTICIPANT:</w:t>
            </w:r>
          </w:p>
        </w:tc>
      </w:tr>
      <w:tr>
        <w:trPr>
          <w:trHeight w:val="240" w:hRule="atLeast"/>
        </w:trPr>
        <w:tc>
          <w:tcPr>
            <w:tcW w:w="1352"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1712" w:type="dxa"/>
            <w:gridSpan w:val="2"/>
            <w:tcBorders/>
            <w:vAlign w:val="center"/>
          </w:tcPr>
          <w:p>
            <w:pPr>
              <w:pStyle w:val="TableContents"/>
              <w:bidi w:val="0"/>
              <w:spacing w:before="0" w:after="283"/>
              <w:jc w:val="left"/>
              <w:rPr>
                <w:sz w:val="4"/>
                <w:szCs w:val="4"/>
              </w:rPr>
            </w:pPr>
            <w:r>
              <w:rPr>
                <w:sz w:val="4"/>
                <w:szCs w:val="4"/>
              </w:rPr>
            </w:r>
          </w:p>
        </w:tc>
        <w:tc>
          <w:tcPr>
            <w:tcW w:w="3350" w:type="dxa"/>
            <w:gridSpan w:val="2"/>
            <w:tcBorders/>
            <w:vAlign w:val="center"/>
          </w:tcPr>
          <w:p>
            <w:pPr>
              <w:pStyle w:val="TableContents"/>
              <w:bidi w:val="0"/>
              <w:spacing w:before="0" w:after="283"/>
              <w:jc w:val="left"/>
              <w:rPr>
                <w:sz w:val="4"/>
                <w:szCs w:val="4"/>
              </w:rPr>
            </w:pPr>
            <w:r>
              <w:rPr>
                <w:sz w:val="4"/>
                <w:szCs w:val="4"/>
              </w:rPr>
            </w:r>
          </w:p>
        </w:tc>
      </w:tr>
      <w:tr>
        <w:trPr/>
        <w:tc>
          <w:tcPr>
            <w:tcW w:w="1352" w:type="dxa"/>
            <w:tcBorders/>
            <w:vAlign w:val="bottom"/>
          </w:tcPr>
          <w:p>
            <w:pPr>
              <w:pStyle w:val="TableContents"/>
              <w:bidi w:val="0"/>
              <w:spacing w:before="0" w:after="283"/>
              <w:jc w:val="left"/>
              <w:rPr/>
            </w:pPr>
            <w:r>
              <w:rPr/>
              <w:t>By:</w:t>
            </w:r>
          </w:p>
        </w:tc>
        <w:tc>
          <w:tcPr>
            <w:tcW w:w="117" w:type="dxa"/>
            <w:tcBorders>
              <w:bottom w:val="single" w:sz="2" w:space="0" w:color="000000"/>
            </w:tcBorders>
            <w:tcMar>
              <w:bottom w:w="28" w:type="dxa"/>
            </w:tcMar>
            <w:vAlign w:val="bottom"/>
          </w:tcPr>
          <w:p>
            <w:pPr>
              <w:pStyle w:val="TableContents"/>
              <w:bidi w:val="0"/>
              <w:spacing w:before="0" w:after="283"/>
              <w:jc w:val="left"/>
              <w:rPr/>
            </w:pPr>
            <w:r>
              <w:rPr/>
              <w:t> </w:t>
            </w:r>
          </w:p>
        </w:tc>
        <w:tc>
          <w:tcPr>
            <w:tcW w:w="3203" w:type="dxa"/>
            <w:tcBorders>
              <w:bottom w:val="single" w:sz="2" w:space="0" w:color="000000"/>
            </w:tcBorders>
            <w:tcMar>
              <w:bottom w:w="28" w:type="dxa"/>
            </w:tcMar>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left"/>
              <w:rPr/>
            </w:pPr>
            <w:r>
              <w:rPr/>
              <w:t>By:</w:t>
            </w:r>
          </w:p>
        </w:tc>
        <w:tc>
          <w:tcPr>
            <w:tcW w:w="130" w:type="dxa"/>
            <w:tcBorders>
              <w:bottom w:val="single" w:sz="2" w:space="0" w:color="000000"/>
            </w:tcBorders>
            <w:tcMar>
              <w:bottom w:w="28" w:type="dxa"/>
            </w:tcMar>
            <w:vAlign w:val="bottom"/>
          </w:tcPr>
          <w:p>
            <w:pPr>
              <w:pStyle w:val="TableContents"/>
              <w:bidi w:val="0"/>
              <w:spacing w:before="0" w:after="283"/>
              <w:jc w:val="left"/>
              <w:rPr/>
            </w:pPr>
            <w:r>
              <w:rPr/>
              <w:t> </w:t>
            </w:r>
          </w:p>
        </w:tc>
        <w:tc>
          <w:tcPr>
            <w:tcW w:w="3220"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352" w:type="dxa"/>
            <w:tcBorders/>
            <w:vAlign w:val="bottom"/>
          </w:tcPr>
          <w:p>
            <w:pPr>
              <w:pStyle w:val="TableContents"/>
              <w:bidi w:val="0"/>
              <w:spacing w:before="0" w:after="283"/>
              <w:jc w:val="left"/>
              <w:rPr/>
            </w:pPr>
            <w:r>
              <w:rPr/>
              <w:t>Print Name:</w:t>
            </w:r>
          </w:p>
        </w:tc>
        <w:tc>
          <w:tcPr>
            <w:tcW w:w="117" w:type="dxa"/>
            <w:tcBorders>
              <w:bottom w:val="single" w:sz="2" w:space="0" w:color="000000"/>
            </w:tcBorders>
            <w:tcMar>
              <w:bottom w:w="28" w:type="dxa"/>
            </w:tcMar>
            <w:vAlign w:val="bottom"/>
          </w:tcPr>
          <w:p>
            <w:pPr>
              <w:pStyle w:val="TableContents"/>
              <w:bidi w:val="0"/>
              <w:spacing w:before="0" w:after="283"/>
              <w:jc w:val="left"/>
              <w:rPr/>
            </w:pPr>
            <w:r>
              <w:rPr/>
              <w:t> </w:t>
            </w:r>
          </w:p>
        </w:tc>
        <w:tc>
          <w:tcPr>
            <w:tcW w:w="3203" w:type="dxa"/>
            <w:tcBorders>
              <w:bottom w:val="single" w:sz="2" w:space="0" w:color="000000"/>
            </w:tcBorders>
            <w:tcMar>
              <w:bottom w:w="28" w:type="dxa"/>
            </w:tcMar>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left"/>
              <w:rPr/>
            </w:pPr>
            <w:r>
              <w:rPr/>
              <w:t>Print Name:</w:t>
            </w:r>
          </w:p>
        </w:tc>
        <w:tc>
          <w:tcPr>
            <w:tcW w:w="130" w:type="dxa"/>
            <w:tcBorders>
              <w:bottom w:val="single" w:sz="2" w:space="0" w:color="000000"/>
            </w:tcBorders>
            <w:tcMar>
              <w:bottom w:w="28" w:type="dxa"/>
            </w:tcMar>
            <w:vAlign w:val="bottom"/>
          </w:tcPr>
          <w:p>
            <w:pPr>
              <w:pStyle w:val="TableContents"/>
              <w:bidi w:val="0"/>
              <w:spacing w:before="0" w:after="283"/>
              <w:jc w:val="left"/>
              <w:rPr/>
            </w:pPr>
            <w:r>
              <w:rPr/>
              <w:t> </w:t>
            </w:r>
          </w:p>
        </w:tc>
        <w:tc>
          <w:tcPr>
            <w:tcW w:w="3220"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352" w:type="dxa"/>
            <w:tcBorders/>
            <w:vAlign w:val="bottom"/>
          </w:tcPr>
          <w:p>
            <w:pPr>
              <w:pStyle w:val="TableContents"/>
              <w:bidi w:val="0"/>
              <w:spacing w:before="0" w:after="283"/>
              <w:jc w:val="left"/>
              <w:rPr/>
            </w:pPr>
            <w:r>
              <w:rPr/>
              <w:t>Title:</w:t>
            </w:r>
          </w:p>
        </w:tc>
        <w:tc>
          <w:tcPr>
            <w:tcW w:w="117" w:type="dxa"/>
            <w:tcBorders>
              <w:bottom w:val="single" w:sz="2" w:space="0" w:color="000000"/>
            </w:tcBorders>
            <w:tcMar>
              <w:bottom w:w="28" w:type="dxa"/>
            </w:tcMar>
            <w:vAlign w:val="bottom"/>
          </w:tcPr>
          <w:p>
            <w:pPr>
              <w:pStyle w:val="TableContents"/>
              <w:bidi w:val="0"/>
              <w:spacing w:before="0" w:after="283"/>
              <w:jc w:val="left"/>
              <w:rPr/>
            </w:pPr>
            <w:r>
              <w:rPr/>
              <w:t> </w:t>
            </w:r>
          </w:p>
        </w:tc>
        <w:tc>
          <w:tcPr>
            <w:tcW w:w="3203" w:type="dxa"/>
            <w:tcBorders>
              <w:bottom w:val="single" w:sz="2" w:space="0" w:color="000000"/>
            </w:tcBorders>
            <w:tcMar>
              <w:bottom w:w="28" w:type="dxa"/>
            </w:tcMar>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left"/>
              <w:rPr/>
            </w:pPr>
            <w:r>
              <w:rPr/>
              <w:t>Title:</w:t>
            </w:r>
          </w:p>
        </w:tc>
        <w:tc>
          <w:tcPr>
            <w:tcW w:w="130" w:type="dxa"/>
            <w:tcBorders>
              <w:bottom w:val="single" w:sz="2" w:space="0" w:color="000000"/>
            </w:tcBorders>
            <w:tcMar>
              <w:bottom w:w="28" w:type="dxa"/>
            </w:tcMar>
            <w:vAlign w:val="bottom"/>
          </w:tcPr>
          <w:p>
            <w:pPr>
              <w:pStyle w:val="TableContents"/>
              <w:bidi w:val="0"/>
              <w:spacing w:before="0" w:after="283"/>
              <w:jc w:val="left"/>
              <w:rPr/>
            </w:pPr>
            <w:r>
              <w:rPr/>
              <w:t> </w:t>
            </w:r>
          </w:p>
        </w:tc>
        <w:tc>
          <w:tcPr>
            <w:tcW w:w="3220"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352" w:type="dxa"/>
            <w:tcBorders/>
            <w:vAlign w:val="bottom"/>
          </w:tcPr>
          <w:p>
            <w:pPr>
              <w:pStyle w:val="TableContents"/>
              <w:bidi w:val="0"/>
              <w:spacing w:before="0" w:after="283"/>
              <w:jc w:val="left"/>
              <w:rPr/>
            </w:pPr>
            <w:r>
              <w:rPr/>
              <w:t>Address:</w:t>
            </w:r>
          </w:p>
        </w:tc>
        <w:tc>
          <w:tcPr>
            <w:tcW w:w="117" w:type="dxa"/>
            <w:tcBorders>
              <w:bottom w:val="single" w:sz="2" w:space="0" w:color="000000"/>
            </w:tcBorders>
            <w:tcMar>
              <w:bottom w:w="28" w:type="dxa"/>
            </w:tcMar>
            <w:vAlign w:val="bottom"/>
          </w:tcPr>
          <w:p>
            <w:pPr>
              <w:pStyle w:val="TableContents"/>
              <w:bidi w:val="0"/>
              <w:spacing w:before="0" w:after="283"/>
              <w:jc w:val="left"/>
              <w:rPr/>
            </w:pPr>
            <w:r>
              <w:rPr/>
              <w:t> </w:t>
            </w:r>
          </w:p>
        </w:tc>
        <w:tc>
          <w:tcPr>
            <w:tcW w:w="3203" w:type="dxa"/>
            <w:tcBorders>
              <w:bottom w:val="single" w:sz="2" w:space="0" w:color="000000"/>
            </w:tcBorders>
            <w:tcMar>
              <w:bottom w:w="28" w:type="dxa"/>
            </w:tcMar>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left"/>
              <w:rPr/>
            </w:pPr>
            <w:r>
              <w:rPr/>
              <w:t>Address:</w:t>
            </w:r>
          </w:p>
        </w:tc>
        <w:tc>
          <w:tcPr>
            <w:tcW w:w="130" w:type="dxa"/>
            <w:tcBorders>
              <w:bottom w:val="single" w:sz="2" w:space="0" w:color="000000"/>
            </w:tcBorders>
            <w:tcMar>
              <w:bottom w:w="28" w:type="dxa"/>
            </w:tcMar>
            <w:vAlign w:val="bottom"/>
          </w:tcPr>
          <w:p>
            <w:pPr>
              <w:pStyle w:val="TableContents"/>
              <w:bidi w:val="0"/>
              <w:spacing w:before="0" w:after="283"/>
              <w:jc w:val="left"/>
              <w:rPr/>
            </w:pPr>
            <w:r>
              <w:rPr/>
              <w:t> </w:t>
            </w:r>
          </w:p>
        </w:tc>
        <w:tc>
          <w:tcPr>
            <w:tcW w:w="3220"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352" w:type="dxa"/>
            <w:tcBorders/>
            <w:vAlign w:val="bottom"/>
          </w:tcPr>
          <w:p>
            <w:pPr>
              <w:pStyle w:val="TableContents"/>
              <w:bidi w:val="0"/>
              <w:spacing w:before="0" w:after="283"/>
              <w:jc w:val="left"/>
              <w:rPr>
                <w:sz w:val="4"/>
                <w:szCs w:val="4"/>
              </w:rPr>
            </w:pPr>
            <w:r>
              <w:rPr>
                <w:sz w:val="4"/>
                <w:szCs w:val="4"/>
              </w:rPr>
            </w:r>
          </w:p>
        </w:tc>
        <w:tc>
          <w:tcPr>
            <w:tcW w:w="117" w:type="dxa"/>
            <w:tcBorders>
              <w:bottom w:val="single" w:sz="2" w:space="0" w:color="000000"/>
            </w:tcBorders>
            <w:tcMar>
              <w:bottom w:w="28" w:type="dxa"/>
            </w:tcMar>
            <w:vAlign w:val="bottom"/>
          </w:tcPr>
          <w:p>
            <w:pPr>
              <w:pStyle w:val="TableContents"/>
              <w:bidi w:val="0"/>
              <w:spacing w:before="0" w:after="283"/>
              <w:jc w:val="left"/>
              <w:rPr/>
            </w:pPr>
            <w:r>
              <w:rPr/>
              <w:t> </w:t>
            </w:r>
          </w:p>
        </w:tc>
        <w:tc>
          <w:tcPr>
            <w:tcW w:w="3203" w:type="dxa"/>
            <w:tcBorders>
              <w:bottom w:val="single" w:sz="2" w:space="0" w:color="000000"/>
            </w:tcBorders>
            <w:tcMar>
              <w:bottom w:w="28" w:type="dxa"/>
            </w:tcMar>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left"/>
              <w:rPr>
                <w:sz w:val="4"/>
                <w:szCs w:val="4"/>
              </w:rPr>
            </w:pPr>
            <w:r>
              <w:rPr>
                <w:sz w:val="4"/>
                <w:szCs w:val="4"/>
              </w:rPr>
            </w:r>
          </w:p>
        </w:tc>
        <w:tc>
          <w:tcPr>
            <w:tcW w:w="130" w:type="dxa"/>
            <w:tcBorders>
              <w:bottom w:val="single" w:sz="2" w:space="0" w:color="000000"/>
            </w:tcBorders>
            <w:tcMar>
              <w:bottom w:w="28" w:type="dxa"/>
            </w:tcMar>
            <w:vAlign w:val="bottom"/>
          </w:tcPr>
          <w:p>
            <w:pPr>
              <w:pStyle w:val="TableContents"/>
              <w:bidi w:val="0"/>
              <w:spacing w:before="0" w:after="283"/>
              <w:jc w:val="left"/>
              <w:rPr/>
            </w:pPr>
            <w:r>
              <w:rPr/>
              <w:t> </w:t>
            </w:r>
          </w:p>
        </w:tc>
        <w:tc>
          <w:tcPr>
            <w:tcW w:w="3220"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0" w:after="0"/>
        <w:jc w:val="center"/>
        <w:rPr>
          <w:rFonts w:ascii="Times New Roman" w:hAnsi="Times New Roman"/>
          <w:b/>
          <w:sz w:val="20"/>
        </w:rPr>
      </w:pPr>
      <w:r>
        <w:rPr>
          <w:rFonts w:ascii="Times New Roman" w:hAnsi="Times New Roman"/>
          <w:b/>
          <w:sz w:val="20"/>
        </w:rPr>
        <w:t xml:space="preserve">TO NONQUALIFIED STOCK OPTION GRANT NOTICE </w:t>
      </w:r>
    </w:p>
    <w:p>
      <w:pPr>
        <w:pStyle w:val="TextBody"/>
        <w:bidi w:val="0"/>
        <w:spacing w:before="120" w:after="0"/>
        <w:jc w:val="center"/>
        <w:rPr>
          <w:rFonts w:ascii="Times New Roman" w:hAnsi="Times New Roman"/>
          <w:b/>
          <w:sz w:val="20"/>
        </w:rPr>
      </w:pPr>
      <w:r>
        <w:rPr>
          <w:rFonts w:ascii="Times New Roman" w:hAnsi="Times New Roman"/>
          <w:b/>
          <w:sz w:val="20"/>
        </w:rPr>
        <w:t xml:space="preserve">NONQUALIFIED STOCK OPTION AGREEMENT </w:t>
      </w:r>
    </w:p>
    <w:p>
      <w:pPr>
        <w:pStyle w:val="TextBody"/>
        <w:bidi w:val="0"/>
        <w:spacing w:before="240" w:after="0"/>
        <w:jc w:val="left"/>
        <w:rPr>
          <w:rFonts w:ascii="Times New Roman" w:hAnsi="Times New Roman"/>
          <w:sz w:val="20"/>
        </w:rPr>
      </w:pPr>
      <w:r>
        <w:rPr>
          <w:rFonts w:ascii="Times New Roman" w:hAnsi="Times New Roman"/>
          <w:sz w:val="20"/>
        </w:rPr>
        <w:t>Pursuant to the Nonqualified Stock Option Grant Notice (the </w:t>
      </w:r>
      <w:r>
        <w:rPr>
          <w:rFonts w:ascii="Times New Roman" w:hAnsi="Times New Roman"/>
          <w:b/>
          <w:i/>
          <w:sz w:val="20"/>
        </w:rPr>
        <w:t>Grant Notice</w:t>
      </w:r>
      <w:r>
        <w:rPr>
          <w:rFonts w:ascii="Times New Roman" w:hAnsi="Times New Roman"/>
          <w:sz w:val="20"/>
        </w:rPr>
        <w:t>) to which this Nonqualified Stock Option Agreement (this </w:t>
      </w:r>
      <w:r>
        <w:rPr>
          <w:rFonts w:ascii="Times New Roman" w:hAnsi="Times New Roman"/>
          <w:b/>
          <w:i/>
          <w:sz w:val="20"/>
        </w:rPr>
        <w:t>Agreement</w:t>
      </w:r>
      <w:r>
        <w:rPr>
          <w:rFonts w:ascii="Times New Roman" w:hAnsi="Times New Roman"/>
          <w:sz w:val="20"/>
        </w:rPr>
        <w:t>) is attached, Biomea Fusion, Inc., a Delaware corporation (the </w:t>
      </w:r>
      <w:r>
        <w:rPr>
          <w:rFonts w:ascii="Times New Roman" w:hAnsi="Times New Roman"/>
          <w:b/>
          <w:i/>
          <w:sz w:val="20"/>
        </w:rPr>
        <w:t>Company</w:t>
      </w:r>
      <w:r>
        <w:rPr>
          <w:rFonts w:ascii="Times New Roman" w:hAnsi="Times New Roman"/>
          <w:sz w:val="20"/>
        </w:rPr>
        <w:t>), has granted to Participant an Option under the Companys 2023 Inducement Plan, as may be amended from time to time (the </w:t>
      </w:r>
      <w:r>
        <w:rPr>
          <w:rFonts w:ascii="Times New Roman" w:hAnsi="Times New Roman"/>
          <w:b/>
          <w:i/>
          <w:sz w:val="20"/>
        </w:rPr>
        <w:t>Plan</w:t>
      </w:r>
      <w:r>
        <w:rPr>
          <w:rFonts w:ascii="Times New Roman" w:hAnsi="Times New Roman"/>
          <w:sz w:val="20"/>
        </w:rPr>
        <w:t xml:space="preserve">), to purchase the number of Shares indicated in the Grant Notice. This Award has been granted as an inducement pursuant to Rule 5635(c)(4) of the Marketplace Rules of NASDAQ Stock Market, Inc.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120" w:after="0"/>
        <w:jc w:val="center"/>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Defined Terms</w:t>
      </w:r>
      <w:r>
        <w:rPr>
          <w:rFonts w:ascii="Times New Roman" w:hAnsi="Times New Roman"/>
          <w:sz w:val="20"/>
        </w:rPr>
        <w:t xml:space="preserve">. Capitalized terms not specifically defined herein shall have the meanings specified in the Plan and the Grant Notice.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Incorporation of Terms of Plan</w:t>
      </w:r>
      <w:r>
        <w:rPr>
          <w:rFonts w:ascii="Times New Roman" w:hAnsi="Times New Roman"/>
          <w:sz w:val="20"/>
        </w:rPr>
        <w:t xml:space="preserve">. The Option is subject to the terms and conditions of the Plan which are incorporated herein by reference. In the event of any inconsistency between the Plan and this Agreement, the terms of the Plan shall control.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120" w:after="0"/>
        <w:jc w:val="center"/>
        <w:rPr>
          <w:rFonts w:ascii="Times New Roman" w:hAnsi="Times New Roman"/>
          <w:b/>
          <w:sz w:val="20"/>
        </w:rPr>
      </w:pPr>
      <w:r>
        <w:rPr>
          <w:rFonts w:ascii="Times New Roman" w:hAnsi="Times New Roman"/>
          <w:b/>
          <w:sz w:val="20"/>
        </w:rPr>
        <w:t xml:space="preserve">GRANT OF OPTION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Grant of Option</w:t>
      </w:r>
      <w:r>
        <w:rPr>
          <w:rFonts w:ascii="Times New Roman" w:hAnsi="Times New Roman"/>
          <w:sz w:val="20"/>
        </w:rPr>
        <w:t>. In consideration of Participants employment with or service to the Company or any Subsidiary and for other good and valuable consideration, effective as of the Grant Date set forth in the Grant Notice (the </w:t>
      </w:r>
      <w:r>
        <w:rPr>
          <w:rFonts w:ascii="Times New Roman" w:hAnsi="Times New Roman"/>
          <w:b/>
          <w:i/>
          <w:sz w:val="20"/>
        </w:rPr>
        <w:t>Grant Date</w:t>
      </w:r>
      <w:r>
        <w:rPr>
          <w:rFonts w:ascii="Times New Roman" w:hAnsi="Times New Roman"/>
          <w:sz w:val="20"/>
        </w:rPr>
        <w:t xml:space="preserve">), the Company irrevocably grants to Participant the Option to purchase any part or all of an aggregate of the number of Shares set forth in the Grant Notice, upon the terms and conditions set forth in the Plan and this Agreement, subject to adjustments as provided in Article IX of the Plan.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Exercise Price</w:t>
      </w:r>
      <w:r>
        <w:rPr>
          <w:rFonts w:ascii="Times New Roman" w:hAnsi="Times New Roman"/>
          <w:sz w:val="20"/>
        </w:rPr>
        <w:t xml:space="preserve">. The exercise price of the Shares subject to the Option shall be as set forth in the Grant Notice, without commission or other charge;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exercise price per share of the Shares subject to the Option shall not be less than 100% of the Fair Market Value of a Share on the Grant Date.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Consideration to the Company</w:t>
      </w:r>
      <w:r>
        <w:rPr>
          <w:rFonts w:ascii="Times New Roman" w:hAnsi="Times New Roman"/>
          <w:sz w:val="20"/>
        </w:rPr>
        <w:t xml:space="preserve">. In consideration of the grant of the Option by the Company, Participant agrees to render faithful and efficient services to the Company or any Subsidiary. Nothing in the Plan or this Agreement shall confer upon Participant any right to continue in the employ or service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120" w:after="0"/>
        <w:jc w:val="center"/>
        <w:rPr>
          <w:rFonts w:ascii="Times New Roman" w:hAnsi="Times New Roman"/>
          <w:b/>
          <w:sz w:val="20"/>
        </w:rPr>
      </w:pPr>
      <w:r>
        <w:rPr>
          <w:rFonts w:ascii="Times New Roman" w:hAnsi="Times New Roman"/>
          <w:b/>
          <w:sz w:val="20"/>
        </w:rPr>
        <w:t xml:space="preserve">PERIOD OF EXERCISABILITY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Commencement of Exercisability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Sections 3.2, 3.3, 5.11 and 5.17 hereof, the Option shall become vested and exercisable in such amounts and at such times as are set forth in the Grant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 portion of the Option which has not become vested and exercisable at the date of Participants Termination of Service shall thereafter become vested and exercisable, except as may be otherwise provided by the Administrator or as set forth in a written agreement between the Company and Participant.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Section 3.1(a) hereof and the Grant Notice, but subject to Section 3.1(b) hereof, in the event of a Change in Control the Option shall be treated pursuant to Sections 9.2 and 9.3 of the Plan.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Duration of Exercisability</w:t>
      </w:r>
      <w:r>
        <w:rPr>
          <w:rFonts w:ascii="Times New Roman" w:hAnsi="Times New Roman"/>
          <w:sz w:val="20"/>
        </w:rPr>
        <w:t xml:space="preserve">. The installments provided for in the vesting schedule set forth in the Grant Notice are cumulative. Each such installment which becomes vested and exercisable pursuant to the vesting schedule set forth in the Grant Notice shall remain vested and exercisable until it becomes unexercisable under Section 3.3 hereof.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Expiration of Option</w:t>
      </w:r>
      <w:r>
        <w:rPr>
          <w:rFonts w:ascii="Times New Roman" w:hAnsi="Times New Roman"/>
          <w:sz w:val="20"/>
        </w:rPr>
        <w:t xml:space="preserve">. The Option may not be exercised to any extent by anyone after the first to occur of the following events: </w:t>
      </w:r>
    </w:p>
    <w:p>
      <w:pPr>
        <w:pStyle w:val="TextBody"/>
        <w:bidi w:val="0"/>
        <w:spacing w:before="120" w:after="0"/>
        <w:jc w:val="left"/>
        <w:rPr>
          <w:rFonts w:ascii="Times New Roman" w:hAnsi="Times New Roman"/>
          <w:sz w:val="20"/>
        </w:rPr>
      </w:pPr>
      <w:r>
        <w:rPr>
          <w:rFonts w:ascii="Times New Roman" w:hAnsi="Times New Roman"/>
          <w:sz w:val="20"/>
        </w:rPr>
        <w:t xml:space="preserve">(a) The Expiration Date set forth in the Grant Notice, which shall in no event be more than ten years from the Grant Date; </w:t>
      </w:r>
    </w:p>
    <w:p>
      <w:pPr>
        <w:pStyle w:val="TextBody"/>
        <w:bidi w:val="0"/>
        <w:spacing w:before="240" w:after="0"/>
        <w:jc w:val="left"/>
        <w:rPr>
          <w:rFonts w:ascii="Times New Roman" w:hAnsi="Times New Roman"/>
          <w:sz w:val="20"/>
        </w:rPr>
      </w:pPr>
      <w:r>
        <w:rPr>
          <w:rFonts w:ascii="Times New Roman" w:hAnsi="Times New Roman"/>
          <w:sz w:val="20"/>
        </w:rPr>
        <w:t xml:space="preserve">(b) The expiration of three months from the date of Participants Termination of Service, unless such termination occurs by reason of Participants death or Disability or Cause; </w:t>
      </w:r>
    </w:p>
    <w:p>
      <w:pPr>
        <w:pStyle w:val="TextBody"/>
        <w:bidi w:val="0"/>
        <w:spacing w:before="240" w:after="0"/>
        <w:jc w:val="left"/>
        <w:rPr>
          <w:rFonts w:ascii="Times New Roman" w:hAnsi="Times New Roman"/>
          <w:sz w:val="20"/>
        </w:rPr>
      </w:pPr>
      <w:r>
        <w:rPr>
          <w:rFonts w:ascii="Times New Roman" w:hAnsi="Times New Roman"/>
          <w:sz w:val="20"/>
        </w:rPr>
        <w:t xml:space="preserve">(c) The expiration of one year from the date of Participants Termination of Service by reason of Participants death or Disability; or </w:t>
      </w:r>
    </w:p>
    <w:p>
      <w:pPr>
        <w:pStyle w:val="TextBody"/>
        <w:bidi w:val="0"/>
        <w:spacing w:before="240" w:after="0"/>
        <w:jc w:val="left"/>
        <w:rPr>
          <w:rFonts w:ascii="Times New Roman" w:hAnsi="Times New Roman"/>
          <w:sz w:val="20"/>
        </w:rPr>
      </w:pPr>
      <w:r>
        <w:rPr>
          <w:rFonts w:ascii="Times New Roman" w:hAnsi="Times New Roman"/>
          <w:sz w:val="20"/>
        </w:rPr>
        <w:t xml:space="preserve">(d) Participants Termination of Service for Cause.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Tax Indemnity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Participant agrees to indemnify and keep indemnified the Company, any Subsidiary and Participants employing company, if different, from and against any liability for or obligation to pay any Tax Related Items that is attributable to (1) the grant or exercise of, or any benefit derived by Participant from, the Option, (2) the acquisition by Participant of the Shares on exercise of the Option or (3) the disposal of any Shares. </w:t>
      </w:r>
    </w:p>
    <w:p>
      <w:pPr>
        <w:pStyle w:val="TextBody"/>
        <w:bidi w:val="0"/>
        <w:spacing w:before="240" w:after="0"/>
        <w:jc w:val="left"/>
        <w:rPr>
          <w:rFonts w:ascii="Times New Roman" w:hAnsi="Times New Roman"/>
          <w:sz w:val="20"/>
        </w:rPr>
      </w:pPr>
      <w:r>
        <w:rPr>
          <w:rFonts w:ascii="Times New Roman" w:hAnsi="Times New Roman"/>
          <w:sz w:val="20"/>
        </w:rPr>
        <w:t xml:space="preserve">(b) The Option cannot be exercised until Participant has made such arrangements as the Company may require for the satisfaction of any Tax Related Items that may arise in connection with the exercise of the Option or the acquisition of the Shares by Participant. The Company shall not be required to issue, allot or transfer Shares until Participant has satisfied this obligation. </w:t>
      </w:r>
    </w:p>
    <w:p>
      <w:pPr>
        <w:pStyle w:val="TextBody"/>
        <w:bidi w:val="0"/>
        <w:spacing w:before="240" w:after="0"/>
        <w:jc w:val="left"/>
        <w:rPr>
          <w:rFonts w:ascii="Times New Roman" w:hAnsi="Times New Roman"/>
          <w:sz w:val="20"/>
        </w:rPr>
      </w:pPr>
      <w:r>
        <w:rPr>
          <w:rFonts w:ascii="Times New Roman" w:hAnsi="Times New Roman"/>
          <w:sz w:val="20"/>
        </w:rPr>
        <w:t xml:space="preserve">(c) Participant hereby acknowledges that the Company (i) makes no representations or undertakings regarding the treatment of any Tax Related Items in connection with any aspect of the Option and (ii) does not commit to and is under no obligation to structure the terms of the grant or any aspect of any Award, including the Option, to reduce or eliminate Participants liability for Tax Related Items or achieve any particular tax result. Furthermore, if Participant becomes subject to tax in more than one jurisdiction between the date of grant of an Award, including the Option, and the date of any relevant taxable event, Participant acknowledges that the Company may be required to withhold or account for Tax Related Items in more than one jurisdiction.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120" w:after="0"/>
        <w:jc w:val="center"/>
        <w:rPr>
          <w:rFonts w:ascii="Times New Roman" w:hAnsi="Times New Roman"/>
          <w:b/>
          <w:sz w:val="20"/>
        </w:rPr>
      </w:pPr>
      <w:r>
        <w:rPr>
          <w:rFonts w:ascii="Times New Roman" w:hAnsi="Times New Roman"/>
          <w:b/>
          <w:sz w:val="20"/>
        </w:rPr>
        <w:t xml:space="preserve">EXERCISE OF OPTION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Person Eligible to Exercise</w:t>
      </w:r>
      <w:r>
        <w:rPr>
          <w:rFonts w:ascii="Times New Roman" w:hAnsi="Times New Roman"/>
          <w:sz w:val="20"/>
        </w:rPr>
        <w:t xml:space="preserve">. Except as provided in Section 5.3 hereof, during the lifetime of Participant, only Participant may exercise the Option or any portion thereof, unless it has been disposed of pursuant to a DRO. After the death of Participant, any exercisable portion of the Option may, prior to the time when the Option becomes unexercisable under Section 3.3 hereof, be exercised by the deceased Participants personal representative or by any person empowered to do so under the deceased Participants will or under the then applicable laws of descent and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Partial Exercise</w:t>
      </w:r>
      <w:r>
        <w:rPr>
          <w:rFonts w:ascii="Times New Roman" w:hAnsi="Times New Roman"/>
          <w:sz w:val="20"/>
        </w:rPr>
        <w:t xml:space="preserve">. Any exercisable portion of the Option or the entire Option, if then wholly exercisable, may be exercised in whole or in part at any time prior to the time when the Option or portion thereof becomes unexercisable under Section 3.3 hereof. However, the Option shall not be exercisable with respect to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Manner of Exercise</w:t>
      </w:r>
      <w:r>
        <w:rPr>
          <w:rFonts w:ascii="Times New Roman" w:hAnsi="Times New Roman"/>
          <w:sz w:val="20"/>
        </w:rPr>
        <w:t xml:space="preserve">. The Option, or any exercisable portion thereof, may be exercised solely by delivery to the Secretary of the Company (or any third party administrator or other person or entity designated by the Company; for the avoidance of doubt, delivery shall include electronic delivery), during regular business hours, of all of the following prior to the time when the Option or such portion thereof becomes unexercisable under Section 3.3 hereof: </w:t>
      </w:r>
    </w:p>
    <w:p>
      <w:pPr>
        <w:pStyle w:val="TextBody"/>
        <w:bidi w:val="0"/>
        <w:spacing w:before="120" w:after="0"/>
        <w:jc w:val="left"/>
        <w:rPr>
          <w:rFonts w:ascii="Times New Roman" w:hAnsi="Times New Roman"/>
          <w:sz w:val="20"/>
        </w:rPr>
      </w:pPr>
      <w:r>
        <w:rPr>
          <w:rFonts w:ascii="Times New Roman" w:hAnsi="Times New Roman"/>
          <w:sz w:val="20"/>
        </w:rPr>
        <w:t xml:space="preserve">(a) An exercise notice in a form specified by the Administrator, stating that the Option or portion thereof is thereby exercised, such notice complying with all applicable rules established by the Administrator. The notice shall be signed by Participant or other person then entitled to exercise the Option or such portion of the Option; </w:t>
      </w:r>
    </w:p>
    <w:p>
      <w:pPr>
        <w:pStyle w:val="TextBody"/>
        <w:bidi w:val="0"/>
        <w:spacing w:before="240" w:after="0"/>
        <w:jc w:val="left"/>
        <w:rPr>
          <w:rFonts w:ascii="Times New Roman" w:hAnsi="Times New Roman"/>
          <w:sz w:val="20"/>
        </w:rPr>
      </w:pPr>
      <w:r>
        <w:rPr>
          <w:rFonts w:ascii="Times New Roman" w:hAnsi="Times New Roman"/>
          <w:sz w:val="20"/>
        </w:rPr>
        <w:t xml:space="preserve">(b) The receipt by the Company of full payment for the Shares with respect to which the Option or portion thereof is exercised, including payment of any applicable Tax Related Items, which shall be made by deduction from other compensation payable Participant or in such other form of consideration permitted under Section 4.4 hereof that is acceptable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(c) Any other written representations or documents as may be required in the Administrators sole discretion to evidence compliance with the Securities Act, the Exchange Act or any other applicable law, rule or regulation; and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the Option or portion thereof shall be exercised pursuant to Section 4.1 hereof by any person or persons other than Participant, appropriate proof of the right of such person or persons to exercise the Option.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of the foregoing, the Company shall have the right to specify all conditions of the manner of exercise, which conditions may vary by country and which may be subject to change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Method of Payment</w:t>
      </w:r>
      <w:r>
        <w:rPr>
          <w:rFonts w:ascii="Times New Roman" w:hAnsi="Times New Roman"/>
          <w:sz w:val="20"/>
        </w:rPr>
        <w:t xml:space="preserve">. Payment of the exercise price shall be by any of the following, or a combination thereof, at the election of Participant: </w:t>
      </w:r>
    </w:p>
    <w:p>
      <w:pPr>
        <w:pStyle w:val="TextBody"/>
        <w:bidi w:val="0"/>
        <w:spacing w:before="120" w:after="0"/>
        <w:jc w:val="left"/>
        <w:rPr>
          <w:rFonts w:ascii="Times New Roman" w:hAnsi="Times New Roman"/>
          <w:sz w:val="20"/>
        </w:rPr>
      </w:pPr>
      <w:r>
        <w:rPr>
          <w:rFonts w:ascii="Times New Roman" w:hAnsi="Times New Roman"/>
          <w:sz w:val="20"/>
        </w:rPr>
        <w:t xml:space="preserve">(a) Cash or check; </w:t>
      </w:r>
    </w:p>
    <w:p>
      <w:pPr>
        <w:pStyle w:val="TextBody"/>
        <w:bidi w:val="0"/>
        <w:spacing w:before="240" w:after="0"/>
        <w:jc w:val="left"/>
        <w:rPr>
          <w:rFonts w:ascii="Times New Roman" w:hAnsi="Times New Roman"/>
          <w:sz w:val="20"/>
        </w:rPr>
      </w:pPr>
      <w:r>
        <w:rPr>
          <w:rFonts w:ascii="Times New Roman" w:hAnsi="Times New Roman"/>
          <w:sz w:val="20"/>
        </w:rPr>
        <w:t xml:space="preserve">(b) With the consent of the Administrator, surrender of Shares (including, without limitation, Shares otherwise issuable upon exercise of the Option) held for such period of time as may be required by the Administrator in order to avoid adverse accounting consequences and having a Fair Market Value on the date of delivery equal to the aggregate exercise price of the Option or exercised portion thereof; or </w:t>
      </w:r>
    </w:p>
    <w:p>
      <w:pPr>
        <w:pStyle w:val="TextBody"/>
        <w:bidi w:val="0"/>
        <w:spacing w:before="240" w:after="0"/>
        <w:jc w:val="left"/>
        <w:rPr>
          <w:rFonts w:ascii="Times New Roman" w:hAnsi="Times New Roman"/>
          <w:sz w:val="20"/>
        </w:rPr>
      </w:pPr>
      <w:r>
        <w:rPr>
          <w:rFonts w:ascii="Times New Roman" w:hAnsi="Times New Roman"/>
          <w:sz w:val="20"/>
        </w:rPr>
        <w:t xml:space="preserve">(c) Other legal consideration acceptable to the Administrator (including, without limitation, through the delivery of a notice that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w:t>
      </w:r>
      <w:r>
        <w:rPr>
          <w:rFonts w:ascii="Times New Roman" w:hAnsi="Times New Roman"/>
          <w:i/>
          <w:sz w:val="20"/>
        </w:rPr>
        <w:t>provided</w:t>
      </w:r>
      <w:r>
        <w:rPr>
          <w:rFonts w:ascii="Times New Roman" w:hAnsi="Times New Roman"/>
          <w:sz w:val="20"/>
        </w:rPr>
        <w:t xml:space="preserve"> that payment of such proceeds is then made to the Company at such time as may be required by the Company, but in any event not later than the settlement of such sale).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Conditions to Issuance of Shares</w:t>
      </w:r>
      <w:r>
        <w:rPr>
          <w:rFonts w:ascii="Times New Roman" w:hAnsi="Times New Roman"/>
          <w:sz w:val="20"/>
        </w:rPr>
        <w:t xml:space="preserve">. The Shares deliverable upon the exercise of the Option, or any portion thereof, may be either previously authorized but unissued Shares or issued Shares which have then been reacquired by the Company. Such Shares shall be fully paid and nonassessable. The Company shall not be required to issue or deliver any Shares purchased upon the exercise of the Option or portion thereof prior to fulfillment of all of the conditions in Section 10.7 of the Plan and following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admission of such Shares to listing on all stock exchanges on which such Shares are then listed; </w:t>
      </w:r>
    </w:p>
    <w:p>
      <w:pPr>
        <w:pStyle w:val="TextBody"/>
        <w:bidi w:val="0"/>
        <w:spacing w:before="240" w:after="0"/>
        <w:jc w:val="left"/>
        <w:rPr>
          <w:rFonts w:ascii="Times New Roman" w:hAnsi="Times New Roman"/>
          <w:sz w:val="20"/>
        </w:rPr>
      </w:pPr>
      <w:r>
        <w:rPr>
          <w:rFonts w:ascii="Times New Roman" w:hAnsi="Times New Roman"/>
          <w:sz w:val="20"/>
        </w:rPr>
        <w:t xml:space="preserve">(b) The completion of any registration or other qualification of such Shares under any state or federal law or under rulings or regulations of the Securities and Exchange Commission or of any other governmental regulatory body, which the Administrator shall, in its absolute discretion, deem necessary or advisable; </w:t>
      </w:r>
    </w:p>
    <w:p>
      <w:pPr>
        <w:pStyle w:val="TextBody"/>
        <w:bidi w:val="0"/>
        <w:spacing w:before="240" w:after="0"/>
        <w:jc w:val="left"/>
        <w:rPr>
          <w:rFonts w:ascii="Times New Roman" w:hAnsi="Times New Roman"/>
          <w:sz w:val="20"/>
        </w:rPr>
      </w:pPr>
      <w:r>
        <w:rPr>
          <w:rFonts w:ascii="Times New Roman" w:hAnsi="Times New Roman"/>
          <w:sz w:val="20"/>
        </w:rPr>
        <w:t xml:space="preserve">(c) The obtaining of any approval or other clearance from any state or federal governmental agency which the Administrator shall, in its absolute discretion, determine to be necessary or advisable; </w:t>
      </w:r>
    </w:p>
    <w:p>
      <w:pPr>
        <w:pStyle w:val="TextBody"/>
        <w:bidi w:val="0"/>
        <w:spacing w:before="240" w:after="0"/>
        <w:jc w:val="left"/>
        <w:rPr>
          <w:rFonts w:ascii="Times New Roman" w:hAnsi="Times New Roman"/>
          <w:sz w:val="20"/>
        </w:rPr>
      </w:pPr>
      <w:r>
        <w:rPr>
          <w:rFonts w:ascii="Times New Roman" w:hAnsi="Times New Roman"/>
          <w:sz w:val="20"/>
        </w:rPr>
        <w:t xml:space="preserve">(d) The receipt by the Company of full payment for such Shares, including payment of any applicable Tax Related Items, which may be in one or more of the forms of consideration permitted under Section 4.4 hereof; and </w:t>
      </w:r>
    </w:p>
    <w:p>
      <w:pPr>
        <w:pStyle w:val="TextBody"/>
        <w:bidi w:val="0"/>
        <w:spacing w:before="240" w:after="0"/>
        <w:jc w:val="left"/>
        <w:rPr>
          <w:rFonts w:ascii="Times New Roman" w:hAnsi="Times New Roman"/>
          <w:sz w:val="20"/>
        </w:rPr>
      </w:pPr>
      <w:r>
        <w:rPr>
          <w:rFonts w:ascii="Times New Roman" w:hAnsi="Times New Roman"/>
          <w:sz w:val="20"/>
        </w:rPr>
        <w:t xml:space="preserve">(e) The lapse of such reasonable period of time following the exercise of the Option as the Administrator may from time to time establish for reasons of administrative convenience.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Participants Representations</w:t>
      </w:r>
      <w:r>
        <w:rPr>
          <w:rFonts w:ascii="Times New Roman" w:hAnsi="Times New Roman"/>
          <w:sz w:val="20"/>
        </w:rPr>
        <w:t xml:space="preserve">. If the Shares issuable hereunder have not been registered under the Securities Act or any applicable state laws on an effective registration statement at the time of exercise, Participant shall, if required by the Company, concurrently with such exercise, make such written representations as are deemed necessary or appropriate by the Company or its counsel.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Rights as Stockholder</w:t>
      </w:r>
      <w:r>
        <w:rPr>
          <w:rFonts w:ascii="Times New Roman" w:hAnsi="Times New Roman"/>
          <w:sz w:val="20"/>
        </w:rPr>
        <w:t xml:space="preserve">. The holder of the Option shall not be, nor have any of the rights or privileges of, a stockholder of the Company, including, without limitation, voting rights and rights to dividends, in respect of any Shares purchasable upon the exercise of any part of the Option unless and until such Shares shall have been issued by the Company and held of record by such holder (as evidenced by the appropriate entry on the books of the Company or of a duly authorized transfer agent of the Company). No adjustment will be made for a dividend or other right for which the record date is prior to the date the Shares are issued, except as provided in Article IX of the Plan.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120" w:after="0"/>
        <w:jc w:val="center"/>
        <w:rPr>
          <w:rFonts w:ascii="Times New Roman" w:hAnsi="Times New Roman"/>
          <w:b/>
          <w:sz w:val="20"/>
        </w:rPr>
      </w:pPr>
      <w:r>
        <w:rPr>
          <w:rFonts w:ascii="Times New Roman" w:hAnsi="Times New Roman"/>
          <w:b/>
          <w:sz w:val="20"/>
        </w:rPr>
        <w:t xml:space="preserve">OTHER PROVISIONS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Administration</w:t>
      </w:r>
      <w:r>
        <w:rPr>
          <w:rFonts w:ascii="Times New Roman" w:hAnsi="Times New Roman"/>
          <w:sz w:val="20"/>
        </w:rPr>
        <w:t xml:space="preserve">.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Participant, the Company and all other interested persons. No member of the Committee or the Board shall be personally liable for any action, determination or interpretation made in good faith with respect to the Plan, this Agreement or the Option.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Whole Shares</w:t>
      </w:r>
      <w:r>
        <w:rPr>
          <w:rFonts w:ascii="Times New Roman" w:hAnsi="Times New Roman"/>
          <w:sz w:val="20"/>
        </w:rPr>
        <w:t xml:space="preserve">. The Option may only be exercised for whole Shares.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Transferability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Section 4.1 hereof, the Option may not be sold, pledged, assigned or transferred in any manner other than by will or the laws of descent and distribution or, subject to the consent of the Administrator, pursuant to a DRO, unless and until the Option has been exercised and the Shares underlying the Option have been issued, and all restrictions applicable to such Shares have lapsed. Neither the Option nor any interest or right therein shall be liable for the debts, contracts or engagements of Participant or his or her successors in interest or shall be subject to disposition by transfer, alienation, anticipation, pledge, hypothecation, encumbrance,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assignment or any other means whether such disposition be voluntary or involuntary or by operation of law by judgment, levy, attachment, garnishment or any other legal or equitable proceedings (including bankruptcy) unless and until the Option has been exercised, and any attempted disposition thereof prior to exercise shall be null and void and of no effect, except to the extent that such disposition is permitted by the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(b) During the lifetime of Participant, only Participant may exercise the Option (or any portion thereof), unless it has been disposed of pursuant to a DRO; after the death of Participant, any exercisable portion of the Option may, prior to the time when such portion becomes unexercisable under the Plan or this Agreement, be exercised by Participants personal representative or by any person empowered to do so under the deceased Participants will or under the then-applicable laws of descent and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other provision in this Agreement, Participant may, in the manner determined by the Administrator, designate a beneficiary to exercise the rights of Participant and to receive any distribution with respect to the Option upon Participants death. A beneficiary, legal guardian, legal representative, or other person claiming any rights pursuant to the Plan is subject to all terms and conditions of the Plan and this Agreement, except to the extent the Plan and this Agreement otherwise provide, and to any additional restrictions deemed necessary or appropriate by the Administrator. If Participant is married or a domestic partner in a domestic partnership qualified under Applicable Law and resides in a community property state, a designation of a person other than Participants spouse or domestic partner, as applicable, as his or her beneficiary with respect to more than 50% of Participants interest in the Option shall not be effective without the prior written consent of Participants spouse or domestic partner. If no beneficiary has been designated or survives Participant, payment shall be made to the person entitled thereto pursuant to Participants will or the laws of descent and distribution. Subject to the foregoing, a beneficiary designation may be changed or revoked by Participant at any time provided the change or revocation is filed with the Administrator prior to Participants death.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Tax Consultation</w:t>
      </w:r>
      <w:r>
        <w:rPr>
          <w:rFonts w:ascii="Times New Roman" w:hAnsi="Times New Roman"/>
          <w:sz w:val="20"/>
        </w:rPr>
        <w:t xml:space="preserve">. Participant understands that Participant may suffer adverse tax consequences as a result of the grant, vesting or exercise of the Option, or with the purchase or disposition of the Shares subject to the Option. Participant represents that Participant has consulted with any tax consultants Participant deems advisable in connection with the purchase or disposition of such Shares and that Participant is not relying on the Company for any tax advice.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Binding Agreement</w:t>
      </w:r>
      <w:r>
        <w:rPr>
          <w:rFonts w:ascii="Times New Roman" w:hAnsi="Times New Roman"/>
          <w:sz w:val="20"/>
        </w:rPr>
        <w:t xml:space="preserve">. Subject to the limitation on the transferability of the Option contained herein, this Agreement will be binding upon and inure to the benefit of the heirs, legatees, legal representatives, successors and assigns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Adjustments Upon Specified Events</w:t>
      </w:r>
      <w:r>
        <w:rPr>
          <w:rFonts w:ascii="Times New Roman" w:hAnsi="Times New Roman"/>
          <w:sz w:val="20"/>
        </w:rPr>
        <w:t xml:space="preserve">. The Administrator may accelerate the vesting of the Option in such circumstances as it, in its sole discretion, may determine. In addition, upon the occurrence of certain events relating to the Shares contemplated by Article IX of the Plan (including, without limitation, an extraordinary cash dividend on such Shares), the Administrator shall make such adjustments the Administrator deems appropriate in the number of Shares subject to the Option, the exercise price of the Option and the kind of securities that may be issued upon exercise of the Option. Participant acknowledges that the Option is subject to adjustment, modification and termination in certain events as provided in this Agreement and Article IX of the Plan.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Notices</w:t>
      </w:r>
      <w:r>
        <w:rPr>
          <w:rFonts w:ascii="Times New Roman" w:hAnsi="Times New Roman"/>
          <w:sz w:val="20"/>
        </w:rPr>
        <w:t xml:space="preserve">.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5.7, either party may hereafter designate a different address for notices to be given to that party. Any notice which is required to be given to Participant shall, if Participant is then deceased, be given to the person entitled to exercise his or her Option pursuant to Section 4.1 hereof by written notice under this Section 5.7. Any notice shall be deemed duly given when sent via email or when sent by certified mail (return receipt requested) and deposited (with postage prepaid) in a post office or branch post office regularly maintained by the United States Postal Service (or similar no-U.S. entity).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Titles</w:t>
      </w:r>
      <w:r>
        <w:rPr>
          <w:rFonts w:ascii="Times New Roman" w:hAnsi="Times New Roman"/>
          <w:sz w:val="20"/>
        </w:rPr>
        <w:t xml:space="preserve">. Titles are provided herein for convenience only and are not to serve as a basis for interpretation or construction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Governing Law</w:t>
      </w:r>
      <w:r>
        <w:rPr>
          <w:rFonts w:ascii="Times New Roman" w:hAnsi="Times New Roman"/>
          <w:sz w:val="20"/>
        </w:rPr>
        <w:t xml:space="preserve">. The laws of the State of Delaware shall govern the interpretation, validity, administration, enforcement and performance of the terms of this Agreement regardless of the law that might be applied under principles of conflicts of laws.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Conformity to Securities Laws</w:t>
      </w:r>
      <w:r>
        <w:rPr>
          <w:rFonts w:ascii="Times New Roman" w:hAnsi="Times New Roman"/>
          <w:sz w:val="20"/>
        </w:rPr>
        <w:t xml:space="preserve">. Participant acknowledges that the Plan and this Agreement are intended to conform to the extent necessary with all provisions of the Securities Act and the Exchange Act and any and all Applicable Law and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Applicable Law. To the extent permitted by applicable law, the Plan and this Agreement shall be deemed amended to the extent necessary to conform to such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Amendment, Suspension and Termination</w:t>
      </w:r>
      <w:r>
        <w:rPr>
          <w:rFonts w:ascii="Times New Roman" w:hAnsi="Times New Roman"/>
          <w:sz w:val="20"/>
        </w:rPr>
        <w:t xml:space="preserve">. To the extent permitted by the Plan, this Agreement may be wholly or partially amended or otherwise modified, suspended or terminated at any time or from time to time by the Administrator or the Board; </w:t>
      </w:r>
      <w:r>
        <w:rPr>
          <w:rFonts w:ascii="Times New Roman" w:hAnsi="Times New Roman"/>
          <w:i/>
          <w:sz w:val="20"/>
        </w:rPr>
        <w:t>provided, however,</w:t>
      </w:r>
      <w:r>
        <w:rPr>
          <w:rFonts w:ascii="Times New Roman" w:hAnsi="Times New Roman"/>
          <w:sz w:val="20"/>
        </w:rPr>
        <w:t xml:space="preserve"> that, except as may otherwise be provided by the Plan, no amendment, modification, suspension or termination of this Agreement shall adversely affect the Option in any material way without the prior written consent of Participant. </w:t>
      </w:r>
    </w:p>
    <w:p>
      <w:pPr>
        <w:pStyle w:val="TextBody"/>
        <w:bidi w:val="0"/>
        <w:spacing w:before="24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Successors and Assigns</w:t>
      </w:r>
      <w:r>
        <w:rPr>
          <w:rFonts w:ascii="Times New Roman" w:hAnsi="Times New Roman"/>
          <w:sz w:val="20"/>
        </w:rPr>
        <w:t xml:space="preserve">. The Company may assign any of its rights under this Agreement to single or multiple assignees, and this Agreement shall inure to the benefit of the successors and assigns of the Company. Subject to the restrictions on transfer herein set forth in Section 5.3 hereof, this Agreement shall be binding upon Participant and his or her heirs, executors, administrators,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5.13 </w:t>
      </w:r>
      <w:r>
        <w:rPr>
          <w:rFonts w:ascii="Times New Roman" w:hAnsi="Times New Roman"/>
          <w:sz w:val="20"/>
          <w:u w:val="single"/>
        </w:rPr>
        <w:t>Limitations Applicable to Section 16 Persons</w:t>
      </w:r>
      <w:r>
        <w:rPr>
          <w:rFonts w:ascii="Times New Roman" w:hAnsi="Times New Roman"/>
          <w:sz w:val="20"/>
        </w:rPr>
        <w:t xml:space="preserve">. Notwithstanding any other provision of the Plan or this Agreement, if Participant is subject to Section 16 of the Exchange Act,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 </w:t>
      </w:r>
    </w:p>
    <w:p>
      <w:pPr>
        <w:pStyle w:val="TextBody"/>
        <w:bidi w:val="0"/>
        <w:spacing w:before="240" w:after="0"/>
        <w:jc w:val="left"/>
        <w:rPr>
          <w:rFonts w:ascii="Times New Roman" w:hAnsi="Times New Roman"/>
          <w:sz w:val="20"/>
        </w:rPr>
      </w:pPr>
      <w:r>
        <w:rPr>
          <w:rFonts w:ascii="Times New Roman" w:hAnsi="Times New Roman"/>
          <w:sz w:val="20"/>
        </w:rPr>
        <w:t xml:space="preserve">5.14 </w:t>
      </w:r>
      <w:r>
        <w:rPr>
          <w:rFonts w:ascii="Times New Roman" w:hAnsi="Times New Roman"/>
          <w:sz w:val="20"/>
          <w:u w:val="single"/>
        </w:rPr>
        <w:t>Not a Contract of Service Relationship</w:t>
      </w:r>
      <w:r>
        <w:rPr>
          <w:rFonts w:ascii="Times New Roman" w:hAnsi="Times New Roman"/>
          <w:sz w:val="20"/>
        </w:rPr>
        <w:t xml:space="preserve">. Nothing in this Agreement or in the Plan shall confer upon Participant any right to continue to serve as an Employee or other service provider of the Company or any of its Subsidiaries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by Applicable Law or in a written agreement between the Company or a Subsidiary and Participant. </w:t>
      </w:r>
    </w:p>
    <w:p>
      <w:pPr>
        <w:pStyle w:val="TextBody"/>
        <w:bidi w:val="0"/>
        <w:spacing w:before="240" w:after="0"/>
        <w:jc w:val="left"/>
        <w:rPr>
          <w:rFonts w:ascii="Times New Roman" w:hAnsi="Times New Roman"/>
          <w:sz w:val="20"/>
        </w:rPr>
      </w:pPr>
      <w:r>
        <w:rPr>
          <w:rFonts w:ascii="Times New Roman" w:hAnsi="Times New Roman"/>
          <w:sz w:val="20"/>
        </w:rPr>
        <w:t xml:space="preserve">5.15 </w:t>
      </w:r>
      <w:r>
        <w:rPr>
          <w:rFonts w:ascii="Times New Roman" w:hAnsi="Times New Roman"/>
          <w:sz w:val="20"/>
          <w:u w:val="single"/>
        </w:rPr>
        <w:t>Entire Agreement</w:t>
      </w:r>
      <w:r>
        <w:rPr>
          <w:rFonts w:ascii="Times New Roman" w:hAnsi="Times New Roman"/>
          <w:sz w:val="20"/>
        </w:rPr>
        <w:t xml:space="preserve">. The Plan, the Grant Notice and this Agreement constitute the entire agreement of the parties and supersede in their entirety all prior undertakings and agreements of the Company and Participant with respect to the subject matter hereof, </w:t>
      </w:r>
      <w:r>
        <w:rPr>
          <w:rFonts w:ascii="Times New Roman" w:hAnsi="Times New Roman"/>
          <w:i/>
          <w:sz w:val="20"/>
        </w:rPr>
        <w:t>provided</w:t>
      </w:r>
      <w:r>
        <w:rPr>
          <w:rFonts w:ascii="Times New Roman" w:hAnsi="Times New Roman"/>
          <w:sz w:val="20"/>
        </w:rPr>
        <w:t xml:space="preserve"> that the Option shall be subject to any accelerated vesting provisions in any written agreement between Participant and the Company (or any Subsidiary who is the employer of Participant) or a Company plan pursuant to which Participant participates, in each case, in accordance with the terms therein. </w:t>
      </w:r>
    </w:p>
    <w:p>
      <w:pPr>
        <w:pStyle w:val="TextBody"/>
        <w:bidi w:val="0"/>
        <w:spacing w:before="240" w:after="0"/>
        <w:jc w:val="left"/>
        <w:rPr>
          <w:rFonts w:ascii="Times New Roman" w:hAnsi="Times New Roman"/>
          <w:sz w:val="20"/>
        </w:rPr>
      </w:pPr>
      <w:r>
        <w:rPr>
          <w:rFonts w:ascii="Times New Roman" w:hAnsi="Times New Roman"/>
          <w:sz w:val="20"/>
        </w:rPr>
        <w:t xml:space="preserve">5.16 </w:t>
      </w:r>
      <w:r>
        <w:rPr>
          <w:rFonts w:ascii="Times New Roman" w:hAnsi="Times New Roman"/>
          <w:sz w:val="20"/>
          <w:u w:val="single"/>
        </w:rPr>
        <w:t>Section 409A</w:t>
      </w:r>
      <w:r>
        <w:rPr>
          <w:rFonts w:ascii="Times New Roman" w:hAnsi="Times New Roman"/>
          <w:sz w:val="20"/>
        </w:rPr>
        <w:t>. This Option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However, notwithstanding any other provision of the Plan, the Grant Notice or this Agreement, if at any time the Administrator determines that the Option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either for the Option to be exempt from the application of Section 409A or to comply with the requirements of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5.17 </w:t>
      </w:r>
      <w:r>
        <w:rPr>
          <w:rFonts w:ascii="Times New Roman" w:hAnsi="Times New Roman"/>
          <w:sz w:val="20"/>
          <w:u w:val="single"/>
        </w:rPr>
        <w:t>Limitation on Participants Rights</w:t>
      </w:r>
      <w:r>
        <w:rPr>
          <w:rFonts w:ascii="Times New Roman" w:hAnsi="Times New Roman"/>
          <w:sz w:val="20"/>
        </w:rPr>
        <w:t xml:space="preserve">.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Option, and rights no greater than the right to receive the Shares as a general unsecured creditor with respect to options, as and when exercised pursuant to the terms hereof. </w:t>
      </w:r>
    </w:p>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p>
    <w:p>
      <w:pPr>
        <w:pStyle w:val="TextBody"/>
        <w:bidi w:val="0"/>
        <w:spacing w:before="0" w:after="0"/>
        <w:jc w:val="right"/>
        <w:rPr>
          <w:rFonts w:ascii="Times New Roman" w:hAnsi="Times New Roman"/>
          <w:b/>
          <w:sz w:val="20"/>
        </w:rPr>
      </w:pPr>
      <w:bookmarkStart w:id="12" w:name="d701282dex993c.htm"/>
      <w:bookmarkStart w:id="13" w:name="ksd701282dex993c"/>
      <w:bookmarkEnd w:id="12"/>
      <w:bookmarkEnd w:id="13"/>
      <w:r>
        <w:rPr>
          <w:rFonts w:ascii="Times New Roman" w:hAnsi="Times New Roman"/>
          <w:b/>
          <w:sz w:val="20"/>
        </w:rPr>
        <w:t xml:space="preserve">Exhibit 99.3(c)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BIOMEA FUSION, INC. </w:t>
      </w:r>
    </w:p>
    <w:p>
      <w:pPr>
        <w:pStyle w:val="TextBody"/>
        <w:bidi w:val="0"/>
        <w:spacing w:before="0" w:after="0"/>
        <w:jc w:val="center"/>
        <w:rPr>
          <w:rFonts w:ascii="Times New Roman" w:hAnsi="Times New Roman"/>
          <w:b/>
          <w:sz w:val="20"/>
        </w:rPr>
      </w:pPr>
      <w:r>
        <w:rPr>
          <w:rFonts w:ascii="Times New Roman" w:hAnsi="Times New Roman"/>
          <w:b/>
          <w:sz w:val="20"/>
        </w:rPr>
        <w:t xml:space="preserve">2023 INDUCEMENT PLAN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AWARD GRANT NOTICE </w:t>
      </w:r>
    </w:p>
    <w:p>
      <w:pPr>
        <w:pStyle w:val="TextBody"/>
        <w:bidi w:val="0"/>
        <w:spacing w:before="240" w:after="0"/>
        <w:jc w:val="left"/>
        <w:rPr>
          <w:rFonts w:ascii="Times New Roman" w:hAnsi="Times New Roman"/>
          <w:sz w:val="20"/>
        </w:rPr>
      </w:pPr>
      <w:r>
        <w:rPr>
          <w:rFonts w:ascii="Times New Roman" w:hAnsi="Times New Roman"/>
          <w:sz w:val="20"/>
        </w:rPr>
        <w:t>Biomea Fusion, Inc., a Delaware corporation, (the </w:t>
      </w:r>
      <w:r>
        <w:rPr>
          <w:rFonts w:ascii="Times New Roman" w:hAnsi="Times New Roman"/>
          <w:sz w:val="20"/>
          <w:u w:val="single"/>
        </w:rPr>
        <w:t>Company</w:t>
      </w:r>
      <w:r>
        <w:rPr>
          <w:rFonts w:ascii="Times New Roman" w:hAnsi="Times New Roman"/>
          <w:sz w:val="20"/>
        </w:rPr>
        <w:t>), pursuant to its 2023 Inducement Plan, as amended from time to time (the </w:t>
      </w:r>
      <w:r>
        <w:rPr>
          <w:rFonts w:ascii="Times New Roman" w:hAnsi="Times New Roman"/>
          <w:sz w:val="20"/>
          <w:u w:val="single"/>
        </w:rPr>
        <w:t>Plan</w:t>
      </w:r>
      <w:r>
        <w:rPr>
          <w:rFonts w:ascii="Times New Roman" w:hAnsi="Times New Roman"/>
          <w:sz w:val="20"/>
        </w:rPr>
        <w:t>), hereby grants to the holder listed below (</w:t>
      </w:r>
      <w:r>
        <w:rPr>
          <w:rFonts w:ascii="Times New Roman" w:hAnsi="Times New Roman"/>
          <w:sz w:val="20"/>
          <w:u w:val="single"/>
        </w:rPr>
        <w:t>Participant</w:t>
      </w:r>
      <w:r>
        <w:rPr>
          <w:rFonts w:ascii="Times New Roman" w:hAnsi="Times New Roman"/>
          <w:sz w:val="20"/>
        </w:rPr>
        <w:t>) the number of shares of the Companys Common Stock set forth below (the </w:t>
      </w:r>
      <w:r>
        <w:rPr>
          <w:rFonts w:ascii="Times New Roman" w:hAnsi="Times New Roman"/>
          <w:sz w:val="20"/>
          <w:u w:val="single"/>
        </w:rPr>
        <w:t>Shares</w:t>
      </w:r>
      <w:r>
        <w:rPr>
          <w:rFonts w:ascii="Times New Roman" w:hAnsi="Times New Roman"/>
          <w:sz w:val="20"/>
        </w:rPr>
        <w:t xml:space="preserve">) as an inducement pursuant to Rule 5635(c)(4) of the Marketplace Rules of NASDAQ Stock Market, Inc., subject to all of the terms and conditions as set forth herein and in the Restricted Stock Award Agreement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sz w:val="20"/>
          <w:u w:val="single"/>
        </w:rPr>
        <w:t>Agreement</w:t>
      </w:r>
      <w:r>
        <w:rPr>
          <w:rFonts w:ascii="Times New Roman" w:hAnsi="Times New Roman"/>
          <w:sz w:val="20"/>
        </w:rPr>
        <w:t>) (including without limitation the Restrictions on the Shares set forth in the Agreement) and the Plan, each of which is incorporated herein by reference. Unless otherwise defined herein, the terms defined in the Plan shall have the same defined meanings in this Restricted Stock Award Grant Notice (the </w:t>
      </w:r>
      <w:r>
        <w:rPr>
          <w:rFonts w:ascii="Times New Roman" w:hAnsi="Times New Roman"/>
          <w:sz w:val="20"/>
          <w:u w:val="single"/>
        </w:rPr>
        <w:t>Grant Notice</w:t>
      </w:r>
      <w:r>
        <w:rPr>
          <w:rFonts w:ascii="Times New Roman" w:hAnsi="Times New Roman"/>
          <w:sz w:val="20"/>
        </w:rPr>
        <w:t xml:space="preserve">) and the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95"/>
        <w:gridCol w:w="121"/>
        <w:gridCol w:w="6189"/>
      </w:tblGrid>
      <w:tr>
        <w:trPr/>
        <w:tc>
          <w:tcPr>
            <w:tcW w:w="38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189"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895" w:type="dxa"/>
            <w:tcBorders/>
            <w:vAlign w:val="center"/>
          </w:tcPr>
          <w:p>
            <w:pPr>
              <w:pStyle w:val="TableContents"/>
              <w:bidi w:val="0"/>
              <w:spacing w:before="0" w:after="283"/>
              <w:jc w:val="left"/>
              <w:rPr>
                <w:sz w:val="4"/>
                <w:szCs w:val="4"/>
              </w:rPr>
            </w:pPr>
            <w:r>
              <w:rPr>
                <w:sz w:val="4"/>
                <w:szCs w:val="4"/>
              </w:rPr>
            </w:r>
          </w:p>
        </w:tc>
        <w:tc>
          <w:tcPr>
            <w:tcW w:w="6310" w:type="dxa"/>
            <w:gridSpan w:val="2"/>
            <w:tcBorders/>
            <w:vAlign w:val="center"/>
          </w:tcPr>
          <w:p>
            <w:pPr>
              <w:pStyle w:val="TableContents"/>
              <w:bidi w:val="0"/>
              <w:spacing w:before="0" w:after="283"/>
              <w:jc w:val="left"/>
              <w:rPr>
                <w:sz w:val="4"/>
                <w:szCs w:val="4"/>
              </w:rPr>
            </w:pPr>
            <w:r>
              <w:rPr>
                <w:sz w:val="4"/>
                <w:szCs w:val="4"/>
              </w:rPr>
            </w:r>
          </w:p>
        </w:tc>
      </w:tr>
      <w:tr>
        <w:trPr/>
        <w:tc>
          <w:tcPr>
            <w:tcW w:w="3895" w:type="dxa"/>
            <w:tcBorders/>
          </w:tcPr>
          <w:p>
            <w:pPr>
              <w:pStyle w:val="TableContents"/>
              <w:bidi w:val="0"/>
              <w:spacing w:before="0" w:after="283"/>
              <w:jc w:val="left"/>
              <w:rPr>
                <w:b/>
              </w:rPr>
            </w:pPr>
            <w:r>
              <w:rPr>
                <w:b/>
              </w:rPr>
              <w:t>Participant:</w:t>
            </w:r>
          </w:p>
        </w:tc>
        <w:tc>
          <w:tcPr>
            <w:tcW w:w="121" w:type="dxa"/>
            <w:tcBorders/>
            <w:vAlign w:val="bottom"/>
          </w:tcPr>
          <w:p>
            <w:pPr>
              <w:pStyle w:val="TableContents"/>
              <w:bidi w:val="0"/>
              <w:spacing w:before="0" w:after="283"/>
              <w:jc w:val="left"/>
              <w:rPr/>
            </w:pPr>
            <w:r>
              <w:rPr/>
              <w:t>  </w:t>
            </w:r>
          </w:p>
        </w:tc>
        <w:tc>
          <w:tcPr>
            <w:tcW w:w="6189" w:type="dxa"/>
            <w:tcBorders/>
          </w:tcPr>
          <w:p>
            <w:pPr>
              <w:pStyle w:val="TableContents"/>
              <w:bidi w:val="0"/>
              <w:spacing w:before="0" w:after="283"/>
              <w:jc w:val="left"/>
              <w:rPr/>
            </w:pPr>
            <w:r>
              <w:rPr/>
              <w:t>[____________________________________]</w:t>
            </w:r>
          </w:p>
        </w:tc>
      </w:tr>
      <w:tr>
        <w:trPr>
          <w:trHeight w:val="120" w:hRule="atLeast"/>
        </w:trPr>
        <w:tc>
          <w:tcPr>
            <w:tcW w:w="3895" w:type="dxa"/>
            <w:tcBorders/>
            <w:vAlign w:val="center"/>
          </w:tcPr>
          <w:p>
            <w:pPr>
              <w:pStyle w:val="TableContents"/>
              <w:bidi w:val="0"/>
              <w:spacing w:before="0" w:after="283"/>
              <w:jc w:val="left"/>
              <w:rPr>
                <w:sz w:val="4"/>
                <w:szCs w:val="4"/>
              </w:rPr>
            </w:pPr>
            <w:r>
              <w:rPr>
                <w:sz w:val="4"/>
                <w:szCs w:val="4"/>
              </w:rPr>
            </w:r>
          </w:p>
        </w:tc>
        <w:tc>
          <w:tcPr>
            <w:tcW w:w="6310" w:type="dxa"/>
            <w:gridSpan w:val="2"/>
            <w:tcBorders/>
            <w:vAlign w:val="center"/>
          </w:tcPr>
          <w:p>
            <w:pPr>
              <w:pStyle w:val="TableContents"/>
              <w:bidi w:val="0"/>
              <w:spacing w:before="0" w:after="283"/>
              <w:jc w:val="left"/>
              <w:rPr>
                <w:sz w:val="4"/>
                <w:szCs w:val="4"/>
              </w:rPr>
            </w:pPr>
            <w:r>
              <w:rPr>
                <w:sz w:val="4"/>
                <w:szCs w:val="4"/>
              </w:rPr>
            </w:r>
          </w:p>
        </w:tc>
      </w:tr>
      <w:tr>
        <w:trPr/>
        <w:tc>
          <w:tcPr>
            <w:tcW w:w="3895" w:type="dxa"/>
            <w:tcBorders/>
          </w:tcPr>
          <w:p>
            <w:pPr>
              <w:pStyle w:val="TableContents"/>
              <w:bidi w:val="0"/>
              <w:spacing w:before="0" w:after="283"/>
              <w:jc w:val="left"/>
              <w:rPr>
                <w:b/>
              </w:rPr>
            </w:pPr>
            <w:r>
              <w:rPr>
                <w:b/>
              </w:rPr>
              <w:t>Grant Date:</w:t>
            </w:r>
          </w:p>
        </w:tc>
        <w:tc>
          <w:tcPr>
            <w:tcW w:w="121" w:type="dxa"/>
            <w:tcBorders/>
            <w:vAlign w:val="bottom"/>
          </w:tcPr>
          <w:p>
            <w:pPr>
              <w:pStyle w:val="TableContents"/>
              <w:bidi w:val="0"/>
              <w:spacing w:before="0" w:after="283"/>
              <w:jc w:val="left"/>
              <w:rPr/>
            </w:pPr>
            <w:r>
              <w:rPr/>
              <w:t>  </w:t>
            </w:r>
          </w:p>
        </w:tc>
        <w:tc>
          <w:tcPr>
            <w:tcW w:w="6189" w:type="dxa"/>
            <w:tcBorders/>
          </w:tcPr>
          <w:p>
            <w:pPr>
              <w:pStyle w:val="TableContents"/>
              <w:bidi w:val="0"/>
              <w:spacing w:before="0" w:after="283"/>
              <w:jc w:val="left"/>
              <w:rPr/>
            </w:pPr>
            <w:r>
              <w:rPr/>
              <w:t>[____________________________________]</w:t>
            </w:r>
          </w:p>
        </w:tc>
      </w:tr>
      <w:tr>
        <w:trPr>
          <w:trHeight w:val="120" w:hRule="atLeast"/>
        </w:trPr>
        <w:tc>
          <w:tcPr>
            <w:tcW w:w="3895" w:type="dxa"/>
            <w:tcBorders/>
            <w:vAlign w:val="center"/>
          </w:tcPr>
          <w:p>
            <w:pPr>
              <w:pStyle w:val="TableContents"/>
              <w:bidi w:val="0"/>
              <w:spacing w:before="0" w:after="283"/>
              <w:jc w:val="left"/>
              <w:rPr>
                <w:sz w:val="4"/>
                <w:szCs w:val="4"/>
              </w:rPr>
            </w:pPr>
            <w:r>
              <w:rPr>
                <w:sz w:val="4"/>
                <w:szCs w:val="4"/>
              </w:rPr>
            </w:r>
          </w:p>
        </w:tc>
        <w:tc>
          <w:tcPr>
            <w:tcW w:w="6310" w:type="dxa"/>
            <w:gridSpan w:val="2"/>
            <w:tcBorders/>
            <w:vAlign w:val="center"/>
          </w:tcPr>
          <w:p>
            <w:pPr>
              <w:pStyle w:val="TableContents"/>
              <w:bidi w:val="0"/>
              <w:spacing w:before="0" w:after="283"/>
              <w:jc w:val="left"/>
              <w:rPr>
                <w:sz w:val="4"/>
                <w:szCs w:val="4"/>
              </w:rPr>
            </w:pPr>
            <w:r>
              <w:rPr>
                <w:sz w:val="4"/>
                <w:szCs w:val="4"/>
              </w:rPr>
            </w:r>
          </w:p>
        </w:tc>
      </w:tr>
      <w:tr>
        <w:trPr/>
        <w:tc>
          <w:tcPr>
            <w:tcW w:w="3895" w:type="dxa"/>
            <w:tcBorders/>
          </w:tcPr>
          <w:p>
            <w:pPr>
              <w:pStyle w:val="TableContents"/>
              <w:bidi w:val="0"/>
              <w:spacing w:before="0" w:after="283"/>
              <w:jc w:val="left"/>
              <w:rPr>
                <w:b/>
              </w:rPr>
            </w:pPr>
            <w:r>
              <w:rPr>
                <w:b/>
              </w:rPr>
              <w:t>Total Number of Shares of Restricted Stock:</w:t>
            </w:r>
          </w:p>
        </w:tc>
        <w:tc>
          <w:tcPr>
            <w:tcW w:w="121" w:type="dxa"/>
            <w:tcBorders/>
            <w:vAlign w:val="bottom"/>
          </w:tcPr>
          <w:p>
            <w:pPr>
              <w:pStyle w:val="TableContents"/>
              <w:bidi w:val="0"/>
              <w:spacing w:before="0" w:after="283"/>
              <w:jc w:val="left"/>
              <w:rPr/>
            </w:pPr>
            <w:r>
              <w:rPr/>
              <w:t>  </w:t>
            </w:r>
          </w:p>
        </w:tc>
        <w:tc>
          <w:tcPr>
            <w:tcW w:w="6189" w:type="dxa"/>
            <w:tcBorders/>
          </w:tcPr>
          <w:p>
            <w:pPr>
              <w:pStyle w:val="TableContents"/>
              <w:bidi w:val="0"/>
              <w:spacing w:before="0" w:after="283"/>
              <w:jc w:val="left"/>
              <w:rPr/>
            </w:pPr>
            <w:r>
              <w:rPr/>
              <w:t>[_________________]</w:t>
            </w:r>
          </w:p>
        </w:tc>
      </w:tr>
      <w:tr>
        <w:trPr>
          <w:trHeight w:val="120" w:hRule="atLeast"/>
        </w:trPr>
        <w:tc>
          <w:tcPr>
            <w:tcW w:w="3895" w:type="dxa"/>
            <w:tcBorders/>
            <w:vAlign w:val="center"/>
          </w:tcPr>
          <w:p>
            <w:pPr>
              <w:pStyle w:val="TableContents"/>
              <w:bidi w:val="0"/>
              <w:spacing w:before="0" w:after="283"/>
              <w:jc w:val="left"/>
              <w:rPr>
                <w:sz w:val="4"/>
                <w:szCs w:val="4"/>
              </w:rPr>
            </w:pPr>
            <w:r>
              <w:rPr>
                <w:sz w:val="4"/>
                <w:szCs w:val="4"/>
              </w:rPr>
            </w:r>
          </w:p>
        </w:tc>
        <w:tc>
          <w:tcPr>
            <w:tcW w:w="6310" w:type="dxa"/>
            <w:gridSpan w:val="2"/>
            <w:tcBorders/>
            <w:vAlign w:val="center"/>
          </w:tcPr>
          <w:p>
            <w:pPr>
              <w:pStyle w:val="TableContents"/>
              <w:bidi w:val="0"/>
              <w:spacing w:before="0" w:after="283"/>
              <w:jc w:val="left"/>
              <w:rPr>
                <w:sz w:val="4"/>
                <w:szCs w:val="4"/>
              </w:rPr>
            </w:pPr>
            <w:r>
              <w:rPr>
                <w:sz w:val="4"/>
                <w:szCs w:val="4"/>
              </w:rPr>
            </w:r>
          </w:p>
        </w:tc>
      </w:tr>
      <w:tr>
        <w:trPr/>
        <w:tc>
          <w:tcPr>
            <w:tcW w:w="3895" w:type="dxa"/>
            <w:tcBorders/>
          </w:tcPr>
          <w:p>
            <w:pPr>
              <w:pStyle w:val="TableContents"/>
              <w:bidi w:val="0"/>
              <w:spacing w:before="0" w:after="283"/>
              <w:jc w:val="left"/>
              <w:rPr>
                <w:b/>
              </w:rPr>
            </w:pPr>
            <w:r>
              <w:rPr>
                <w:b/>
              </w:rPr>
              <w:t>Vesting Commencement Date:</w:t>
            </w:r>
          </w:p>
        </w:tc>
        <w:tc>
          <w:tcPr>
            <w:tcW w:w="121" w:type="dxa"/>
            <w:tcBorders/>
            <w:vAlign w:val="bottom"/>
          </w:tcPr>
          <w:p>
            <w:pPr>
              <w:pStyle w:val="TableContents"/>
              <w:bidi w:val="0"/>
              <w:spacing w:before="0" w:after="283"/>
              <w:jc w:val="left"/>
              <w:rPr/>
            </w:pPr>
            <w:r>
              <w:rPr/>
              <w:t>  </w:t>
            </w:r>
          </w:p>
        </w:tc>
        <w:tc>
          <w:tcPr>
            <w:tcW w:w="6189" w:type="dxa"/>
            <w:tcBorders/>
          </w:tcPr>
          <w:p>
            <w:pPr>
              <w:pStyle w:val="TableContents"/>
              <w:bidi w:val="0"/>
              <w:spacing w:before="0" w:after="283"/>
              <w:jc w:val="left"/>
              <w:rPr/>
            </w:pPr>
            <w:r>
              <w:rPr/>
              <w:t>[_________________]</w:t>
            </w:r>
          </w:p>
        </w:tc>
      </w:tr>
      <w:tr>
        <w:trPr>
          <w:trHeight w:val="120" w:hRule="atLeast"/>
        </w:trPr>
        <w:tc>
          <w:tcPr>
            <w:tcW w:w="3895" w:type="dxa"/>
            <w:tcBorders/>
            <w:vAlign w:val="center"/>
          </w:tcPr>
          <w:p>
            <w:pPr>
              <w:pStyle w:val="TableContents"/>
              <w:bidi w:val="0"/>
              <w:spacing w:before="0" w:after="283"/>
              <w:jc w:val="left"/>
              <w:rPr>
                <w:sz w:val="4"/>
                <w:szCs w:val="4"/>
              </w:rPr>
            </w:pPr>
            <w:r>
              <w:rPr>
                <w:sz w:val="4"/>
                <w:szCs w:val="4"/>
              </w:rPr>
            </w:r>
          </w:p>
        </w:tc>
        <w:tc>
          <w:tcPr>
            <w:tcW w:w="6310" w:type="dxa"/>
            <w:gridSpan w:val="2"/>
            <w:tcBorders/>
            <w:vAlign w:val="center"/>
          </w:tcPr>
          <w:p>
            <w:pPr>
              <w:pStyle w:val="TableContents"/>
              <w:bidi w:val="0"/>
              <w:spacing w:before="0" w:after="283"/>
              <w:jc w:val="left"/>
              <w:rPr>
                <w:sz w:val="4"/>
                <w:szCs w:val="4"/>
              </w:rPr>
            </w:pPr>
            <w:r>
              <w:rPr>
                <w:sz w:val="4"/>
                <w:szCs w:val="4"/>
              </w:rPr>
            </w:r>
          </w:p>
        </w:tc>
      </w:tr>
      <w:tr>
        <w:trPr/>
        <w:tc>
          <w:tcPr>
            <w:tcW w:w="3895" w:type="dxa"/>
            <w:tcBorders/>
          </w:tcPr>
          <w:p>
            <w:pPr>
              <w:pStyle w:val="TableContents"/>
              <w:bidi w:val="0"/>
              <w:spacing w:before="0" w:after="283"/>
              <w:jc w:val="left"/>
              <w:rPr>
                <w:b/>
              </w:rPr>
            </w:pPr>
            <w:r>
              <w:rPr>
                <w:b/>
              </w:rPr>
              <w:t>Vesting Schedule:</w:t>
            </w:r>
          </w:p>
        </w:tc>
        <w:tc>
          <w:tcPr>
            <w:tcW w:w="121" w:type="dxa"/>
            <w:tcBorders/>
            <w:vAlign w:val="bottom"/>
          </w:tcPr>
          <w:p>
            <w:pPr>
              <w:pStyle w:val="TableContents"/>
              <w:bidi w:val="0"/>
              <w:spacing w:before="0" w:after="283"/>
              <w:jc w:val="left"/>
              <w:rPr/>
            </w:pPr>
            <w:r>
              <w:rPr/>
              <w:t>  </w:t>
            </w:r>
          </w:p>
        </w:tc>
        <w:tc>
          <w:tcPr>
            <w:tcW w:w="6189" w:type="dxa"/>
            <w:tcBorders/>
          </w:tcPr>
          <w:p>
            <w:pPr>
              <w:pStyle w:val="TableContents"/>
              <w:bidi w:val="0"/>
              <w:spacing w:before="0" w:after="283"/>
              <w:jc w:val="left"/>
              <w:rPr/>
            </w:pPr>
            <w:r>
              <w:rPr/>
              <w:t>[_________________]</w:t>
            </w:r>
          </w:p>
        </w:tc>
      </w:tr>
      <w:tr>
        <w:trPr>
          <w:trHeight w:val="120" w:hRule="atLeast"/>
        </w:trPr>
        <w:tc>
          <w:tcPr>
            <w:tcW w:w="3895" w:type="dxa"/>
            <w:tcBorders/>
            <w:vAlign w:val="center"/>
          </w:tcPr>
          <w:p>
            <w:pPr>
              <w:pStyle w:val="TableContents"/>
              <w:bidi w:val="0"/>
              <w:spacing w:before="0" w:after="283"/>
              <w:jc w:val="left"/>
              <w:rPr>
                <w:sz w:val="4"/>
                <w:szCs w:val="4"/>
              </w:rPr>
            </w:pPr>
            <w:r>
              <w:rPr>
                <w:sz w:val="4"/>
                <w:szCs w:val="4"/>
              </w:rPr>
            </w:r>
          </w:p>
        </w:tc>
        <w:tc>
          <w:tcPr>
            <w:tcW w:w="6310" w:type="dxa"/>
            <w:gridSpan w:val="2"/>
            <w:tcBorders/>
            <w:vAlign w:val="center"/>
          </w:tcPr>
          <w:p>
            <w:pPr>
              <w:pStyle w:val="TableContents"/>
              <w:bidi w:val="0"/>
              <w:spacing w:before="0" w:after="283"/>
              <w:jc w:val="left"/>
              <w:rPr>
                <w:sz w:val="4"/>
                <w:szCs w:val="4"/>
              </w:rPr>
            </w:pPr>
            <w:r>
              <w:rPr>
                <w:sz w:val="4"/>
                <w:szCs w:val="4"/>
              </w:rPr>
            </w:r>
          </w:p>
        </w:tc>
      </w:tr>
      <w:tr>
        <w:trPr/>
        <w:tc>
          <w:tcPr>
            <w:tcW w:w="3895" w:type="dxa"/>
            <w:tcBorders/>
          </w:tcPr>
          <w:p>
            <w:pPr>
              <w:pStyle w:val="TableContents"/>
              <w:bidi w:val="0"/>
              <w:spacing w:before="0" w:after="283"/>
              <w:jc w:val="left"/>
              <w:rPr>
                <w:b/>
              </w:rPr>
            </w:pPr>
            <w:r>
              <w:rPr>
                <w:b/>
              </w:rPr>
              <w:t>Termination:</w:t>
            </w:r>
          </w:p>
        </w:tc>
        <w:tc>
          <w:tcPr>
            <w:tcW w:w="121" w:type="dxa"/>
            <w:tcBorders/>
            <w:vAlign w:val="bottom"/>
          </w:tcPr>
          <w:p>
            <w:pPr>
              <w:pStyle w:val="TableContents"/>
              <w:bidi w:val="0"/>
              <w:spacing w:before="0" w:after="283"/>
              <w:jc w:val="left"/>
              <w:rPr/>
            </w:pPr>
            <w:r>
              <w:rPr/>
              <w:t>  </w:t>
            </w:r>
          </w:p>
        </w:tc>
        <w:tc>
          <w:tcPr>
            <w:tcW w:w="6189" w:type="dxa"/>
            <w:tcBorders/>
          </w:tcPr>
          <w:p>
            <w:pPr>
              <w:pStyle w:val="TableContents"/>
              <w:bidi w:val="0"/>
              <w:spacing w:before="0" w:after="283"/>
              <w:jc w:val="left"/>
              <w:rPr/>
            </w:pPr>
            <w:r>
              <w:rPr/>
              <w:t>If Participant experiences a Termination of Service, any Shares that have not become vested on or prior to the date of such Termination of Service will thereupon be automatically forfeited by Participant, and Participants rights in such Shares shall thereupon lapse and expire.</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his or her signature and the Companys signature below, Participant agrees to be bound by the terms and conditions of the Plan, the Agreement and this Grant Notice. Participant has reviewed the Agreement, the Plan and this Grant Notice in their entirety, has had an opportunity to obtain the advice of counsel prior to executing this Grant Notice and fully understands all provisions of this Grant Notice, the Agreement and the Plan. Participant hereby agrees to accept as binding, conclusive and final all decisions or interpretations of the Administrator upon any questions arising under the Plan, this Grant Notice or the Agreement. In addition, by signing below, Participant also agrees that the Company, in its sole discretion, may satisfy any Tax Related Items in accordance with Section 2.2(c) of the Agreement by (i) withholding shares of Common Stock otherwise issuable to Participant upon vesting of the Shares, (ii) instructing a broker on Participants behalf to sell Shares upon vesting and submit the proceeds of such sale to the Company, or (iii) using any other method permitted by Section 2.2(c) of the Agreement or the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52"/>
        <w:gridCol w:w="117"/>
        <w:gridCol w:w="3203"/>
        <w:gridCol w:w="117"/>
        <w:gridCol w:w="354"/>
        <w:gridCol w:w="117"/>
        <w:gridCol w:w="1595"/>
        <w:gridCol w:w="130"/>
        <w:gridCol w:w="3220"/>
      </w:tblGrid>
      <w:tr>
        <w:trPr/>
        <w:tc>
          <w:tcPr>
            <w:tcW w:w="1352"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3220" w:type="dxa"/>
            <w:tcBorders/>
            <w:vAlign w:val="center"/>
          </w:tcPr>
          <w:p>
            <w:pPr>
              <w:pStyle w:val="TableContents"/>
              <w:bidi w:val="0"/>
              <w:spacing w:before="0" w:after="283"/>
              <w:jc w:val="left"/>
              <w:rPr>
                <w:sz w:val="4"/>
                <w:szCs w:val="4"/>
              </w:rPr>
            </w:pPr>
            <w:r>
              <w:rPr>
                <w:sz w:val="4"/>
                <w:szCs w:val="4"/>
              </w:rPr>
            </w:r>
          </w:p>
        </w:tc>
      </w:tr>
      <w:tr>
        <w:trPr/>
        <w:tc>
          <w:tcPr>
            <w:tcW w:w="4672" w:type="dxa"/>
            <w:gridSpan w:val="3"/>
            <w:tcBorders/>
            <w:vAlign w:val="bottom"/>
          </w:tcPr>
          <w:p>
            <w:pPr>
              <w:pStyle w:val="TableContents"/>
              <w:bidi w:val="0"/>
              <w:spacing w:before="0" w:after="283"/>
              <w:jc w:val="left"/>
              <w:rPr>
                <w:b/>
              </w:rPr>
            </w:pPr>
            <w:r>
              <w:rPr>
                <w:b/>
              </w:rPr>
              <w:t>BIOMEA FUSION, INC.:</w:t>
            </w:r>
          </w:p>
        </w:tc>
        <w:tc>
          <w:tcPr>
            <w:tcW w:w="117"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4945" w:type="dxa"/>
            <w:gridSpan w:val="3"/>
            <w:tcBorders/>
            <w:vAlign w:val="bottom"/>
          </w:tcPr>
          <w:p>
            <w:pPr>
              <w:pStyle w:val="TableContents"/>
              <w:bidi w:val="0"/>
              <w:spacing w:before="0" w:after="283"/>
              <w:jc w:val="left"/>
              <w:rPr>
                <w:b/>
              </w:rPr>
            </w:pPr>
            <w:r>
              <w:rPr>
                <w:b/>
              </w:rPr>
              <w:t>PARTICIPANT:</w:t>
            </w:r>
          </w:p>
        </w:tc>
      </w:tr>
      <w:tr>
        <w:trPr>
          <w:trHeight w:val="240" w:hRule="atLeast"/>
        </w:trPr>
        <w:tc>
          <w:tcPr>
            <w:tcW w:w="1352" w:type="dxa"/>
            <w:tcBorders/>
            <w:vAlign w:val="center"/>
          </w:tcPr>
          <w:p>
            <w:pPr>
              <w:pStyle w:val="TableContents"/>
              <w:bidi w:val="0"/>
              <w:spacing w:before="0" w:after="283"/>
              <w:jc w:val="left"/>
              <w:rPr>
                <w:sz w:val="4"/>
                <w:szCs w:val="4"/>
              </w:rPr>
            </w:pPr>
            <w:r>
              <w:rPr>
                <w:sz w:val="4"/>
                <w:szCs w:val="4"/>
              </w:rPr>
            </w:r>
          </w:p>
        </w:tc>
        <w:tc>
          <w:tcPr>
            <w:tcW w:w="3320"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1712" w:type="dxa"/>
            <w:gridSpan w:val="2"/>
            <w:tcBorders/>
            <w:vAlign w:val="center"/>
          </w:tcPr>
          <w:p>
            <w:pPr>
              <w:pStyle w:val="TableContents"/>
              <w:bidi w:val="0"/>
              <w:spacing w:before="0" w:after="283"/>
              <w:jc w:val="left"/>
              <w:rPr>
                <w:sz w:val="4"/>
                <w:szCs w:val="4"/>
              </w:rPr>
            </w:pPr>
            <w:r>
              <w:rPr>
                <w:sz w:val="4"/>
                <w:szCs w:val="4"/>
              </w:rPr>
            </w:r>
          </w:p>
        </w:tc>
        <w:tc>
          <w:tcPr>
            <w:tcW w:w="3350" w:type="dxa"/>
            <w:gridSpan w:val="2"/>
            <w:tcBorders/>
            <w:vAlign w:val="center"/>
          </w:tcPr>
          <w:p>
            <w:pPr>
              <w:pStyle w:val="TableContents"/>
              <w:bidi w:val="0"/>
              <w:spacing w:before="0" w:after="283"/>
              <w:jc w:val="left"/>
              <w:rPr>
                <w:sz w:val="4"/>
                <w:szCs w:val="4"/>
              </w:rPr>
            </w:pPr>
            <w:r>
              <w:rPr>
                <w:sz w:val="4"/>
                <w:szCs w:val="4"/>
              </w:rPr>
            </w:r>
          </w:p>
        </w:tc>
      </w:tr>
      <w:tr>
        <w:trPr/>
        <w:tc>
          <w:tcPr>
            <w:tcW w:w="1352" w:type="dxa"/>
            <w:tcBorders/>
            <w:vAlign w:val="bottom"/>
          </w:tcPr>
          <w:p>
            <w:pPr>
              <w:pStyle w:val="TableContents"/>
              <w:bidi w:val="0"/>
              <w:spacing w:before="0" w:after="283"/>
              <w:jc w:val="left"/>
              <w:rPr/>
            </w:pPr>
            <w:r>
              <w:rPr/>
              <w:t>By:</w:t>
            </w:r>
          </w:p>
        </w:tc>
        <w:tc>
          <w:tcPr>
            <w:tcW w:w="117" w:type="dxa"/>
            <w:tcBorders>
              <w:bottom w:val="single" w:sz="2" w:space="0" w:color="000000"/>
            </w:tcBorders>
            <w:tcMar>
              <w:bottom w:w="28" w:type="dxa"/>
            </w:tcMar>
            <w:vAlign w:val="bottom"/>
          </w:tcPr>
          <w:p>
            <w:pPr>
              <w:pStyle w:val="TableContents"/>
              <w:bidi w:val="0"/>
              <w:spacing w:before="0" w:after="283"/>
              <w:jc w:val="left"/>
              <w:rPr/>
            </w:pPr>
            <w:r>
              <w:rPr/>
              <w:t> </w:t>
            </w:r>
          </w:p>
        </w:tc>
        <w:tc>
          <w:tcPr>
            <w:tcW w:w="3203" w:type="dxa"/>
            <w:tcBorders>
              <w:bottom w:val="single" w:sz="2" w:space="0" w:color="000000"/>
            </w:tcBorders>
            <w:tcMar>
              <w:bottom w:w="28" w:type="dxa"/>
            </w:tcMar>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left"/>
              <w:rPr/>
            </w:pPr>
            <w:r>
              <w:rPr/>
              <w:t>By:</w:t>
            </w:r>
          </w:p>
        </w:tc>
        <w:tc>
          <w:tcPr>
            <w:tcW w:w="130" w:type="dxa"/>
            <w:tcBorders>
              <w:bottom w:val="single" w:sz="2" w:space="0" w:color="000000"/>
            </w:tcBorders>
            <w:tcMar>
              <w:bottom w:w="28" w:type="dxa"/>
            </w:tcMar>
            <w:vAlign w:val="bottom"/>
          </w:tcPr>
          <w:p>
            <w:pPr>
              <w:pStyle w:val="TableContents"/>
              <w:bidi w:val="0"/>
              <w:spacing w:before="0" w:after="283"/>
              <w:jc w:val="left"/>
              <w:rPr/>
            </w:pPr>
            <w:r>
              <w:rPr/>
              <w:t> </w:t>
            </w:r>
          </w:p>
        </w:tc>
        <w:tc>
          <w:tcPr>
            <w:tcW w:w="3220"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352" w:type="dxa"/>
            <w:tcBorders/>
            <w:vAlign w:val="bottom"/>
          </w:tcPr>
          <w:p>
            <w:pPr>
              <w:pStyle w:val="TableContents"/>
              <w:bidi w:val="0"/>
              <w:spacing w:before="0" w:after="283"/>
              <w:jc w:val="left"/>
              <w:rPr/>
            </w:pPr>
            <w:r>
              <w:rPr/>
              <w:t>Print Name:</w:t>
            </w:r>
          </w:p>
        </w:tc>
        <w:tc>
          <w:tcPr>
            <w:tcW w:w="117" w:type="dxa"/>
            <w:tcBorders>
              <w:bottom w:val="single" w:sz="2" w:space="0" w:color="000000"/>
            </w:tcBorders>
            <w:tcMar>
              <w:bottom w:w="28" w:type="dxa"/>
            </w:tcMar>
            <w:vAlign w:val="bottom"/>
          </w:tcPr>
          <w:p>
            <w:pPr>
              <w:pStyle w:val="TableContents"/>
              <w:bidi w:val="0"/>
              <w:spacing w:before="0" w:after="283"/>
              <w:jc w:val="left"/>
              <w:rPr/>
            </w:pPr>
            <w:r>
              <w:rPr/>
              <w:t> </w:t>
            </w:r>
          </w:p>
        </w:tc>
        <w:tc>
          <w:tcPr>
            <w:tcW w:w="3203" w:type="dxa"/>
            <w:tcBorders>
              <w:bottom w:val="single" w:sz="2" w:space="0" w:color="000000"/>
            </w:tcBorders>
            <w:tcMar>
              <w:bottom w:w="28" w:type="dxa"/>
            </w:tcMar>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left"/>
              <w:rPr/>
            </w:pPr>
            <w:r>
              <w:rPr/>
              <w:t>Print Name:</w:t>
            </w:r>
          </w:p>
        </w:tc>
        <w:tc>
          <w:tcPr>
            <w:tcW w:w="130" w:type="dxa"/>
            <w:tcBorders>
              <w:bottom w:val="single" w:sz="2" w:space="0" w:color="000000"/>
            </w:tcBorders>
            <w:tcMar>
              <w:bottom w:w="28" w:type="dxa"/>
            </w:tcMar>
            <w:vAlign w:val="bottom"/>
          </w:tcPr>
          <w:p>
            <w:pPr>
              <w:pStyle w:val="TableContents"/>
              <w:bidi w:val="0"/>
              <w:spacing w:before="0" w:after="283"/>
              <w:jc w:val="left"/>
              <w:rPr/>
            </w:pPr>
            <w:r>
              <w:rPr/>
              <w:t> </w:t>
            </w:r>
          </w:p>
        </w:tc>
        <w:tc>
          <w:tcPr>
            <w:tcW w:w="3220"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352" w:type="dxa"/>
            <w:tcBorders/>
          </w:tcPr>
          <w:p>
            <w:pPr>
              <w:pStyle w:val="TableContents"/>
              <w:bidi w:val="0"/>
              <w:spacing w:before="0" w:after="283"/>
              <w:jc w:val="left"/>
              <w:rPr/>
            </w:pPr>
            <w:r>
              <w:rPr/>
              <w:t>Title:</w:t>
            </w:r>
          </w:p>
        </w:tc>
        <w:tc>
          <w:tcPr>
            <w:tcW w:w="117" w:type="dxa"/>
            <w:tcBorders>
              <w:bottom w:val="single" w:sz="2" w:space="0" w:color="000000"/>
            </w:tcBorders>
            <w:tcMar>
              <w:bottom w:w="28" w:type="dxa"/>
            </w:tcMar>
            <w:vAlign w:val="bottom"/>
          </w:tcPr>
          <w:p>
            <w:pPr>
              <w:pStyle w:val="TableContents"/>
              <w:bidi w:val="0"/>
              <w:spacing w:before="0" w:after="283"/>
              <w:jc w:val="left"/>
              <w:rPr/>
            </w:pPr>
            <w:r>
              <w:rPr/>
              <w:t> </w:t>
            </w:r>
          </w:p>
        </w:tc>
        <w:tc>
          <w:tcPr>
            <w:tcW w:w="3203" w:type="dxa"/>
            <w:tcBorders>
              <w:bottom w:val="single" w:sz="2" w:space="0" w:color="000000"/>
            </w:tcBorders>
            <w:tcMar>
              <w:bottom w:w="28" w:type="dxa"/>
            </w:tcMa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354"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3220" w:type="dxa"/>
            <w:tcBorders/>
            <w:vAlign w:val="bottom"/>
          </w:tcPr>
          <w:p>
            <w:pPr>
              <w:pStyle w:val="TableContents"/>
              <w:bidi w:val="0"/>
              <w:spacing w:before="0" w:after="283"/>
              <w:jc w:val="left"/>
              <w:rPr>
                <w:sz w:val="4"/>
                <w:szCs w:val="4"/>
              </w:rPr>
            </w:pPr>
            <w:r>
              <w:rPr>
                <w:sz w:val="4"/>
                <w:szCs w:val="4"/>
              </w:rPr>
            </w:r>
          </w:p>
        </w:tc>
      </w:tr>
      <w:tr>
        <w:trPr/>
        <w:tc>
          <w:tcPr>
            <w:tcW w:w="1352" w:type="dxa"/>
            <w:tcBorders/>
            <w:vAlign w:val="bottom"/>
          </w:tcPr>
          <w:p>
            <w:pPr>
              <w:pStyle w:val="TableContents"/>
              <w:bidi w:val="0"/>
              <w:spacing w:before="0" w:after="283"/>
              <w:jc w:val="left"/>
              <w:rPr/>
            </w:pPr>
            <w:r>
              <w:rPr/>
              <w:t>Address:</w:t>
            </w:r>
          </w:p>
        </w:tc>
        <w:tc>
          <w:tcPr>
            <w:tcW w:w="117" w:type="dxa"/>
            <w:tcBorders>
              <w:bottom w:val="single" w:sz="2" w:space="0" w:color="000000"/>
            </w:tcBorders>
            <w:tcMar>
              <w:bottom w:w="28" w:type="dxa"/>
            </w:tcMar>
            <w:vAlign w:val="bottom"/>
          </w:tcPr>
          <w:p>
            <w:pPr>
              <w:pStyle w:val="TableContents"/>
              <w:bidi w:val="0"/>
              <w:spacing w:before="0" w:after="283"/>
              <w:jc w:val="left"/>
              <w:rPr/>
            </w:pPr>
            <w:r>
              <w:rPr/>
              <w:t> </w:t>
            </w:r>
          </w:p>
        </w:tc>
        <w:tc>
          <w:tcPr>
            <w:tcW w:w="3203" w:type="dxa"/>
            <w:tcBorders>
              <w:bottom w:val="single" w:sz="2" w:space="0" w:color="000000"/>
            </w:tcBorders>
            <w:tcMar>
              <w:bottom w:w="28" w:type="dxa"/>
            </w:tcMar>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left"/>
              <w:rPr/>
            </w:pPr>
            <w:r>
              <w:rPr/>
              <w:t>Address:</w:t>
            </w:r>
          </w:p>
        </w:tc>
        <w:tc>
          <w:tcPr>
            <w:tcW w:w="130" w:type="dxa"/>
            <w:tcBorders>
              <w:bottom w:val="single" w:sz="2" w:space="0" w:color="000000"/>
            </w:tcBorders>
            <w:tcMar>
              <w:bottom w:w="28" w:type="dxa"/>
            </w:tcMar>
            <w:vAlign w:val="bottom"/>
          </w:tcPr>
          <w:p>
            <w:pPr>
              <w:pStyle w:val="TableContents"/>
              <w:bidi w:val="0"/>
              <w:spacing w:before="0" w:after="283"/>
              <w:jc w:val="left"/>
              <w:rPr/>
            </w:pPr>
            <w:r>
              <w:rPr/>
              <w:t> </w:t>
            </w:r>
          </w:p>
        </w:tc>
        <w:tc>
          <w:tcPr>
            <w:tcW w:w="3220"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352" w:type="dxa"/>
            <w:tcBorders/>
            <w:vAlign w:val="bottom"/>
          </w:tcPr>
          <w:p>
            <w:pPr>
              <w:pStyle w:val="TableContents"/>
              <w:bidi w:val="0"/>
              <w:spacing w:before="0" w:after="283"/>
              <w:jc w:val="left"/>
              <w:rPr>
                <w:sz w:val="4"/>
                <w:szCs w:val="4"/>
              </w:rPr>
            </w:pPr>
            <w:r>
              <w:rPr>
                <w:sz w:val="4"/>
                <w:szCs w:val="4"/>
              </w:rPr>
            </w:r>
          </w:p>
        </w:tc>
        <w:tc>
          <w:tcPr>
            <w:tcW w:w="117" w:type="dxa"/>
            <w:tcBorders>
              <w:bottom w:val="single" w:sz="2" w:space="0" w:color="000000"/>
            </w:tcBorders>
            <w:tcMar>
              <w:bottom w:w="28" w:type="dxa"/>
            </w:tcMar>
            <w:vAlign w:val="bottom"/>
          </w:tcPr>
          <w:p>
            <w:pPr>
              <w:pStyle w:val="TableContents"/>
              <w:bidi w:val="0"/>
              <w:spacing w:before="0" w:after="283"/>
              <w:jc w:val="left"/>
              <w:rPr/>
            </w:pPr>
            <w:r>
              <w:rPr/>
              <w:t> </w:t>
            </w:r>
          </w:p>
        </w:tc>
        <w:tc>
          <w:tcPr>
            <w:tcW w:w="3203" w:type="dxa"/>
            <w:tcBorders>
              <w:bottom w:val="single" w:sz="2" w:space="0" w:color="000000"/>
            </w:tcBorders>
            <w:tcMar>
              <w:bottom w:w="28" w:type="dxa"/>
            </w:tcMar>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left"/>
              <w:rPr>
                <w:sz w:val="4"/>
                <w:szCs w:val="4"/>
              </w:rPr>
            </w:pPr>
            <w:r>
              <w:rPr>
                <w:sz w:val="4"/>
                <w:szCs w:val="4"/>
              </w:rPr>
            </w:r>
          </w:p>
        </w:tc>
        <w:tc>
          <w:tcPr>
            <w:tcW w:w="130" w:type="dxa"/>
            <w:tcBorders>
              <w:bottom w:val="single" w:sz="2" w:space="0" w:color="000000"/>
            </w:tcBorders>
            <w:tcMar>
              <w:bottom w:w="28" w:type="dxa"/>
            </w:tcMar>
            <w:vAlign w:val="bottom"/>
          </w:tcPr>
          <w:p>
            <w:pPr>
              <w:pStyle w:val="TableContents"/>
              <w:bidi w:val="0"/>
              <w:spacing w:before="0" w:after="283"/>
              <w:jc w:val="left"/>
              <w:rPr/>
            </w:pPr>
            <w:r>
              <w:rPr/>
              <w:t> </w:t>
            </w:r>
          </w:p>
        </w:tc>
        <w:tc>
          <w:tcPr>
            <w:tcW w:w="3220"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0" w:after="0"/>
        <w:jc w:val="center"/>
        <w:rPr>
          <w:rFonts w:ascii="Times New Roman" w:hAnsi="Times New Roman"/>
          <w:b/>
          <w:sz w:val="20"/>
        </w:rPr>
      </w:pPr>
      <w:r>
        <w:rPr>
          <w:rFonts w:ascii="Times New Roman" w:hAnsi="Times New Roman"/>
          <w:b/>
          <w:sz w:val="20"/>
        </w:rPr>
        <w:t xml:space="preserve">TO RESTRICTED STOCK AWARD GRANT NOTICE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AWARD AGREEMENT </w:t>
      </w:r>
    </w:p>
    <w:p>
      <w:pPr>
        <w:pStyle w:val="TextBody"/>
        <w:bidi w:val="0"/>
        <w:spacing w:before="240" w:after="0"/>
        <w:jc w:val="left"/>
        <w:rPr>
          <w:rFonts w:ascii="Times New Roman" w:hAnsi="Times New Roman"/>
          <w:sz w:val="20"/>
        </w:rPr>
      </w:pPr>
      <w:r>
        <w:rPr>
          <w:rFonts w:ascii="Times New Roman" w:hAnsi="Times New Roman"/>
          <w:sz w:val="20"/>
        </w:rPr>
        <w:t>Pursuant to the Restricted Stock Award Grant Notice (the </w:t>
      </w:r>
      <w:r>
        <w:rPr>
          <w:rFonts w:ascii="Times New Roman" w:hAnsi="Times New Roman"/>
          <w:sz w:val="20"/>
          <w:u w:val="single"/>
        </w:rPr>
        <w:t>Grant Notice</w:t>
      </w:r>
      <w:r>
        <w:rPr>
          <w:rFonts w:ascii="Times New Roman" w:hAnsi="Times New Roman"/>
          <w:sz w:val="20"/>
        </w:rPr>
        <w:t>) to which this Restricted Stock Award Agreement (this </w:t>
      </w:r>
      <w:r>
        <w:rPr>
          <w:rFonts w:ascii="Times New Roman" w:hAnsi="Times New Roman"/>
          <w:sz w:val="20"/>
          <w:u w:val="single"/>
        </w:rPr>
        <w:t>Agreement</w:t>
      </w:r>
      <w:r>
        <w:rPr>
          <w:rFonts w:ascii="Times New Roman" w:hAnsi="Times New Roman"/>
          <w:sz w:val="20"/>
        </w:rPr>
        <w:t>) is attached, Biomea Fusion, Inc., a Delaware corporation, (the </w:t>
      </w:r>
      <w:r>
        <w:rPr>
          <w:rFonts w:ascii="Times New Roman" w:hAnsi="Times New Roman"/>
          <w:sz w:val="20"/>
          <w:u w:val="single"/>
        </w:rPr>
        <w:t>Company</w:t>
      </w:r>
      <w:r>
        <w:rPr>
          <w:rFonts w:ascii="Times New Roman" w:hAnsi="Times New Roman"/>
          <w:sz w:val="20"/>
        </w:rPr>
        <w:t>) has granted to Participant the number of shares of Restricted Stock (the </w:t>
      </w:r>
      <w:r>
        <w:rPr>
          <w:rFonts w:ascii="Times New Roman" w:hAnsi="Times New Roman"/>
          <w:sz w:val="20"/>
          <w:u w:val="single"/>
        </w:rPr>
        <w:t>Shares</w:t>
      </w:r>
      <w:r>
        <w:rPr>
          <w:rFonts w:ascii="Times New Roman" w:hAnsi="Times New Roman"/>
          <w:sz w:val="20"/>
        </w:rPr>
        <w:t>) under the Companys 2023 Inducement Plan, as amended from time to time (the </w:t>
      </w:r>
      <w:r>
        <w:rPr>
          <w:rFonts w:ascii="Times New Roman" w:hAnsi="Times New Roman"/>
          <w:sz w:val="20"/>
          <w:u w:val="single"/>
        </w:rPr>
        <w:t>Plan</w:t>
      </w:r>
      <w:r>
        <w:rPr>
          <w:rFonts w:ascii="Times New Roman" w:hAnsi="Times New Roman"/>
          <w:sz w:val="20"/>
        </w:rPr>
        <w:t xml:space="preserve">), as set forth in the Grant Notice. This Award has been granted as an inducement pursuant to Rule 5635(c)(4) of the Marketplace Rules of NASDAQ Stock Market, Inc.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Defined Terms</w:t>
      </w:r>
      <w:r>
        <w:rPr>
          <w:rFonts w:ascii="Times New Roman" w:hAnsi="Times New Roman"/>
          <w:sz w:val="20"/>
        </w:rPr>
        <w:t xml:space="preserve">. Capitalized terms not specifically defined herein shall have the meanings specified in the Plan and Grant Notice.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Incorporation of Terms of Plan</w:t>
      </w:r>
      <w:r>
        <w:rPr>
          <w:rFonts w:ascii="Times New Roman" w:hAnsi="Times New Roman"/>
          <w:sz w:val="20"/>
        </w:rPr>
        <w:t xml:space="preserve">. The Award (as defined below) is subject to the terms and conditions of the Plan, which are incorporated herein by reference. In the event of any inconsistency between the Plan and this Agreement, the terms of the Plan shall control.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AWARD OF RESTRICTED STOCK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Award of Restricted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Award</w:t>
      </w:r>
      <w:r>
        <w:rPr>
          <w:rFonts w:ascii="Times New Roman" w:hAnsi="Times New Roman"/>
          <w:sz w:val="20"/>
        </w:rPr>
        <w:t>. Pursuant to the Grant Notice and upon the terms and conditions set forth in the Plan and this Agreement, effective as of the Grant Date set forth in the Grant Notice, the Company has granted to Participant an award of Restricted Stock (the </w:t>
      </w:r>
      <w:r>
        <w:rPr>
          <w:rFonts w:ascii="Times New Roman" w:hAnsi="Times New Roman"/>
          <w:sz w:val="20"/>
          <w:u w:val="single"/>
        </w:rPr>
        <w:t>Award</w:t>
      </w:r>
      <w:r>
        <w:rPr>
          <w:rFonts w:ascii="Times New Roman" w:hAnsi="Times New Roman"/>
          <w:sz w:val="20"/>
        </w:rPr>
        <w:t xml:space="preserve">) under the Plan in consideration of Participants employment with or service to the Company or any Subsidiary, and for other good and valuable consideration. The number of Shares subject to the Award is set forth in the Grant Notice.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Escrow</w:t>
      </w:r>
      <w:r>
        <w:rPr>
          <w:rFonts w:ascii="Times New Roman" w:hAnsi="Times New Roman"/>
          <w:sz w:val="20"/>
        </w:rPr>
        <w:t xml:space="preserve">. Participant, by acceptance of the Award, shall be deemed to appoint, and does so appoint, the Secretary of the Company or such other escrow holder as the Administrator may appoint to hold the Shares in escrow as Participants attorney(s)-in-fact to effect any transfer of unvested forfeited Shares (or Shares otherwise reacquired by the Company hereunder) to the Company as may be required pursuant to the Plan or this Agreement and to execute such documents as the Company or such representatives deem necessary or advisable in connection with any such transfer.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Removal of Notations</w:t>
      </w:r>
      <w:r>
        <w:rPr>
          <w:rFonts w:ascii="Times New Roman" w:hAnsi="Times New Roman"/>
          <w:sz w:val="20"/>
        </w:rPr>
        <w:t xml:space="preserve">. As soon as administratively practicable after the vesting of any Shares subject to the Award pursuant to Section 2.2(b) hereof, the Company shall remove the notations on any Shares subject to the Award which have vested (or such lesser number of Shares as may be permitted pursuant to Section 10.7 of the Plan). Participant (or the beneficiary or personal representative of Participant in the event of Participants death or incapacity, as the case may be) shall deliver to the Company any representations or other documents or assurances required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Forfeiture</w:t>
      </w:r>
      <w:r>
        <w:rPr>
          <w:rFonts w:ascii="Times New Roman" w:hAnsi="Times New Roman"/>
          <w:sz w:val="20"/>
        </w:rPr>
        <w:t xml:space="preserve">. Notwithstanding any contrary provision of this Agreement, upon Participants Termination of Service for any or no reason, any Shares subject to Restrictions shall thereupon be forfeited immediately and without any further action by the Company, and Participants rights in such Shares shall thereupon lapse and expire.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Vesting and Lapse of Restrictions</w:t>
      </w:r>
      <w:r>
        <w:rPr>
          <w:rFonts w:ascii="Times New Roman" w:hAnsi="Times New Roman"/>
          <w:sz w:val="20"/>
        </w:rPr>
        <w:t>. As of the Grant Date, one hundred percent (100%) of the Shares shall be subject to a risk of forfeiture and the transfer restrictions set forth in Section 3.3 hereof (collectively, such risk of forfeiture and such transfer restrictions, the </w:t>
      </w:r>
      <w:r>
        <w:rPr>
          <w:rFonts w:ascii="Times New Roman" w:hAnsi="Times New Roman"/>
          <w:sz w:val="20"/>
          <w:u w:val="single"/>
        </w:rPr>
        <w:t>Restrictions</w:t>
      </w:r>
      <w:r>
        <w:rPr>
          <w:rFonts w:ascii="Times New Roman" w:hAnsi="Times New Roman"/>
          <w:sz w:val="20"/>
        </w:rPr>
        <w:t xml:space="preserve">). The Award shall vest and Restrictions shall lapse in accordance with the vesting schedule set forth in the Grant Notice (rounding down to the nearest whole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Tax Withholding</w:t>
      </w:r>
      <w:r>
        <w:rPr>
          <w:rFonts w:ascii="Times New Roman" w:hAnsi="Times New Roman"/>
          <w:sz w:val="20"/>
        </w:rPr>
        <w:t>. As set forth in Section 10.5 of the Plan, the Company shall have the authority and the right to deduct or withhold, or to require Participant to remit to the Company, an amount sufficient to satisfy all applicable Tax Related Items required by law to be withheld with respect to any taxable event arising in connection with the Award. The Company shall not be obligated to transfer Shares held in escrow to Participant or Participants legal representative until Participant or Participants legal representative shall have paid or otherwise satisfied in full the amount of all Tax Related Items applicable to the taxable income of Participant resulting from the grant or vesting of the Award or the issuance of Shares.</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Stop Transfer Instructions</w:t>
      </w:r>
      <w:r>
        <w:rPr>
          <w:rFonts w:ascii="Times New Roman" w:hAnsi="Times New Roman"/>
          <w:sz w:val="20"/>
        </w:rPr>
        <w:t xml:space="preserve">. To ensure compliance with the Restrictions, the provisions of the charter documents of the Company, and/or Applicable Law and for other proper purposes, the Company may issue appropriate stop transfer and other instructions to its transfer agent with respect to the Restricted Stock. The Company shall notify the transfer agent as and when the Restrictions lapse.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Consideration to the Company</w:t>
      </w:r>
      <w:r>
        <w:rPr>
          <w:rFonts w:ascii="Times New Roman" w:hAnsi="Times New Roman"/>
          <w:sz w:val="20"/>
        </w:rPr>
        <w:t xml:space="preserve">. In consideration of the grant of the Award pursuant hereto, Participant agrees to render faithful and efficient services to the Company or any Subsidiary.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OTHER PROVISIONS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Section 83(b) Election</w:t>
      </w:r>
      <w:r>
        <w:rPr>
          <w:rFonts w:ascii="Times New Roman" w:hAnsi="Times New Roman"/>
          <w:sz w:val="20"/>
        </w:rPr>
        <w:t xml:space="preserve">. If Participant makes an election under Section 83(b) of the Code to be taxed with respect to the Restricted Stock as of the date of transfer of the Restricted Stock rather than as of the date or dates upon which Participant would otherwise be taxable under Section 83(a) of the Code, Participant hereby agrees to deliver a copy of such election to the Company promptly after filing such election with the Internal Revenue Service.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Administration</w:t>
      </w:r>
      <w:r>
        <w:rPr>
          <w:rFonts w:ascii="Times New Roman" w:hAnsi="Times New Roman"/>
          <w:sz w:val="20"/>
        </w:rPr>
        <w:t xml:space="preserve">.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Participant, the Company and all other interested persons. No member of the Administrator or the Board shall be personally liable for any action, determination or interpretation made in good faith with respect to the Plan, this Agreement or the Award.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Restricted Stock Not Transferable</w:t>
      </w:r>
      <w:r>
        <w:rPr>
          <w:rFonts w:ascii="Times New Roman" w:hAnsi="Times New Roman"/>
          <w:sz w:val="20"/>
        </w:rPr>
        <w:t xml:space="preserve">. Until the Restrictions hereunder lapse or expire pursuant to this Agreement and the Shares vest, the Restricted Stock (including any Shares or other securities or property received by Participant with respect to Restricted Stock as a result of stock dividends, stock splits or any other form of recapitalization) shall be subject to the restrictions on transferability set forth in Section 10.1 of the Plan.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Rights as Stockholder</w:t>
      </w:r>
      <w:r>
        <w:rPr>
          <w:rFonts w:ascii="Times New Roman" w:hAnsi="Times New Roman"/>
          <w:sz w:val="20"/>
        </w:rPr>
        <w:t xml:space="preserve">. Except as otherwise provided herein, upon the Grant Date, Participant shall have all the rights of a stockholder of the Company with respect to the Shares, subject to the Restrictions, including, without limitation, voting rights and rights to receive any cash or stock dividends, in respect of the Shares subject to the Award and deliverable hereunder.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Tax Consultation</w:t>
      </w:r>
      <w:r>
        <w:rPr>
          <w:rFonts w:ascii="Times New Roman" w:hAnsi="Times New Roman"/>
          <w:sz w:val="20"/>
        </w:rPr>
        <w:t xml:space="preserve">. Participant understands that Participant may suffer adverse tax consequences in connection with the Restricted Stock granted pursuant to this Agreement (and the Shares issuable with respect thereto). Participant represents that Participant has consulted with any tax consultants Participant deems advisable in connection with the Restricted Stock and that Participant is not relying on the Company for any tax advice.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Adjustments Upon Specified Events</w:t>
      </w:r>
      <w:r>
        <w:rPr>
          <w:rFonts w:ascii="Times New Roman" w:hAnsi="Times New Roman"/>
          <w:sz w:val="20"/>
        </w:rPr>
        <w:t xml:space="preserve">. The Administrator may accelerate the vesting of the Restricted Stock in such circumstances as it, in its sole discretion, may determine. Participant acknowledges that the Restricted Stock is subject to adjustment, modification and termination in certain events as provided in this Agreement and Article IX of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Notices</w:t>
      </w:r>
      <w:r>
        <w:rPr>
          <w:rFonts w:ascii="Times New Roman" w:hAnsi="Times New Roman"/>
          <w:sz w:val="20"/>
        </w:rPr>
        <w:t xml:space="preserve">.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3.7,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 (or similar foreign entity).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Participants Representations</w:t>
      </w:r>
      <w:r>
        <w:rPr>
          <w:rFonts w:ascii="Times New Roman" w:hAnsi="Times New Roman"/>
          <w:sz w:val="20"/>
        </w:rPr>
        <w:t xml:space="preserve">. If the Shares issuable hereunder have not been registered under the Securities Act or any applicable state laws on an effective registration statement at the time of such issuance, Participant shall, if required by the Company, concurrently with such issuance, make such written representations as are deemed necessary or appropriate by the Company and/or its counsel.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Titles</w:t>
      </w:r>
      <w:r>
        <w:rPr>
          <w:rFonts w:ascii="Times New Roman" w:hAnsi="Times New Roman"/>
          <w:sz w:val="20"/>
        </w:rPr>
        <w:t xml:space="preserve">. Titles are provided herein for convenience only and are not to serve as a basis for interpretation or construction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Governing Law</w:t>
      </w:r>
      <w:r>
        <w:rPr>
          <w:rFonts w:ascii="Times New Roman" w:hAnsi="Times New Roman"/>
          <w:sz w:val="20"/>
        </w:rPr>
        <w:t xml:space="preserve">. The laws of the State of Delaware shall govern the interpretation, validity, administration, enforcement and performance of the terms of this Agreement regardless of the law that might be applied under principles of conflicts of laws.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Conformity to Securities Laws</w:t>
      </w:r>
      <w:r>
        <w:rPr>
          <w:rFonts w:ascii="Times New Roman" w:hAnsi="Times New Roman"/>
          <w:sz w:val="20"/>
        </w:rPr>
        <w:t xml:space="preserve">. Participant acknowledges that the Plan and this Agreement are intended to conform to the extent necessary with all provisions of the Securities Act and the Exchange Act, and any and all Applicable Law. Notwithstanding anything herein to the contrary, the Plan shall be administered, and the Award is granted, only in such a manner as to conform to such Applicable Law. To the extent permitted by Applicable Law, the Plan and this Agreement shall be deemed amended to the extent necessary to conform to such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Amendment, Suspension and Termination</w:t>
      </w:r>
      <w:r>
        <w:rPr>
          <w:rFonts w:ascii="Times New Roman" w:hAnsi="Times New Roman"/>
          <w:sz w:val="20"/>
        </w:rPr>
        <w:t xml:space="preserve">. To the extent permitted by the Plan, this Agreement may be wholly or partially amended or otherwise modified, suspended or terminated at any time or from time to time by the Administrator or the Board; </w:t>
      </w:r>
      <w:r>
        <w:rPr>
          <w:rFonts w:ascii="Times New Roman" w:hAnsi="Times New Roman"/>
          <w:i/>
          <w:sz w:val="20"/>
        </w:rPr>
        <w:t>provided, however</w:t>
      </w:r>
      <w:r>
        <w:rPr>
          <w:rFonts w:ascii="Times New Roman" w:hAnsi="Times New Roman"/>
          <w:sz w:val="20"/>
        </w:rPr>
        <w:t xml:space="preserve">, that, except as may otherwise be provided by the Plan, no amendment, modification, suspension or termination of this Agreement shall adversely affect the Award in any material way without the prior written consent of Participant.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Successors and Assigns</w:t>
      </w:r>
      <w:r>
        <w:rPr>
          <w:rFonts w:ascii="Times New Roman" w:hAnsi="Times New Roman"/>
          <w:sz w:val="20"/>
        </w:rPr>
        <w:t xml:space="preserve">. The Company or any Subsidiary may assign any of its rights under this Agreement to single or multiple assignees, and this Agreement shall inure to the benefit of the successors and assigns of the Company and its Subsidiaries. Subject to the restrictions on transfer set forth in Section 3.3 hereof, this Agreement shall be binding upon Participant and his or her heirs, executors, administrators,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Limitations Applicable to Section 16 Persons</w:t>
      </w:r>
      <w:r>
        <w:rPr>
          <w:rFonts w:ascii="Times New Roman" w:hAnsi="Times New Roman"/>
          <w:sz w:val="20"/>
        </w:rPr>
        <w:t xml:space="preserve">. Notwithstanding any other provision of the Plan or this Agreement, if Participant is subject to Section 16 of the Exchange Act, then the Plan, the Award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Not a Contract of Service Relationship</w:t>
      </w:r>
      <w:r>
        <w:rPr>
          <w:rFonts w:ascii="Times New Roman" w:hAnsi="Times New Roman"/>
          <w:sz w:val="20"/>
        </w:rPr>
        <w:t xml:space="preserve">. Nothing in this Agreement or in the Plan shall confer upon Participant any right to continue to serve as an Employee or other service provider of the Company or any of its Subsidiaries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by Applicable Law or in a written agreement between the Company or a Subsidiary and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Entire Agreement</w:t>
      </w:r>
      <w:r>
        <w:rPr>
          <w:rFonts w:ascii="Times New Roman" w:hAnsi="Times New Roman"/>
          <w:sz w:val="20"/>
        </w:rPr>
        <w:t xml:space="preserve">. The Plan, the Grant Notice and this Agreement (including all Exhibits thereto, if any) constitute the entire agreement of the parties and supersede in their entirety all prior undertakings and agreements of the Company and its Subsidiaries and Participant with respect to the subject matter hereof; </w:t>
      </w:r>
      <w:r>
        <w:rPr>
          <w:rFonts w:ascii="Times New Roman" w:hAnsi="Times New Roman"/>
          <w:i/>
          <w:sz w:val="20"/>
        </w:rPr>
        <w:t>provided</w:t>
      </w:r>
      <w:r>
        <w:rPr>
          <w:rFonts w:ascii="Times New Roman" w:hAnsi="Times New Roman"/>
          <w:sz w:val="20"/>
        </w:rPr>
        <w:t xml:space="preserve"> that the Award shall be subject to any accelerated vesting provisions in any written agreement between Participant and the Company (or any Subsidiary who is the employer of Participant) or a Company plan pursuant to which Participant participates, in each case, in accordance with the terms therein. </w:t>
      </w:r>
    </w:p>
    <w:p>
      <w:pPr>
        <w:pStyle w:val="TextBody"/>
        <w:bidi w:val="0"/>
        <w:spacing w:before="24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Limitation on Participants Rights</w:t>
      </w:r>
      <w:r>
        <w:rPr>
          <w:rFonts w:ascii="Times New Roman" w:hAnsi="Times New Roman"/>
          <w:sz w:val="20"/>
        </w:rPr>
        <w:t xml:space="preserve">.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and its Subsidiaries with respect to amounts credited and benefits payable, if any, with respect to the Shares issuable hereunder. </w:t>
      </w:r>
    </w:p>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p>
    <w:p>
      <w:pPr>
        <w:pStyle w:val="TextBody"/>
        <w:bidi w:val="0"/>
        <w:spacing w:before="0" w:after="0"/>
        <w:jc w:val="right"/>
        <w:rPr>
          <w:rFonts w:ascii="Times New Roman" w:hAnsi="Times New Roman"/>
          <w:b/>
          <w:sz w:val="20"/>
        </w:rPr>
      </w:pPr>
      <w:bookmarkStart w:id="14" w:name="d701282dex993d.htm"/>
      <w:bookmarkStart w:id="15" w:name="ksd701282dex993d"/>
      <w:bookmarkEnd w:id="14"/>
      <w:bookmarkEnd w:id="15"/>
      <w:r>
        <w:rPr>
          <w:rFonts w:ascii="Times New Roman" w:hAnsi="Times New Roman"/>
          <w:b/>
          <w:sz w:val="20"/>
        </w:rPr>
        <w:t xml:space="preserve">Exhibit 99.3(d)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BIOMEA FUSION, INC. </w:t>
      </w:r>
    </w:p>
    <w:p>
      <w:pPr>
        <w:pStyle w:val="TextBody"/>
        <w:bidi w:val="0"/>
        <w:spacing w:before="0" w:after="0"/>
        <w:jc w:val="center"/>
        <w:rPr>
          <w:rFonts w:ascii="Times New Roman" w:hAnsi="Times New Roman"/>
          <w:b/>
          <w:sz w:val="20"/>
        </w:rPr>
      </w:pPr>
      <w:r>
        <w:rPr>
          <w:rFonts w:ascii="Times New Roman" w:hAnsi="Times New Roman"/>
          <w:b/>
          <w:sz w:val="20"/>
        </w:rPr>
        <w:t xml:space="preserve">2023 INDUCEMENT PLAN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 AWARD GRANT NOTICE </w:t>
      </w:r>
    </w:p>
    <w:p>
      <w:pPr>
        <w:pStyle w:val="TextBody"/>
        <w:bidi w:val="0"/>
        <w:spacing w:before="240" w:after="0"/>
        <w:jc w:val="left"/>
        <w:rPr>
          <w:rFonts w:ascii="Times New Roman" w:hAnsi="Times New Roman"/>
          <w:sz w:val="20"/>
        </w:rPr>
      </w:pPr>
      <w:r>
        <w:rPr>
          <w:rFonts w:ascii="Times New Roman" w:hAnsi="Times New Roman"/>
          <w:sz w:val="20"/>
        </w:rPr>
        <w:t>Biomea Fusion, Inc., a Delaware corporation, (the </w:t>
      </w:r>
      <w:r>
        <w:rPr>
          <w:rFonts w:ascii="Times New Roman" w:hAnsi="Times New Roman"/>
          <w:b/>
          <w:i/>
          <w:sz w:val="20"/>
        </w:rPr>
        <w:t>Company</w:t>
      </w:r>
      <w:r>
        <w:rPr>
          <w:rFonts w:ascii="Times New Roman" w:hAnsi="Times New Roman"/>
          <w:sz w:val="20"/>
        </w:rPr>
        <w:t>), pursuant to its 2023 Inducement Plan, as amended from time to time (the </w:t>
      </w:r>
      <w:r>
        <w:rPr>
          <w:rFonts w:ascii="Times New Roman" w:hAnsi="Times New Roman"/>
          <w:b/>
          <w:i/>
          <w:sz w:val="20"/>
        </w:rPr>
        <w:t>Plan</w:t>
      </w:r>
      <w:r>
        <w:rPr>
          <w:rFonts w:ascii="Times New Roman" w:hAnsi="Times New Roman"/>
          <w:sz w:val="20"/>
        </w:rPr>
        <w:t>), hereby grants to the holder listed below (</w:t>
      </w:r>
      <w:r>
        <w:rPr>
          <w:rFonts w:ascii="Times New Roman" w:hAnsi="Times New Roman"/>
          <w:b/>
          <w:i/>
          <w:sz w:val="20"/>
        </w:rPr>
        <w:t>Participant</w:t>
      </w:r>
      <w:r>
        <w:rPr>
          <w:rFonts w:ascii="Times New Roman" w:hAnsi="Times New Roman"/>
          <w:sz w:val="20"/>
        </w:rPr>
        <w:t>), an award of restricted stock units (</w:t>
      </w:r>
      <w:r>
        <w:rPr>
          <w:rFonts w:ascii="Times New Roman" w:hAnsi="Times New Roman"/>
          <w:b/>
          <w:i/>
          <w:sz w:val="20"/>
        </w:rPr>
        <w:t>Restricted Stock Units</w:t>
      </w:r>
      <w:r>
        <w:rPr>
          <w:rFonts w:ascii="Times New Roman" w:hAnsi="Times New Roman"/>
          <w:sz w:val="20"/>
        </w:rPr>
        <w:t> or </w:t>
      </w:r>
      <w:r>
        <w:rPr>
          <w:rFonts w:ascii="Times New Roman" w:hAnsi="Times New Roman"/>
          <w:b/>
          <w:i/>
          <w:sz w:val="20"/>
        </w:rPr>
        <w:t>RSUs</w:t>
      </w:r>
      <w:r>
        <w:rPr>
          <w:rFonts w:ascii="Times New Roman" w:hAnsi="Times New Roman"/>
          <w:sz w:val="20"/>
        </w:rPr>
        <w:t xml:space="preserve">) as an inducement pursuant to Rule 5635(c)(4) of the Marketplace Rules of NASDAQ Stock Market, Inc. Each vested Restricted Stock Unit represents the right to receive, in accordance with the Restricted Stock Unit Award Agreement attached hereto as </w:t>
      </w:r>
      <w:r>
        <w:rPr>
          <w:rFonts w:ascii="Times New Roman" w:hAnsi="Times New Roman"/>
          <w:b/>
          <w:sz w:val="20"/>
        </w:rPr>
        <w:t>Exhibit A</w:t>
      </w:r>
      <w:r>
        <w:rPr>
          <w:rFonts w:ascii="Times New Roman" w:hAnsi="Times New Roman"/>
          <w:sz w:val="20"/>
        </w:rPr>
        <w:t xml:space="preserve"> (the </w:t>
      </w:r>
      <w:r>
        <w:rPr>
          <w:rFonts w:ascii="Times New Roman" w:hAnsi="Times New Roman"/>
          <w:b/>
          <w:i/>
          <w:sz w:val="20"/>
        </w:rPr>
        <w:t>Agreement</w:t>
      </w:r>
      <w:r>
        <w:rPr>
          <w:rFonts w:ascii="Times New Roman" w:hAnsi="Times New Roman"/>
          <w:sz w:val="20"/>
        </w:rPr>
        <w:t>), one share of Common Stock (</w:t>
      </w:r>
      <w:r>
        <w:rPr>
          <w:rFonts w:ascii="Times New Roman" w:hAnsi="Times New Roman"/>
          <w:b/>
          <w:i/>
          <w:sz w:val="20"/>
        </w:rPr>
        <w:t>Share</w:t>
      </w:r>
      <w:r>
        <w:rPr>
          <w:rFonts w:ascii="Times New Roman" w:hAnsi="Times New Roman"/>
          <w:sz w:val="20"/>
        </w:rPr>
        <w:t>). This award of Restricted Stock Units is subject to all of the terms and conditions set forth herein and in the Agreement and the Plan, each of which are incorporated herein by reference. Unless otherwise defined herein, the terms defined in the Plan shall have the same defined meanings in this Restricted Stock Unit Award Grant Notice (the </w:t>
      </w:r>
      <w:r>
        <w:rPr>
          <w:rFonts w:ascii="Times New Roman" w:hAnsi="Times New Roman"/>
          <w:b/>
          <w:i/>
          <w:sz w:val="20"/>
        </w:rPr>
        <w:t>Grant Notice</w:t>
      </w:r>
      <w:r>
        <w:rPr>
          <w:rFonts w:ascii="Times New Roman" w:hAnsi="Times New Roman"/>
          <w:sz w:val="20"/>
        </w:rPr>
        <w:t xml:space="preserve">) and the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38"/>
        <w:gridCol w:w="121"/>
        <w:gridCol w:w="7046"/>
      </w:tblGrid>
      <w:tr>
        <w:trPr/>
        <w:tc>
          <w:tcPr>
            <w:tcW w:w="303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046" w:type="dxa"/>
            <w:tcBorders/>
            <w:vAlign w:val="center"/>
          </w:tcPr>
          <w:p>
            <w:pPr>
              <w:pStyle w:val="TableContents"/>
              <w:bidi w:val="0"/>
              <w:spacing w:before="0" w:after="283"/>
              <w:jc w:val="left"/>
              <w:rPr>
                <w:sz w:val="4"/>
                <w:szCs w:val="4"/>
              </w:rPr>
            </w:pPr>
            <w:r>
              <w:rPr>
                <w:sz w:val="4"/>
                <w:szCs w:val="4"/>
              </w:rPr>
            </w:r>
          </w:p>
        </w:tc>
      </w:tr>
      <w:tr>
        <w:trPr/>
        <w:tc>
          <w:tcPr>
            <w:tcW w:w="3038" w:type="dxa"/>
            <w:tcBorders/>
          </w:tcPr>
          <w:p>
            <w:pPr>
              <w:pStyle w:val="TableContents"/>
              <w:bidi w:val="0"/>
              <w:spacing w:before="0" w:after="283"/>
              <w:jc w:val="left"/>
              <w:rPr>
                <w:b/>
              </w:rPr>
            </w:pPr>
            <w:r>
              <w:rPr>
                <w:b/>
              </w:rPr>
              <w:t>Participant:</w:t>
            </w:r>
          </w:p>
        </w:tc>
        <w:tc>
          <w:tcPr>
            <w:tcW w:w="121" w:type="dxa"/>
            <w:tcBorders/>
            <w:vAlign w:val="bottom"/>
          </w:tcPr>
          <w:p>
            <w:pPr>
              <w:pStyle w:val="TableContents"/>
              <w:bidi w:val="0"/>
              <w:spacing w:before="0" w:after="283"/>
              <w:jc w:val="left"/>
              <w:rPr/>
            </w:pPr>
            <w:r>
              <w:rPr/>
              <w:t>  </w:t>
            </w:r>
          </w:p>
        </w:tc>
        <w:tc>
          <w:tcPr>
            <w:tcW w:w="7046" w:type="dxa"/>
            <w:tcBorders/>
          </w:tcPr>
          <w:p>
            <w:pPr>
              <w:pStyle w:val="TableContents"/>
              <w:bidi w:val="0"/>
              <w:spacing w:before="0" w:after="283"/>
              <w:jc w:val="left"/>
              <w:rPr/>
            </w:pPr>
            <w:r>
              <w:rPr/>
              <w:t>[__________________________]</w:t>
            </w:r>
          </w:p>
        </w:tc>
      </w:tr>
      <w:tr>
        <w:trPr>
          <w:trHeight w:val="120" w:hRule="atLeast"/>
        </w:trPr>
        <w:tc>
          <w:tcPr>
            <w:tcW w:w="3038" w:type="dxa"/>
            <w:tcBorders/>
            <w:vAlign w:val="center"/>
          </w:tcPr>
          <w:p>
            <w:pPr>
              <w:pStyle w:val="TableContents"/>
              <w:bidi w:val="0"/>
              <w:spacing w:before="0" w:after="283"/>
              <w:jc w:val="left"/>
              <w:rPr>
                <w:sz w:val="4"/>
                <w:szCs w:val="4"/>
              </w:rPr>
            </w:pPr>
            <w:r>
              <w:rPr>
                <w:sz w:val="4"/>
                <w:szCs w:val="4"/>
              </w:rPr>
            </w:r>
          </w:p>
        </w:tc>
        <w:tc>
          <w:tcPr>
            <w:tcW w:w="7167" w:type="dxa"/>
            <w:gridSpan w:val="2"/>
            <w:tcBorders/>
            <w:vAlign w:val="center"/>
          </w:tcPr>
          <w:p>
            <w:pPr>
              <w:pStyle w:val="TableContents"/>
              <w:bidi w:val="0"/>
              <w:spacing w:before="0" w:after="283"/>
              <w:jc w:val="left"/>
              <w:rPr>
                <w:sz w:val="4"/>
                <w:szCs w:val="4"/>
              </w:rPr>
            </w:pPr>
            <w:r>
              <w:rPr>
                <w:sz w:val="4"/>
                <w:szCs w:val="4"/>
              </w:rPr>
            </w:r>
          </w:p>
        </w:tc>
      </w:tr>
      <w:tr>
        <w:trPr/>
        <w:tc>
          <w:tcPr>
            <w:tcW w:w="3038" w:type="dxa"/>
            <w:tcBorders/>
          </w:tcPr>
          <w:p>
            <w:pPr>
              <w:pStyle w:val="TableContents"/>
              <w:bidi w:val="0"/>
              <w:spacing w:before="0" w:after="283"/>
              <w:jc w:val="left"/>
              <w:rPr>
                <w:b/>
              </w:rPr>
            </w:pPr>
            <w:r>
              <w:rPr>
                <w:b/>
              </w:rPr>
              <w:t>Grant Date:</w:t>
            </w:r>
          </w:p>
        </w:tc>
        <w:tc>
          <w:tcPr>
            <w:tcW w:w="121" w:type="dxa"/>
            <w:tcBorders/>
            <w:vAlign w:val="bottom"/>
          </w:tcPr>
          <w:p>
            <w:pPr>
              <w:pStyle w:val="TableContents"/>
              <w:bidi w:val="0"/>
              <w:spacing w:before="0" w:after="283"/>
              <w:jc w:val="left"/>
              <w:rPr/>
            </w:pPr>
            <w:r>
              <w:rPr/>
              <w:t>  </w:t>
            </w:r>
          </w:p>
        </w:tc>
        <w:tc>
          <w:tcPr>
            <w:tcW w:w="7046" w:type="dxa"/>
            <w:tcBorders/>
          </w:tcPr>
          <w:p>
            <w:pPr>
              <w:pStyle w:val="TableContents"/>
              <w:bidi w:val="0"/>
              <w:spacing w:before="0" w:after="283"/>
              <w:jc w:val="left"/>
              <w:rPr/>
            </w:pPr>
            <w:r>
              <w:rPr/>
              <w:t>[__________________________]</w:t>
            </w:r>
          </w:p>
        </w:tc>
      </w:tr>
      <w:tr>
        <w:trPr>
          <w:trHeight w:val="120" w:hRule="atLeast"/>
        </w:trPr>
        <w:tc>
          <w:tcPr>
            <w:tcW w:w="3038" w:type="dxa"/>
            <w:tcBorders/>
            <w:vAlign w:val="center"/>
          </w:tcPr>
          <w:p>
            <w:pPr>
              <w:pStyle w:val="TableContents"/>
              <w:bidi w:val="0"/>
              <w:spacing w:before="0" w:after="283"/>
              <w:jc w:val="left"/>
              <w:rPr>
                <w:sz w:val="4"/>
                <w:szCs w:val="4"/>
              </w:rPr>
            </w:pPr>
            <w:r>
              <w:rPr>
                <w:sz w:val="4"/>
                <w:szCs w:val="4"/>
              </w:rPr>
            </w:r>
          </w:p>
        </w:tc>
        <w:tc>
          <w:tcPr>
            <w:tcW w:w="7167" w:type="dxa"/>
            <w:gridSpan w:val="2"/>
            <w:tcBorders/>
            <w:vAlign w:val="center"/>
          </w:tcPr>
          <w:p>
            <w:pPr>
              <w:pStyle w:val="TableContents"/>
              <w:bidi w:val="0"/>
              <w:spacing w:before="0" w:after="283"/>
              <w:jc w:val="left"/>
              <w:rPr>
                <w:sz w:val="4"/>
                <w:szCs w:val="4"/>
              </w:rPr>
            </w:pPr>
            <w:r>
              <w:rPr>
                <w:sz w:val="4"/>
                <w:szCs w:val="4"/>
              </w:rPr>
            </w:r>
          </w:p>
        </w:tc>
      </w:tr>
      <w:tr>
        <w:trPr/>
        <w:tc>
          <w:tcPr>
            <w:tcW w:w="3038" w:type="dxa"/>
            <w:tcBorders/>
          </w:tcPr>
          <w:p>
            <w:pPr>
              <w:pStyle w:val="TableContents"/>
              <w:bidi w:val="0"/>
              <w:spacing w:before="0" w:after="283"/>
              <w:jc w:val="left"/>
              <w:rPr>
                <w:b/>
              </w:rPr>
            </w:pPr>
            <w:r>
              <w:rPr>
                <w:b/>
              </w:rPr>
              <w:t>Total Number of RSUs:</w:t>
            </w:r>
          </w:p>
        </w:tc>
        <w:tc>
          <w:tcPr>
            <w:tcW w:w="121" w:type="dxa"/>
            <w:tcBorders/>
            <w:vAlign w:val="bottom"/>
          </w:tcPr>
          <w:p>
            <w:pPr>
              <w:pStyle w:val="TableContents"/>
              <w:bidi w:val="0"/>
              <w:spacing w:before="0" w:after="283"/>
              <w:jc w:val="left"/>
              <w:rPr/>
            </w:pPr>
            <w:r>
              <w:rPr/>
              <w:t>  </w:t>
            </w:r>
          </w:p>
        </w:tc>
        <w:tc>
          <w:tcPr>
            <w:tcW w:w="7046" w:type="dxa"/>
            <w:tcBorders/>
          </w:tcPr>
          <w:p>
            <w:pPr>
              <w:pStyle w:val="TableContents"/>
              <w:bidi w:val="0"/>
              <w:spacing w:before="0" w:after="283"/>
              <w:jc w:val="left"/>
              <w:rPr/>
            </w:pPr>
            <w:r>
              <w:rPr/>
              <w:t>[_____________]</w:t>
            </w:r>
          </w:p>
        </w:tc>
      </w:tr>
      <w:tr>
        <w:trPr>
          <w:trHeight w:val="120" w:hRule="atLeast"/>
        </w:trPr>
        <w:tc>
          <w:tcPr>
            <w:tcW w:w="3038" w:type="dxa"/>
            <w:tcBorders/>
            <w:vAlign w:val="center"/>
          </w:tcPr>
          <w:p>
            <w:pPr>
              <w:pStyle w:val="TableContents"/>
              <w:bidi w:val="0"/>
              <w:spacing w:before="0" w:after="283"/>
              <w:jc w:val="left"/>
              <w:rPr>
                <w:sz w:val="4"/>
                <w:szCs w:val="4"/>
              </w:rPr>
            </w:pPr>
            <w:r>
              <w:rPr>
                <w:sz w:val="4"/>
                <w:szCs w:val="4"/>
              </w:rPr>
            </w:r>
          </w:p>
        </w:tc>
        <w:tc>
          <w:tcPr>
            <w:tcW w:w="7167" w:type="dxa"/>
            <w:gridSpan w:val="2"/>
            <w:tcBorders/>
            <w:vAlign w:val="center"/>
          </w:tcPr>
          <w:p>
            <w:pPr>
              <w:pStyle w:val="TableContents"/>
              <w:bidi w:val="0"/>
              <w:spacing w:before="0" w:after="283"/>
              <w:jc w:val="left"/>
              <w:rPr>
                <w:sz w:val="4"/>
                <w:szCs w:val="4"/>
              </w:rPr>
            </w:pPr>
            <w:r>
              <w:rPr>
                <w:sz w:val="4"/>
                <w:szCs w:val="4"/>
              </w:rPr>
            </w:r>
          </w:p>
        </w:tc>
      </w:tr>
      <w:tr>
        <w:trPr/>
        <w:tc>
          <w:tcPr>
            <w:tcW w:w="3038" w:type="dxa"/>
            <w:tcBorders/>
          </w:tcPr>
          <w:p>
            <w:pPr>
              <w:pStyle w:val="TableContents"/>
              <w:bidi w:val="0"/>
              <w:spacing w:before="0" w:after="283"/>
              <w:jc w:val="left"/>
              <w:rPr>
                <w:b/>
              </w:rPr>
            </w:pPr>
            <w:r>
              <w:rPr>
                <w:b/>
              </w:rPr>
              <w:t>Vesting Commencement Date:</w:t>
            </w:r>
          </w:p>
        </w:tc>
        <w:tc>
          <w:tcPr>
            <w:tcW w:w="121" w:type="dxa"/>
            <w:tcBorders/>
            <w:vAlign w:val="bottom"/>
          </w:tcPr>
          <w:p>
            <w:pPr>
              <w:pStyle w:val="TableContents"/>
              <w:bidi w:val="0"/>
              <w:spacing w:before="0" w:after="283"/>
              <w:jc w:val="left"/>
              <w:rPr/>
            </w:pPr>
            <w:r>
              <w:rPr/>
              <w:t>  </w:t>
            </w:r>
          </w:p>
        </w:tc>
        <w:tc>
          <w:tcPr>
            <w:tcW w:w="7046" w:type="dxa"/>
            <w:tcBorders/>
          </w:tcPr>
          <w:p>
            <w:pPr>
              <w:pStyle w:val="TableContents"/>
              <w:bidi w:val="0"/>
              <w:spacing w:before="0" w:after="283"/>
              <w:jc w:val="left"/>
              <w:rPr/>
            </w:pPr>
            <w:r>
              <w:rPr/>
              <w:t>[_____________]</w:t>
            </w:r>
          </w:p>
        </w:tc>
      </w:tr>
      <w:tr>
        <w:trPr>
          <w:trHeight w:val="120" w:hRule="atLeast"/>
        </w:trPr>
        <w:tc>
          <w:tcPr>
            <w:tcW w:w="3038" w:type="dxa"/>
            <w:tcBorders/>
            <w:vAlign w:val="center"/>
          </w:tcPr>
          <w:p>
            <w:pPr>
              <w:pStyle w:val="TableContents"/>
              <w:bidi w:val="0"/>
              <w:spacing w:before="0" w:after="283"/>
              <w:jc w:val="left"/>
              <w:rPr>
                <w:sz w:val="4"/>
                <w:szCs w:val="4"/>
              </w:rPr>
            </w:pPr>
            <w:r>
              <w:rPr>
                <w:sz w:val="4"/>
                <w:szCs w:val="4"/>
              </w:rPr>
            </w:r>
          </w:p>
        </w:tc>
        <w:tc>
          <w:tcPr>
            <w:tcW w:w="7167" w:type="dxa"/>
            <w:gridSpan w:val="2"/>
            <w:tcBorders/>
            <w:vAlign w:val="center"/>
          </w:tcPr>
          <w:p>
            <w:pPr>
              <w:pStyle w:val="TableContents"/>
              <w:bidi w:val="0"/>
              <w:spacing w:before="0" w:after="283"/>
              <w:jc w:val="left"/>
              <w:rPr>
                <w:sz w:val="4"/>
                <w:szCs w:val="4"/>
              </w:rPr>
            </w:pPr>
            <w:r>
              <w:rPr>
                <w:sz w:val="4"/>
                <w:szCs w:val="4"/>
              </w:rPr>
            </w:r>
          </w:p>
        </w:tc>
      </w:tr>
      <w:tr>
        <w:trPr/>
        <w:tc>
          <w:tcPr>
            <w:tcW w:w="3038" w:type="dxa"/>
            <w:tcBorders/>
          </w:tcPr>
          <w:p>
            <w:pPr>
              <w:pStyle w:val="TableContents"/>
              <w:bidi w:val="0"/>
              <w:spacing w:before="0" w:after="283"/>
              <w:jc w:val="left"/>
              <w:rPr>
                <w:b/>
              </w:rPr>
            </w:pPr>
            <w:r>
              <w:rPr>
                <w:b/>
              </w:rPr>
              <w:t>Vesting Schedule:</w:t>
            </w:r>
          </w:p>
        </w:tc>
        <w:tc>
          <w:tcPr>
            <w:tcW w:w="121" w:type="dxa"/>
            <w:tcBorders/>
            <w:vAlign w:val="bottom"/>
          </w:tcPr>
          <w:p>
            <w:pPr>
              <w:pStyle w:val="TableContents"/>
              <w:bidi w:val="0"/>
              <w:spacing w:before="0" w:after="283"/>
              <w:jc w:val="left"/>
              <w:rPr/>
            </w:pPr>
            <w:r>
              <w:rPr/>
              <w:t>  </w:t>
            </w:r>
          </w:p>
        </w:tc>
        <w:tc>
          <w:tcPr>
            <w:tcW w:w="7046" w:type="dxa"/>
            <w:tcBorders/>
          </w:tcPr>
          <w:p>
            <w:pPr>
              <w:pStyle w:val="TableContents"/>
              <w:bidi w:val="0"/>
              <w:spacing w:before="0" w:after="283"/>
              <w:jc w:val="left"/>
              <w:rPr/>
            </w:pPr>
            <w:r>
              <w:rPr/>
              <w:t>[_____________]</w:t>
            </w:r>
          </w:p>
        </w:tc>
      </w:tr>
      <w:tr>
        <w:trPr>
          <w:trHeight w:val="120" w:hRule="atLeast"/>
        </w:trPr>
        <w:tc>
          <w:tcPr>
            <w:tcW w:w="3038" w:type="dxa"/>
            <w:tcBorders/>
            <w:vAlign w:val="center"/>
          </w:tcPr>
          <w:p>
            <w:pPr>
              <w:pStyle w:val="TableContents"/>
              <w:bidi w:val="0"/>
              <w:spacing w:before="0" w:after="283"/>
              <w:jc w:val="left"/>
              <w:rPr>
                <w:sz w:val="4"/>
                <w:szCs w:val="4"/>
              </w:rPr>
            </w:pPr>
            <w:r>
              <w:rPr>
                <w:sz w:val="4"/>
                <w:szCs w:val="4"/>
              </w:rPr>
            </w:r>
          </w:p>
        </w:tc>
        <w:tc>
          <w:tcPr>
            <w:tcW w:w="7167" w:type="dxa"/>
            <w:gridSpan w:val="2"/>
            <w:tcBorders/>
            <w:vAlign w:val="center"/>
          </w:tcPr>
          <w:p>
            <w:pPr>
              <w:pStyle w:val="TableContents"/>
              <w:bidi w:val="0"/>
              <w:spacing w:before="0" w:after="283"/>
              <w:jc w:val="left"/>
              <w:rPr>
                <w:sz w:val="4"/>
                <w:szCs w:val="4"/>
              </w:rPr>
            </w:pPr>
            <w:r>
              <w:rPr>
                <w:sz w:val="4"/>
                <w:szCs w:val="4"/>
              </w:rPr>
            </w:r>
          </w:p>
        </w:tc>
      </w:tr>
      <w:tr>
        <w:trPr/>
        <w:tc>
          <w:tcPr>
            <w:tcW w:w="3038" w:type="dxa"/>
            <w:tcBorders/>
          </w:tcPr>
          <w:p>
            <w:pPr>
              <w:pStyle w:val="TableContents"/>
              <w:bidi w:val="0"/>
              <w:spacing w:before="0" w:after="283"/>
              <w:jc w:val="left"/>
              <w:rPr>
                <w:b/>
              </w:rPr>
            </w:pPr>
            <w:r>
              <w:rPr>
                <w:b/>
              </w:rPr>
              <w:t>Termination:</w:t>
            </w:r>
          </w:p>
        </w:tc>
        <w:tc>
          <w:tcPr>
            <w:tcW w:w="121" w:type="dxa"/>
            <w:tcBorders/>
            <w:vAlign w:val="bottom"/>
          </w:tcPr>
          <w:p>
            <w:pPr>
              <w:pStyle w:val="TableContents"/>
              <w:bidi w:val="0"/>
              <w:spacing w:before="0" w:after="283"/>
              <w:jc w:val="left"/>
              <w:rPr/>
            </w:pPr>
            <w:r>
              <w:rPr/>
              <w:t>  </w:t>
            </w:r>
          </w:p>
        </w:tc>
        <w:tc>
          <w:tcPr>
            <w:tcW w:w="7046" w:type="dxa"/>
            <w:tcBorders/>
          </w:tcPr>
          <w:p>
            <w:pPr>
              <w:pStyle w:val="TableContents"/>
              <w:bidi w:val="0"/>
              <w:spacing w:before="0" w:after="283"/>
              <w:jc w:val="left"/>
              <w:rPr/>
            </w:pPr>
            <w:r>
              <w:rPr/>
              <w:t>If Participant experiences a Termination of Service, all RSUs that have not become vested on or prior to the date of such Termination of Service will thereupon be automatically forfeited by Participant without payment of any consideration therefor.</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his or her signature and the Companys signature below, Participant agrees to be bound by the terms and conditions of the Plan, the Agreement and this Grant Notice. Participant has reviewed the Plan, the Agreement and this Grant Notice in their entirety, has had an opportunity to obtain the advice of counsel prior to executing this Grant Notice and fully understands all provisions of the Plan, the Agreement and this Grant Notice. Participant hereby agrees to accept as binding, conclusive and final all decisions or interpretations of the Administrator upon any questions arising under the Plan, the Agreement or this Grant Notice. In addition, by signing below, Participant also agrees that the Company, in its sole discretion, may satisfy any withholding obligations in accordance with Section 2.6(b) of the Agreement by (i) withholding shares of Common Stock otherwise issuable to Participant upon vesting of the RSUs, (ii) instructing a broker on Participants behalf to sell shares of Common Stock otherwise issuable to Participant upon vesting of the RSUs and submit the proceeds of such sale to the Company, or (iii) using any other method permitted by Section 2.6(b) of the Agreement or the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46"/>
        <w:gridCol w:w="117"/>
        <w:gridCol w:w="3199"/>
        <w:gridCol w:w="117"/>
        <w:gridCol w:w="356"/>
        <w:gridCol w:w="117"/>
        <w:gridCol w:w="1612"/>
        <w:gridCol w:w="131"/>
        <w:gridCol w:w="3210"/>
      </w:tblGrid>
      <w:tr>
        <w:trPr/>
        <w:tc>
          <w:tcPr>
            <w:tcW w:w="1346"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3199"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210" w:type="dxa"/>
            <w:tcBorders/>
            <w:vAlign w:val="center"/>
          </w:tcPr>
          <w:p>
            <w:pPr>
              <w:pStyle w:val="TableContents"/>
              <w:bidi w:val="0"/>
              <w:spacing w:before="0" w:after="283"/>
              <w:jc w:val="left"/>
              <w:rPr>
                <w:sz w:val="4"/>
                <w:szCs w:val="4"/>
              </w:rPr>
            </w:pPr>
            <w:r>
              <w:rPr>
                <w:sz w:val="4"/>
                <w:szCs w:val="4"/>
              </w:rPr>
            </w:r>
          </w:p>
        </w:tc>
      </w:tr>
      <w:tr>
        <w:trPr/>
        <w:tc>
          <w:tcPr>
            <w:tcW w:w="4662" w:type="dxa"/>
            <w:gridSpan w:val="3"/>
            <w:tcBorders/>
            <w:vAlign w:val="bottom"/>
          </w:tcPr>
          <w:p>
            <w:pPr>
              <w:pStyle w:val="TableContents"/>
              <w:bidi w:val="0"/>
              <w:spacing w:before="0" w:after="283"/>
              <w:jc w:val="left"/>
              <w:rPr>
                <w:b/>
              </w:rPr>
            </w:pPr>
            <w:r>
              <w:rPr>
                <w:b/>
              </w:rPr>
              <w:t>BIOMEA FUSION, INC.:</w:t>
            </w:r>
          </w:p>
        </w:tc>
        <w:tc>
          <w:tcPr>
            <w:tcW w:w="11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4953" w:type="dxa"/>
            <w:gridSpan w:val="3"/>
            <w:tcBorders/>
            <w:vAlign w:val="bottom"/>
          </w:tcPr>
          <w:p>
            <w:pPr>
              <w:pStyle w:val="TableContents"/>
              <w:bidi w:val="0"/>
              <w:spacing w:before="0" w:after="283"/>
              <w:jc w:val="left"/>
              <w:rPr>
                <w:b/>
              </w:rPr>
            </w:pPr>
            <w:r>
              <w:rPr>
                <w:b/>
              </w:rPr>
              <w:t>PARTICIPANT:</w:t>
            </w:r>
          </w:p>
        </w:tc>
      </w:tr>
      <w:tr>
        <w:trPr>
          <w:trHeight w:val="240" w:hRule="atLeast"/>
        </w:trPr>
        <w:tc>
          <w:tcPr>
            <w:tcW w:w="1346" w:type="dxa"/>
            <w:tcBorders/>
            <w:vAlign w:val="center"/>
          </w:tcPr>
          <w:p>
            <w:pPr>
              <w:pStyle w:val="TableContents"/>
              <w:bidi w:val="0"/>
              <w:spacing w:before="0" w:after="283"/>
              <w:jc w:val="left"/>
              <w:rPr>
                <w:sz w:val="4"/>
                <w:szCs w:val="4"/>
              </w:rPr>
            </w:pPr>
            <w:r>
              <w:rPr>
                <w:sz w:val="4"/>
                <w:szCs w:val="4"/>
              </w:rPr>
            </w:r>
          </w:p>
        </w:tc>
        <w:tc>
          <w:tcPr>
            <w:tcW w:w="3316" w:type="dxa"/>
            <w:gridSpan w:val="2"/>
            <w:tcBorders/>
            <w:vAlign w:val="center"/>
          </w:tcPr>
          <w:p>
            <w:pPr>
              <w:pStyle w:val="TableContents"/>
              <w:bidi w:val="0"/>
              <w:spacing w:before="0" w:after="283"/>
              <w:jc w:val="left"/>
              <w:rPr>
                <w:sz w:val="4"/>
                <w:szCs w:val="4"/>
              </w:rPr>
            </w:pPr>
            <w:r>
              <w:rPr>
                <w:sz w:val="4"/>
                <w:szCs w:val="4"/>
              </w:rPr>
            </w:r>
          </w:p>
        </w:tc>
        <w:tc>
          <w:tcPr>
            <w:tcW w:w="473" w:type="dxa"/>
            <w:gridSpan w:val="2"/>
            <w:tcBorders/>
            <w:vAlign w:val="center"/>
          </w:tcPr>
          <w:p>
            <w:pPr>
              <w:pStyle w:val="TableContents"/>
              <w:bidi w:val="0"/>
              <w:spacing w:before="0" w:after="283"/>
              <w:jc w:val="left"/>
              <w:rPr>
                <w:sz w:val="4"/>
                <w:szCs w:val="4"/>
              </w:rPr>
            </w:pPr>
            <w:r>
              <w:rPr>
                <w:sz w:val="4"/>
                <w:szCs w:val="4"/>
              </w:rPr>
            </w:r>
          </w:p>
        </w:tc>
        <w:tc>
          <w:tcPr>
            <w:tcW w:w="1729" w:type="dxa"/>
            <w:gridSpan w:val="2"/>
            <w:tcBorders/>
            <w:vAlign w:val="center"/>
          </w:tcPr>
          <w:p>
            <w:pPr>
              <w:pStyle w:val="TableContents"/>
              <w:bidi w:val="0"/>
              <w:spacing w:before="0" w:after="283"/>
              <w:jc w:val="left"/>
              <w:rPr>
                <w:sz w:val="4"/>
                <w:szCs w:val="4"/>
              </w:rPr>
            </w:pPr>
            <w:r>
              <w:rPr>
                <w:sz w:val="4"/>
                <w:szCs w:val="4"/>
              </w:rPr>
            </w:r>
          </w:p>
        </w:tc>
        <w:tc>
          <w:tcPr>
            <w:tcW w:w="3341" w:type="dxa"/>
            <w:gridSpan w:val="2"/>
            <w:tcBorders/>
            <w:vAlign w:val="center"/>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bidi w:val="0"/>
              <w:spacing w:before="0" w:after="283"/>
              <w:jc w:val="left"/>
              <w:rPr/>
            </w:pPr>
            <w:r>
              <w:rPr/>
              <w:t>By:</w:t>
            </w:r>
          </w:p>
        </w:tc>
        <w:tc>
          <w:tcPr>
            <w:tcW w:w="117" w:type="dxa"/>
            <w:tcBorders/>
            <w:vAlign w:val="bottom"/>
          </w:tcPr>
          <w:p>
            <w:pPr>
              <w:pStyle w:val="TableContents"/>
              <w:bidi w:val="0"/>
              <w:spacing w:before="0" w:after="283"/>
              <w:jc w:val="left"/>
              <w:rPr/>
            </w:pPr>
            <w:r>
              <w:rPr/>
              <w:t> </w:t>
            </w:r>
          </w:p>
        </w:tc>
        <w:tc>
          <w:tcPr>
            <w:tcW w:w="3199"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612" w:type="dxa"/>
            <w:tcBorders/>
            <w:vAlign w:val="bottom"/>
          </w:tcPr>
          <w:p>
            <w:pPr>
              <w:pStyle w:val="TableContents"/>
              <w:bidi w:val="0"/>
              <w:spacing w:before="0" w:after="283"/>
              <w:jc w:val="left"/>
              <w:rPr/>
            </w:pPr>
            <w:r>
              <w:rPr/>
              <w:t>By:</w:t>
            </w:r>
          </w:p>
        </w:tc>
        <w:tc>
          <w:tcPr>
            <w:tcW w:w="131" w:type="dxa"/>
            <w:tcBorders/>
            <w:vAlign w:val="bottom"/>
          </w:tcPr>
          <w:p>
            <w:pPr>
              <w:pStyle w:val="TableContents"/>
              <w:bidi w:val="0"/>
              <w:spacing w:before="0" w:after="283"/>
              <w:jc w:val="left"/>
              <w:rPr/>
            </w:pPr>
            <w:r>
              <w:rPr/>
              <w:t> </w:t>
            </w:r>
          </w:p>
        </w:tc>
        <w:tc>
          <w:tcPr>
            <w:tcW w:w="3210" w:type="dxa"/>
            <w:tcBorders/>
            <w:vAlign w:val="bottom"/>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bidi w:val="0"/>
              <w:spacing w:before="0" w:after="283"/>
              <w:jc w:val="left"/>
              <w:rPr/>
            </w:pPr>
            <w:r>
              <w:rPr/>
              <w:t>Print Name:</w:t>
            </w:r>
          </w:p>
        </w:tc>
        <w:tc>
          <w:tcPr>
            <w:tcW w:w="117" w:type="dxa"/>
            <w:tcBorders/>
            <w:vAlign w:val="bottom"/>
          </w:tcPr>
          <w:p>
            <w:pPr>
              <w:pStyle w:val="TableContents"/>
              <w:bidi w:val="0"/>
              <w:spacing w:before="0" w:after="283"/>
              <w:jc w:val="left"/>
              <w:rPr/>
            </w:pPr>
            <w:r>
              <w:rPr/>
              <w:t> </w:t>
            </w:r>
          </w:p>
        </w:tc>
        <w:tc>
          <w:tcPr>
            <w:tcW w:w="3199"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612" w:type="dxa"/>
            <w:tcBorders/>
            <w:vAlign w:val="bottom"/>
          </w:tcPr>
          <w:p>
            <w:pPr>
              <w:pStyle w:val="TableContents"/>
              <w:bidi w:val="0"/>
              <w:spacing w:before="0" w:after="283"/>
              <w:jc w:val="left"/>
              <w:rPr/>
            </w:pPr>
            <w:r>
              <w:rPr/>
              <w:t>Print Name:</w:t>
            </w:r>
          </w:p>
        </w:tc>
        <w:tc>
          <w:tcPr>
            <w:tcW w:w="131" w:type="dxa"/>
            <w:tcBorders/>
            <w:vAlign w:val="bottom"/>
          </w:tcPr>
          <w:p>
            <w:pPr>
              <w:pStyle w:val="TableContents"/>
              <w:bidi w:val="0"/>
              <w:spacing w:before="0" w:after="283"/>
              <w:jc w:val="left"/>
              <w:rPr/>
            </w:pPr>
            <w:r>
              <w:rPr/>
              <w:t> </w:t>
            </w:r>
          </w:p>
        </w:tc>
        <w:tc>
          <w:tcPr>
            <w:tcW w:w="3210" w:type="dxa"/>
            <w:tcBorders/>
            <w:vAlign w:val="bottom"/>
          </w:tcPr>
          <w:p>
            <w:pPr>
              <w:pStyle w:val="TableContents"/>
              <w:bidi w:val="0"/>
              <w:spacing w:before="0" w:after="283"/>
              <w:jc w:val="left"/>
              <w:rPr>
                <w:sz w:val="4"/>
                <w:szCs w:val="4"/>
              </w:rPr>
            </w:pPr>
            <w:r>
              <w:rPr>
                <w:sz w:val="4"/>
                <w:szCs w:val="4"/>
              </w:rPr>
            </w:r>
          </w:p>
        </w:tc>
      </w:tr>
      <w:tr>
        <w:trPr/>
        <w:tc>
          <w:tcPr>
            <w:tcW w:w="1346" w:type="dxa"/>
            <w:tcBorders/>
          </w:tcPr>
          <w:p>
            <w:pPr>
              <w:pStyle w:val="TableContents"/>
              <w:bidi w:val="0"/>
              <w:spacing w:before="0" w:after="283"/>
              <w:jc w:val="left"/>
              <w:rPr/>
            </w:pPr>
            <w:r>
              <w:rPr/>
              <w:t>Title:</w:t>
            </w:r>
          </w:p>
        </w:tc>
        <w:tc>
          <w:tcPr>
            <w:tcW w:w="117" w:type="dxa"/>
            <w:tcBorders/>
            <w:vAlign w:val="bottom"/>
          </w:tcPr>
          <w:p>
            <w:pPr>
              <w:pStyle w:val="TableContents"/>
              <w:bidi w:val="0"/>
              <w:spacing w:before="0" w:after="283"/>
              <w:jc w:val="left"/>
              <w:rPr/>
            </w:pPr>
            <w:r>
              <w:rPr/>
              <w:t> </w:t>
            </w:r>
          </w:p>
        </w:tc>
        <w:tc>
          <w:tcPr>
            <w:tcW w:w="3199"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356"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612"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3210" w:type="dxa"/>
            <w:tcBorders/>
            <w:vAlign w:val="bottom"/>
          </w:tcPr>
          <w:p>
            <w:pPr>
              <w:pStyle w:val="TableContents"/>
              <w:bidi w:val="0"/>
              <w:spacing w:before="0" w:after="283"/>
              <w:jc w:val="left"/>
              <w:rPr>
                <w:sz w:val="4"/>
                <w:szCs w:val="4"/>
              </w:rPr>
            </w:pPr>
            <w:r>
              <w:rPr>
                <w:sz w:val="4"/>
                <w:szCs w:val="4"/>
              </w:rPr>
            </w:r>
          </w:p>
        </w:tc>
      </w:tr>
      <w:tr>
        <w:trPr/>
        <w:tc>
          <w:tcPr>
            <w:tcW w:w="1346" w:type="dxa"/>
            <w:tcBorders/>
            <w:vAlign w:val="bottom"/>
          </w:tcPr>
          <w:p>
            <w:pPr>
              <w:pStyle w:val="TableContents"/>
              <w:bidi w:val="0"/>
              <w:spacing w:before="0" w:after="283"/>
              <w:jc w:val="left"/>
              <w:rPr/>
            </w:pPr>
            <w:r>
              <w:rPr/>
              <w:t>Address:</w:t>
            </w:r>
          </w:p>
        </w:tc>
        <w:tc>
          <w:tcPr>
            <w:tcW w:w="117" w:type="dxa"/>
            <w:tcBorders/>
            <w:vAlign w:val="bottom"/>
          </w:tcPr>
          <w:p>
            <w:pPr>
              <w:pStyle w:val="TableContents"/>
              <w:bidi w:val="0"/>
              <w:spacing w:before="0" w:after="283"/>
              <w:jc w:val="left"/>
              <w:rPr/>
            </w:pPr>
            <w:r>
              <w:rPr/>
              <w:t> </w:t>
            </w:r>
          </w:p>
        </w:tc>
        <w:tc>
          <w:tcPr>
            <w:tcW w:w="3199"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612" w:type="dxa"/>
            <w:tcBorders/>
            <w:vAlign w:val="bottom"/>
          </w:tcPr>
          <w:p>
            <w:pPr>
              <w:pStyle w:val="TableContents"/>
              <w:bidi w:val="0"/>
              <w:spacing w:before="0" w:after="283"/>
              <w:jc w:val="left"/>
              <w:rPr/>
            </w:pPr>
            <w:r>
              <w:rPr/>
              <w:t>Address:</w:t>
            </w:r>
          </w:p>
        </w:tc>
        <w:tc>
          <w:tcPr>
            <w:tcW w:w="131" w:type="dxa"/>
            <w:tcBorders/>
            <w:vAlign w:val="bottom"/>
          </w:tcPr>
          <w:p>
            <w:pPr>
              <w:pStyle w:val="TableContents"/>
              <w:bidi w:val="0"/>
              <w:spacing w:before="0" w:after="283"/>
              <w:jc w:val="left"/>
              <w:rPr/>
            </w:pPr>
            <w:r>
              <w:rPr/>
              <w:t> </w:t>
            </w:r>
          </w:p>
        </w:tc>
        <w:tc>
          <w:tcPr>
            <w:tcW w:w="321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0" w:after="0"/>
        <w:jc w:val="center"/>
        <w:rPr>
          <w:rFonts w:ascii="Times New Roman" w:hAnsi="Times New Roman"/>
          <w:b/>
          <w:sz w:val="20"/>
        </w:rPr>
      </w:pPr>
      <w:r>
        <w:rPr>
          <w:rFonts w:ascii="Times New Roman" w:hAnsi="Times New Roman"/>
          <w:b/>
          <w:sz w:val="20"/>
        </w:rPr>
        <w:t xml:space="preserve">TO RESTRICTED STOCK UNIT AWARD GRANT NOTICE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 AWARD AGREEMENT </w:t>
      </w:r>
    </w:p>
    <w:p>
      <w:pPr>
        <w:pStyle w:val="TextBody"/>
        <w:bidi w:val="0"/>
        <w:spacing w:before="240" w:after="0"/>
        <w:jc w:val="left"/>
        <w:rPr>
          <w:rFonts w:ascii="Times New Roman" w:hAnsi="Times New Roman"/>
          <w:sz w:val="20"/>
        </w:rPr>
      </w:pPr>
      <w:r>
        <w:rPr>
          <w:rFonts w:ascii="Times New Roman" w:hAnsi="Times New Roman"/>
          <w:sz w:val="20"/>
        </w:rPr>
        <w:t>Pursuant to the Restricted Stock Unit Award Grant Notice (the </w:t>
      </w:r>
      <w:r>
        <w:rPr>
          <w:rFonts w:ascii="Times New Roman" w:hAnsi="Times New Roman"/>
          <w:b/>
          <w:i/>
          <w:sz w:val="20"/>
        </w:rPr>
        <w:t>Grant Notice</w:t>
      </w:r>
      <w:r>
        <w:rPr>
          <w:rFonts w:ascii="Times New Roman" w:hAnsi="Times New Roman"/>
          <w:sz w:val="20"/>
        </w:rPr>
        <w:t>) to which this Restricted Stock Unit Award Agreement (this </w:t>
      </w:r>
      <w:r>
        <w:rPr>
          <w:rFonts w:ascii="Times New Roman" w:hAnsi="Times New Roman"/>
          <w:b/>
          <w:i/>
          <w:sz w:val="20"/>
        </w:rPr>
        <w:t>Agreement</w:t>
      </w:r>
      <w:r>
        <w:rPr>
          <w:rFonts w:ascii="Times New Roman" w:hAnsi="Times New Roman"/>
          <w:sz w:val="20"/>
        </w:rPr>
        <w:t>) is attached, Biomea Fusion, Inc., a Delaware corporation (the </w:t>
      </w:r>
      <w:r>
        <w:rPr>
          <w:rFonts w:ascii="Times New Roman" w:hAnsi="Times New Roman"/>
          <w:b/>
          <w:i/>
          <w:sz w:val="20"/>
        </w:rPr>
        <w:t>Company</w:t>
      </w:r>
      <w:r>
        <w:rPr>
          <w:rFonts w:ascii="Times New Roman" w:hAnsi="Times New Roman"/>
          <w:sz w:val="20"/>
        </w:rPr>
        <w:t>), has granted to Participant the number of restricted stock units (</w:t>
      </w:r>
      <w:r>
        <w:rPr>
          <w:rFonts w:ascii="Times New Roman" w:hAnsi="Times New Roman"/>
          <w:b/>
          <w:i/>
          <w:sz w:val="20"/>
        </w:rPr>
        <w:t>Restricted Stock Units</w:t>
      </w:r>
      <w:r>
        <w:rPr>
          <w:rFonts w:ascii="Times New Roman" w:hAnsi="Times New Roman"/>
          <w:sz w:val="20"/>
        </w:rPr>
        <w:t> or </w:t>
      </w:r>
      <w:r>
        <w:rPr>
          <w:rFonts w:ascii="Times New Roman" w:hAnsi="Times New Roman"/>
          <w:b/>
          <w:i/>
          <w:sz w:val="20"/>
        </w:rPr>
        <w:t>RSUs</w:t>
      </w:r>
      <w:r>
        <w:rPr>
          <w:rFonts w:ascii="Times New Roman" w:hAnsi="Times New Roman"/>
          <w:sz w:val="20"/>
        </w:rPr>
        <w:t>) set forth in the Grant Notice under the Companys 2023 Inducement Plan, as amended from time to time (the </w:t>
      </w:r>
      <w:r>
        <w:rPr>
          <w:rFonts w:ascii="Times New Roman" w:hAnsi="Times New Roman"/>
          <w:b/>
          <w:i/>
          <w:sz w:val="20"/>
        </w:rPr>
        <w:t>Plan</w:t>
      </w:r>
      <w:r>
        <w:rPr>
          <w:rFonts w:ascii="Times New Roman" w:hAnsi="Times New Roman"/>
          <w:sz w:val="20"/>
        </w:rPr>
        <w:t>). Each Restricted Stock Unit represents the right to receive one share of Common Stock (a </w:t>
      </w:r>
      <w:r>
        <w:rPr>
          <w:rFonts w:ascii="Times New Roman" w:hAnsi="Times New Roman"/>
          <w:b/>
          <w:i/>
          <w:sz w:val="20"/>
        </w:rPr>
        <w:t>Share</w:t>
      </w:r>
      <w:r>
        <w:rPr>
          <w:rFonts w:ascii="Times New Roman" w:hAnsi="Times New Roman"/>
          <w:sz w:val="20"/>
        </w:rPr>
        <w:t xml:space="preserve">) upon vesting. This Award has been granted as an inducement pursuant to Rule 5635(c)(4) of the Marketplace Rules of NASDAQ Stock Market, Inc.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Defined Terms</w:t>
      </w:r>
      <w:r>
        <w:rPr>
          <w:rFonts w:ascii="Times New Roman" w:hAnsi="Times New Roman"/>
          <w:sz w:val="20"/>
        </w:rPr>
        <w:t xml:space="preserve">. Capitalized terms not specifically defined herein shall have the meanings specified in the Plan and the Grant Notice.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Incorporation of Terms of Plan</w:t>
      </w:r>
      <w:r>
        <w:rPr>
          <w:rFonts w:ascii="Times New Roman" w:hAnsi="Times New Roman"/>
          <w:sz w:val="20"/>
        </w:rPr>
        <w:t xml:space="preserve">. The RSUs are subject to the terms and conditions of the Plan, which are incorporated herein by reference. In the event of any inconsistency between the Plan and this Agreement, the terms of the Plan shall control.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GRANT OF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Grant of RSUs</w:t>
      </w:r>
      <w:r>
        <w:rPr>
          <w:rFonts w:ascii="Times New Roman" w:hAnsi="Times New Roman"/>
          <w:sz w:val="20"/>
        </w:rPr>
        <w:t xml:space="preserve">. Pursuant to the Grant Notice and upon the terms and conditions set forth in the Plan and this Agreement, effective as of the Grant Date set forth in the Grant Notice, the Company hereby grants to Participant an award of RSUs under the Plan in consideration of Participants employment with or service to the Company or any Subsidiaries and for other good and valuable consideration.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Unsecured Obligation to RSUs</w:t>
      </w:r>
      <w:r>
        <w:rPr>
          <w:rFonts w:ascii="Times New Roman" w:hAnsi="Times New Roman"/>
          <w:sz w:val="20"/>
        </w:rPr>
        <w:t xml:space="preserve">. Unless and until the RSUs have vested in the manner set forth in Article 2 hereof, Participant will have no right to receive Common Stock or other property under any such RSUs. Prior to actual payment of any vested RSUs, such RSUs will represent an unsecured obligation of the Company, payable (if at all) only from the general assets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Vesting Schedule</w:t>
      </w:r>
      <w:r>
        <w:rPr>
          <w:rFonts w:ascii="Times New Roman" w:hAnsi="Times New Roman"/>
          <w:sz w:val="20"/>
        </w:rPr>
        <w:t xml:space="preserve">. Subject to Section 2.5 hereof, the RSUs shall vest and become nonforfeitable with respect to the applicable portion thereof according to the vesting schedule set forth in the Grant Notice (rounding down to the nearest whole Share).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Consideration to the Company</w:t>
      </w:r>
      <w:r>
        <w:rPr>
          <w:rFonts w:ascii="Times New Roman" w:hAnsi="Times New Roman"/>
          <w:sz w:val="20"/>
        </w:rPr>
        <w:t xml:space="preserve">. In consideration of the grant of the award of RSUs pursuant hereto, Participant agrees to render faithful and efficient services to the Company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Forfeiture, Termination and Cancellation upon Termination of Service</w:t>
      </w:r>
      <w:r>
        <w:rPr>
          <w:rFonts w:ascii="Times New Roman" w:hAnsi="Times New Roman"/>
          <w:sz w:val="20"/>
        </w:rPr>
        <w:t xml:space="preserve">. Notwithstanding any contrary provision of this Agreement or the Plan, upon Participants Termination of Service for any or no reason, all Restricted Stock Units which have not vested prior to or in connection with such Termination of Service shall thereupon automatically be forfeited, terminated and cancelled as of the applicable termination date without payment of any consideration by the Company, and Participant, or Participants beneficiary or personal representative, as the case may be, shall have no further rights hereunder. No portion of the RSUs which has not become vested as of the date on which Participant incurs a Termination of Service shall thereafter become vested, except as may otherwise be provided by the Administrator or as set forth in a written agreement between the Company (or any Subsidiary that is the employer of Participant) and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Issuance of Common Stock upon Vesting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soon as administratively practicable following the vesting of any Restricted Stock Units pursuant to Section 2.3 hereof, but in no event later than 30 days after such vesting date (for the avoidance of doubt, this deadline is intended to comply with the short term deferral exemption from Section 409A of the Code), the Company shall deliver to Participant (or any transferee permitted under Section 3.2 hereof) a number of Shares equal to the number of RSUs subject to this Award that vest on the applicable vesting date. Notwithstanding the foregoing, in the event Shares cannot be issued pursuant to Section 10.7 of the Plan, the Shares shall be issued pursuant to the preceding sentence as soon as administratively practicable after the Administrator determines that Shares can again be issued in accordance with such Section. </w:t>
      </w:r>
    </w:p>
    <w:p>
      <w:pPr>
        <w:pStyle w:val="TextBody"/>
        <w:bidi w:val="0"/>
        <w:spacing w:before="240" w:after="0"/>
        <w:jc w:val="left"/>
        <w:rPr>
          <w:rFonts w:ascii="Times New Roman" w:hAnsi="Times New Roman"/>
          <w:sz w:val="20"/>
        </w:rPr>
      </w:pPr>
      <w:r>
        <w:rPr>
          <w:rFonts w:ascii="Times New Roman" w:hAnsi="Times New Roman"/>
          <w:sz w:val="20"/>
        </w:rPr>
        <w:t xml:space="preserve">(b) As set forth in Section 10.5 of the Plan, the Company shall have the authority and the right to deduct or withhold, or to require Participant to remit to the Company, an amount sufficient to satisfy all applicable Tax Related Items required by law to be withheld with respect to any taxable event arising in connection with the Restricted Stock Units. The Company shall not be obligated to deliver any Shares to Participant or Participants legal representative unless and until Participant or Participants legal representative shall have paid or otherwise satisfied in full the amount of all Tax Related Items applicable to the taxable income of Participant resulting from the grant or vesting of the Restricted Stock Units or the issuance of Shares.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Conditions to Delivery of Shares</w:t>
      </w:r>
      <w:r>
        <w:rPr>
          <w:rFonts w:ascii="Times New Roman" w:hAnsi="Times New Roman"/>
          <w:sz w:val="20"/>
        </w:rPr>
        <w:t xml:space="preserve">. The Shares deliverable hereunder may be either previously authorized but unissued Shares, treasury Shares or issued Shares which have then been reacquired by the Company. Such Shares shall be fully paid and nonassessable. The Company shall not be required to issue Shares deliverable hereunder prior to fulfillment of the conditions set forth in Section 10.7 of the Plan.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Rights as Stockholder</w:t>
      </w:r>
      <w:r>
        <w:rPr>
          <w:rFonts w:ascii="Times New Roman" w:hAnsi="Times New Roman"/>
          <w:sz w:val="20"/>
        </w:rPr>
        <w:t xml:space="preserve">. The holder of the RSUs shall not be, nor have any of the rights or privileges of, a stockholder of the Company, including, without limitation, voting rights and rights to dividends, in respect of the RSUs and any Shares underlying the RSUs and deliverable hereunder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Article IX of the Plan.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OTHER PROVISIONS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Administration</w:t>
      </w:r>
      <w:r>
        <w:rPr>
          <w:rFonts w:ascii="Times New Roman" w:hAnsi="Times New Roman"/>
          <w:sz w:val="20"/>
        </w:rPr>
        <w:t xml:space="preserve">.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Participant, the Company and all other interested persons. No member of the Administrator or the Board shall be personally liable for any action, determination or interpretation made in good faith with respect to the Plan, this Agreement or the RSUs.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Transferability</w:t>
      </w:r>
      <w:r>
        <w:rPr>
          <w:rFonts w:ascii="Times New Roman" w:hAnsi="Times New Roman"/>
          <w:sz w:val="20"/>
        </w:rPr>
        <w:t xml:space="preserve">. The RSUs shall be subject to the restrictions on transferability set forth in Section 10.1 of the Plan.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Tax Consultation</w:t>
      </w:r>
      <w:r>
        <w:rPr>
          <w:rFonts w:ascii="Times New Roman" w:hAnsi="Times New Roman"/>
          <w:sz w:val="20"/>
        </w:rPr>
        <w:t xml:space="preserve">. Participant understands that Participant may suffer adverse tax consequences in connection with the RSUs granted pursuant to this Agreement (and the Shares issuable with respect thereto). Participant represents that Participant has consulted with any tax consultants Participant deems advisable in connection with the RSUs and the issuance of Shares with respect thereto and that Participant is not relying on the Company for any tax advice.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Binding Agreement</w:t>
      </w:r>
      <w:r>
        <w:rPr>
          <w:rFonts w:ascii="Times New Roman" w:hAnsi="Times New Roman"/>
          <w:sz w:val="20"/>
        </w:rPr>
        <w:t xml:space="preserve">. Subject to the limitation on the transferability of the RSUs contained herein, this Agreement will be binding upon and inure to the benefit of the heirs, legatees, legal representatives, successors and assigns of the parties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Adjustments Upon Specified Events</w:t>
      </w:r>
      <w:r>
        <w:rPr>
          <w:rFonts w:ascii="Times New Roman" w:hAnsi="Times New Roman"/>
          <w:sz w:val="20"/>
        </w:rPr>
        <w:t xml:space="preserve">. The Administrator may accelerate the vesting of the RSUs in such circumstances as it, in its sole discretion, may determine. Participant acknowledges that the RSUs are subject to adjustment, modification and termination in certain events as provided in this Agreement and Article IX of the Plan.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Notices</w:t>
      </w:r>
      <w:r>
        <w:rPr>
          <w:rFonts w:ascii="Times New Roman" w:hAnsi="Times New Roman"/>
          <w:sz w:val="20"/>
        </w:rPr>
        <w:t xml:space="preserve">.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3.6,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 (or similar foreign entity).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Participants Representations</w:t>
      </w:r>
      <w:r>
        <w:rPr>
          <w:rFonts w:ascii="Times New Roman" w:hAnsi="Times New Roman"/>
          <w:sz w:val="20"/>
        </w:rPr>
        <w:t xml:space="preserve">. If the Shares issuable hereunder have not been registered under the Securities Act or any applicable state laws on an effective registration statement at the time of such issuance, Participant shall, if required by the Company, concurrently with such issuance, make such written representations as are deemed necessary or appropriate by the Company or its counsel.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Titles</w:t>
      </w:r>
      <w:r>
        <w:rPr>
          <w:rFonts w:ascii="Times New Roman" w:hAnsi="Times New Roman"/>
          <w:sz w:val="20"/>
        </w:rPr>
        <w:t xml:space="preserve">. Titles are provided herein for convenience only and are not to serve as a basis for interpretation or construction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Governing Law</w:t>
      </w:r>
      <w:r>
        <w:rPr>
          <w:rFonts w:ascii="Times New Roman" w:hAnsi="Times New Roman"/>
          <w:sz w:val="20"/>
        </w:rPr>
        <w:t xml:space="preserve">. The laws of the State of Delaware shall govern the interpretation, validity, administration, enforcement and performance of the terms of this Agreement regardless of the law that might be applied under principles of conflicts of laws.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Conformity to Securities Laws</w:t>
      </w:r>
      <w:r>
        <w:rPr>
          <w:rFonts w:ascii="Times New Roman" w:hAnsi="Times New Roman"/>
          <w:sz w:val="20"/>
        </w:rPr>
        <w:t xml:space="preserve">. Participant acknowledges that the Plan and this Agreement are intended to conform to the extent necessary with all provisions of the Securities Act and the Exchange Act and any other Applicable Law.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such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Amendment, Suspension and Termination</w:t>
      </w:r>
      <w:r>
        <w:rPr>
          <w:rFonts w:ascii="Times New Roman" w:hAnsi="Times New Roman"/>
          <w:sz w:val="20"/>
        </w:rPr>
        <w:t xml:space="preserve">. To the extent permitted by the Plan, this Agreement may be wholly or partially amended or otherwise modified, suspended or terminated at any time or from time to time by the Administrator or the Board; </w:t>
      </w:r>
      <w:r>
        <w:rPr>
          <w:rFonts w:ascii="Times New Roman" w:hAnsi="Times New Roman"/>
          <w:i/>
          <w:sz w:val="20"/>
        </w:rPr>
        <w:t>provided, however,</w:t>
      </w:r>
      <w:r>
        <w:rPr>
          <w:rFonts w:ascii="Times New Roman" w:hAnsi="Times New Roman"/>
          <w:sz w:val="20"/>
        </w:rPr>
        <w:t xml:space="preserve"> that, except as may otherwise be provided by the Plan, no amendment, modification, suspension or termination of this Agreement shall adversely affect the RSUs in any material way without the prior written consent of Participant.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Successors and Assigns</w:t>
      </w:r>
      <w:r>
        <w:rPr>
          <w:rFonts w:ascii="Times New Roman" w:hAnsi="Times New Roman"/>
          <w:sz w:val="20"/>
        </w:rPr>
        <w:t xml:space="preserve">. The Company may assign any of its rights under this Agreement to single or multiple assignees, and this Agreement shall inure to the benefit of the successors and assigns of the Company. Subject to the restrictions on transfer herein set forth in Section 3.2 hereof, this Agreement shall be binding upon Participant and his or her heirs, executors, administrators,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Limitations Applicable to Section 16 Persons</w:t>
      </w:r>
      <w:r>
        <w:rPr>
          <w:rFonts w:ascii="Times New Roman" w:hAnsi="Times New Roman"/>
          <w:sz w:val="20"/>
        </w:rPr>
        <w:t xml:space="preserve">. Notwithstanding any other provision of the Plan or this Agreement, if Participant is subject to Section 16 of the Exchange Act, then the Plan, the RSUs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Not a Contract of Service Relationship</w:t>
      </w:r>
      <w:r>
        <w:rPr>
          <w:rFonts w:ascii="Times New Roman" w:hAnsi="Times New Roman"/>
          <w:sz w:val="20"/>
        </w:rPr>
        <w:t xml:space="preserve">. Nothing in this Agreement or in the Plan shall confer upon Participant any right to continue to serve as an Employee or other service provider of the Company or any of its Subsidiaries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by Applicable Law or in a written agreement between the Company or a Subsidiary and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Entire Agreement</w:t>
      </w:r>
      <w:r>
        <w:rPr>
          <w:rFonts w:ascii="Times New Roman" w:hAnsi="Times New Roman"/>
          <w:sz w:val="20"/>
        </w:rPr>
        <w:t xml:space="preserve">. The Plan, the Grant Notice and this Agreement (including all Exhibits thereto, if any) constitute the entire agreement of the parties and supersede in their entirety all prior undertakings and agreements of the Company and Participant with respect to the subject matter hereof, </w:t>
      </w:r>
      <w:r>
        <w:rPr>
          <w:rFonts w:ascii="Times New Roman" w:hAnsi="Times New Roman"/>
          <w:i/>
          <w:sz w:val="20"/>
        </w:rPr>
        <w:t>provided</w:t>
      </w:r>
      <w:r>
        <w:rPr>
          <w:rFonts w:ascii="Times New Roman" w:hAnsi="Times New Roman"/>
          <w:sz w:val="20"/>
        </w:rPr>
        <w:t xml:space="preserve"> that the RSUs shall be subject to any accelerated vesting provisions in any written agreement between Participant and the Company (or any Subsidiary who is the employer of Participant) or a Company plan pursuant to which Participant participates, in each case, in accordance with the terms therein.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Section 409A</w:t>
      </w:r>
      <w:r>
        <w:rPr>
          <w:rFonts w:ascii="Times New Roman" w:hAnsi="Times New Roman"/>
          <w:sz w:val="20"/>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 </w:t>
      </w:r>
    </w:p>
    <w:p>
      <w:pPr>
        <w:pStyle w:val="TextBody"/>
        <w:bidi w:val="0"/>
        <w:spacing w:before="24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Limitation on Participants Rights</w:t>
      </w:r>
      <w:r>
        <w:rPr>
          <w:rFonts w:ascii="Times New Roman" w:hAnsi="Times New Roman"/>
          <w:sz w:val="20"/>
        </w:rPr>
        <w:t xml:space="preserve">.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and its Subsidiaries with respect to amounts credited and benefits payable, if any, with respect to the RSUs, and rights no greater than the right to receive the Shares as a general unsecured creditor with respect to RSUs, as and when payable hereunder. </w:t>
      </w:r>
    </w:p>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p>
    <w:p>
      <w:pPr>
        <w:pStyle w:val="TextBody"/>
        <w:bidi w:val="0"/>
        <w:spacing w:before="0" w:after="0"/>
        <w:jc w:val="right"/>
        <w:rPr>
          <w:rFonts w:ascii="Times New Roman" w:hAnsi="Times New Roman"/>
          <w:b/>
          <w:sz w:val="20"/>
        </w:rPr>
      </w:pPr>
      <w:bookmarkStart w:id="16" w:name="d701282dexfilingfees.htm"/>
      <w:bookmarkStart w:id="17" w:name="ksd701282dexfilingfees"/>
      <w:bookmarkEnd w:id="16"/>
      <w:bookmarkEnd w:id="17"/>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b/>
          <w:sz w:val="20"/>
        </w:rPr>
      </w:pPr>
      <w:r>
        <w:rPr>
          <w:rFonts w:ascii="Times New Roman" w:hAnsi="Times New Roman"/>
          <w:b/>
          <w:sz w:val="20"/>
        </w:rPr>
        <w:t xml:space="preserve">Form S-8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Biomea Fusion, Inc.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Table 1: Newly Registered Securities </w:t>
      </w:r>
    </w:p>
    <w:p>
      <w:pPr>
        <w:pStyle w:val="TextBody"/>
        <w:bidi w:val="0"/>
        <w:spacing w:before="0" w:after="0"/>
        <w:jc w:val="left"/>
        <w:rPr/>
      </w:pPr>
      <w:r>
        <w:rPr/>
        <w:t> </w:t>
      </w:r>
    </w:p>
    <w:tbl>
      <w:tblPr>
        <w:tblW w:w="8470" w:type="dxa"/>
        <w:jc w:val="center"/>
        <w:tblInd w:w="0" w:type="dxa"/>
        <w:tblLayout w:type="fixed"/>
        <w:tblCellMar>
          <w:top w:w="0" w:type="dxa"/>
          <w:left w:w="0" w:type="dxa"/>
          <w:bottom w:w="0" w:type="dxa"/>
          <w:right w:w="0" w:type="dxa"/>
        </w:tblCellMar>
      </w:tblPr>
      <w:tblGrid>
        <w:gridCol w:w="800"/>
        <w:gridCol w:w="60"/>
        <w:gridCol w:w="905"/>
        <w:gridCol w:w="60"/>
        <w:gridCol w:w="695"/>
        <w:gridCol w:w="60"/>
        <w:gridCol w:w="1310"/>
        <w:gridCol w:w="60"/>
        <w:gridCol w:w="680"/>
        <w:gridCol w:w="60"/>
        <w:gridCol w:w="1520"/>
        <w:gridCol w:w="60"/>
        <w:gridCol w:w="1160"/>
        <w:gridCol w:w="60"/>
        <w:gridCol w:w="980"/>
      </w:tblGrid>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80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00" w:type="dxa"/>
            <w:tcBorders>
              <w:left w:val="single" w:sz="2" w:space="0" w:color="000000"/>
            </w:tcBorders>
            <w:tcMar>
              <w:left w:w="160" w:type="dxa"/>
            </w:tcMar>
            <w:vAlign w:val="bottom"/>
          </w:tcPr>
          <w:p>
            <w:pPr>
              <w:pStyle w:val="TableContents"/>
              <w:bidi w:val="0"/>
              <w:spacing w:before="0" w:after="283"/>
              <w:jc w:val="center"/>
              <w:rPr/>
            </w:pPr>
            <w:r>
              <w:rPr/>
              <w:t>Security 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0"/>
              <w:jc w:val="center"/>
              <w:rPr>
                <w:rFonts w:ascii="Times New Roman" w:hAnsi="Times New Roman"/>
                <w:sz w:val="14"/>
              </w:rPr>
            </w:pPr>
            <w:r>
              <w:rPr>
                <w:rFonts w:ascii="Times New Roman" w:hAnsi="Times New Roman"/>
                <w:sz w:val="14"/>
              </w:rPr>
              <w:t>Class</w:t>
            </w:r>
          </w:p>
          <w:p>
            <w:pPr>
              <w:pStyle w:val="TableContents"/>
              <w:bidi w:val="0"/>
              <w:spacing w:before="0" w:after="20"/>
              <w:jc w:val="center"/>
              <w:rPr>
                <w:rFonts w:ascii="Times New Roman" w:hAnsi="Times New Roman"/>
                <w:sz w:val="14"/>
              </w:rPr>
            </w:pPr>
            <w:r>
              <w:rPr>
                <w:rFonts w:ascii="Times New Roman" w:hAnsi="Times New Roman"/>
                <w:sz w:val="14"/>
              </w:rPr>
              <w:t>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0"/>
              <w:jc w:val="center"/>
              <w:rPr>
                <w:rFonts w:ascii="Times New Roman" w:hAnsi="Times New Roman"/>
                <w:sz w:val="14"/>
              </w:rPr>
            </w:pPr>
            <w:r>
              <w:rPr>
                <w:rFonts w:ascii="Times New Roman" w:hAnsi="Times New Roman"/>
                <w:sz w:val="14"/>
              </w:rPr>
              <w:t>Calculation</w:t>
            </w:r>
          </w:p>
          <w:p>
            <w:pPr>
              <w:pStyle w:val="TableContents"/>
              <w:bidi w:val="0"/>
              <w:spacing w:before="0" w:after="20"/>
              <w:jc w:val="center"/>
              <w:rPr>
                <w:rFonts w:ascii="Times New Roman" w:hAnsi="Times New Roman"/>
                <w:sz w:val="14"/>
              </w:rPr>
            </w:pPr>
            <w:r>
              <w:rPr>
                <w:rFonts w:ascii="Times New Roman" w:hAnsi="Times New Roman"/>
                <w:sz w:val="14"/>
              </w:rP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Amount</w:t>
            </w:r>
          </w:p>
          <w:p>
            <w:pPr>
              <w:pStyle w:val="TableContents"/>
              <w:bidi w:val="0"/>
              <w:spacing w:before="0" w:after="20"/>
              <w:jc w:val="center"/>
              <w:rPr>
                <w:rFonts w:ascii="Times New Roman" w:hAnsi="Times New Roman"/>
                <w:sz w:val="14"/>
              </w:rPr>
            </w:pPr>
            <w:r>
              <w:rPr>
                <w:rFonts w:ascii="Times New Roman" w:hAnsi="Times New Roman"/>
                <w:sz w:val="14"/>
              </w:rPr>
              <w:t>Registered(1)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Proposed</w:t>
            </w:r>
          </w:p>
          <w:p>
            <w:pPr>
              <w:pStyle w:val="TableContents"/>
              <w:bidi w:val="0"/>
              <w:spacing w:before="0" w:after="0"/>
              <w:jc w:val="center"/>
              <w:rPr>
                <w:rFonts w:ascii="Times New Roman" w:hAnsi="Times New Roman"/>
                <w:sz w:val="14"/>
              </w:rPr>
            </w:pPr>
            <w:r>
              <w:rPr>
                <w:rFonts w:ascii="Times New Roman" w:hAnsi="Times New Roman"/>
                <w:sz w:val="14"/>
              </w:rPr>
              <w:t>Maximum</w:t>
            </w:r>
          </w:p>
          <w:p>
            <w:pPr>
              <w:pStyle w:val="TableContents"/>
              <w:bidi w:val="0"/>
              <w:spacing w:before="0" w:after="0"/>
              <w:jc w:val="center"/>
              <w:rPr>
                <w:rFonts w:ascii="Times New Roman" w:hAnsi="Times New Roman"/>
                <w:sz w:val="14"/>
              </w:rPr>
            </w:pPr>
            <w:r>
              <w:rPr>
                <w:rFonts w:ascii="Times New Roman" w:hAnsi="Times New Roman"/>
                <w:sz w:val="14"/>
              </w:rPr>
              <w:t>Offering</w:t>
            </w:r>
          </w:p>
          <w:p>
            <w:pPr>
              <w:pStyle w:val="TableContents"/>
              <w:bidi w:val="0"/>
              <w:spacing w:before="0" w:after="20"/>
              <w:jc w:val="center"/>
              <w:rPr>
                <w:rFonts w:ascii="Times New Roman" w:hAnsi="Times New Roman"/>
                <w:sz w:val="14"/>
              </w:rPr>
            </w:pPr>
            <w:r>
              <w:rPr>
                <w:rFonts w:ascii="Times New Roman" w:hAnsi="Times New Roman"/>
                <w:sz w:val="14"/>
              </w:rPr>
              <w:t>Price Per</w:t>
              <w:br/>
              <w:t>Share(2)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Maximum</w:t>
            </w:r>
          </w:p>
          <w:p>
            <w:pPr>
              <w:pStyle w:val="TableContents"/>
              <w:bidi w:val="0"/>
              <w:spacing w:before="0" w:after="0"/>
              <w:jc w:val="center"/>
              <w:rPr>
                <w:rFonts w:ascii="Times New Roman" w:hAnsi="Times New Roman"/>
                <w:sz w:val="14"/>
              </w:rPr>
            </w:pPr>
            <w:r>
              <w:rPr>
                <w:rFonts w:ascii="Times New Roman" w:hAnsi="Times New Roman"/>
                <w:sz w:val="14"/>
              </w:rPr>
              <w:t>Aggregate</w:t>
            </w:r>
          </w:p>
          <w:p>
            <w:pPr>
              <w:pStyle w:val="TableContents"/>
              <w:bidi w:val="0"/>
              <w:spacing w:before="0" w:after="0"/>
              <w:jc w:val="center"/>
              <w:rPr>
                <w:rFonts w:ascii="Times New Roman" w:hAnsi="Times New Roman"/>
                <w:sz w:val="14"/>
              </w:rPr>
            </w:pPr>
            <w:r>
              <w:rPr>
                <w:rFonts w:ascii="Times New Roman" w:hAnsi="Times New Roman"/>
                <w:sz w:val="14"/>
              </w:rPr>
              <w:t>Offering</w:t>
            </w:r>
          </w:p>
          <w:p>
            <w:pPr>
              <w:pStyle w:val="TableContents"/>
              <w:bidi w:val="0"/>
              <w:spacing w:before="0" w:after="20"/>
              <w:jc w:val="center"/>
              <w:rPr>
                <w:rFonts w:ascii="Times New Roman" w:hAnsi="Times New Roman"/>
                <w:sz w:val="14"/>
              </w:rPr>
            </w:pPr>
            <w:r>
              <w:rPr>
                <w:rFonts w:ascii="Times New Roman" w:hAnsi="Times New Roman"/>
                <w:sz w:val="14"/>
              </w:rPr>
              <w:t>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20"/>
              <w:jc w:val="center"/>
              <w:rPr>
                <w:rFonts w:ascii="Times New Roman" w:hAnsi="Times New Roman"/>
                <w:sz w:val="14"/>
              </w:rPr>
            </w:pPr>
            <w:r>
              <w:rPr>
                <w:rFonts w:ascii="Times New Roman" w:hAnsi="Times New Roman"/>
                <w:sz w:val="14"/>
              </w:rPr>
              <w:t>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right w:val="single" w:sz="2" w:space="0" w:color="000000"/>
            </w:tcBorders>
            <w:tcMar>
              <w:right w:w="40" w:type="dxa"/>
            </w:tcMar>
            <w:vAlign w:val="bottom"/>
          </w:tcPr>
          <w:p>
            <w:pPr>
              <w:pStyle w:val="TableContents"/>
              <w:bidi w:val="0"/>
              <w:spacing w:before="0" w:after="0"/>
              <w:jc w:val="center"/>
              <w:rPr>
                <w:rFonts w:ascii="Times New Roman" w:hAnsi="Times New Roman"/>
                <w:sz w:val="14"/>
              </w:rPr>
            </w:pPr>
            <w:r>
              <w:rPr>
                <w:rFonts w:ascii="Times New Roman" w:hAnsi="Times New Roman"/>
                <w:sz w:val="14"/>
              </w:rPr>
              <w:t>Amount of</w:t>
            </w:r>
          </w:p>
          <w:p>
            <w:pPr>
              <w:pStyle w:val="TableContents"/>
              <w:bidi w:val="0"/>
              <w:spacing w:before="0" w:after="0"/>
              <w:jc w:val="center"/>
              <w:rPr>
                <w:rFonts w:ascii="Times New Roman" w:hAnsi="Times New Roman"/>
                <w:sz w:val="14"/>
              </w:rPr>
            </w:pPr>
            <w:r>
              <w:rPr>
                <w:rFonts w:ascii="Times New Roman" w:hAnsi="Times New Roman"/>
                <w:sz w:val="14"/>
              </w:rPr>
              <w:t>Registration</w:t>
            </w:r>
          </w:p>
          <w:p>
            <w:pPr>
              <w:pStyle w:val="TableContents"/>
              <w:bidi w:val="0"/>
              <w:spacing w:before="0" w:after="20"/>
              <w:jc w:val="center"/>
              <w:rPr>
                <w:rFonts w:ascii="Times New Roman" w:hAnsi="Times New Roman"/>
                <w:sz w:val="14"/>
              </w:rPr>
            </w:pPr>
            <w:r>
              <w:rPr>
                <w:rFonts w:ascii="Times New Roman" w:hAnsi="Times New Roman"/>
                <w:sz w:val="14"/>
              </w:rPr>
              <w:t>Fee</w:t>
            </w:r>
          </w:p>
        </w:tc>
      </w:tr>
      <w:tr>
        <w:trPr>
          <w:trHeight w:val="15" w:hRule="atLeast"/>
        </w:trPr>
        <w:tc>
          <w:tcPr>
            <w:tcW w:w="80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00" w:type="dxa"/>
            <w:tcBorders>
              <w:left w:val="single" w:sz="2" w:space="0" w:color="000000"/>
            </w:tcBorders>
            <w:tcMar>
              <w:left w:w="160" w:type="dxa"/>
            </w:tcMar>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center"/>
              <w:rPr/>
            </w:pPr>
            <w:r>
              <w:rPr/>
              <w:t>Common Stock,</w:t>
              <w:br/>
              <w:t>$0.0001 par value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center"/>
              <w:rPr/>
            </w:pPr>
            <w:r>
              <w:rPr/>
              <w:t>Rule 457(c) and</w:t>
              <w:br/>
              <w:t>Rule 457(h)(1)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center"/>
              <w:rPr/>
            </w:pPr>
            <w:r>
              <w:rPr/>
              <w:t>1,798,926 (3)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$14.87</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$26,750,029.62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$0.0001476</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right w:val="single" w:sz="2" w:space="0" w:color="000000"/>
            </w:tcBorders>
            <w:tcMar>
              <w:right w:w="40" w:type="dxa"/>
            </w:tcMar>
            <w:vAlign w:val="bottom"/>
          </w:tcPr>
          <w:p>
            <w:pPr>
              <w:pStyle w:val="TableContents"/>
              <w:bidi w:val="0"/>
              <w:spacing w:before="0" w:after="283"/>
              <w:jc w:val="center"/>
              <w:rPr/>
            </w:pPr>
            <w:r>
              <w:rPr/>
              <w:t>$3,948.30</w:t>
            </w:r>
          </w:p>
        </w:tc>
      </w:tr>
      <w:tr>
        <w:trPr>
          <w:trHeight w:val="15" w:hRule="atLeast"/>
        </w:trPr>
        <w:tc>
          <w:tcPr>
            <w:tcW w:w="80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00" w:type="dxa"/>
            <w:tcBorders>
              <w:left w:val="single" w:sz="2" w:space="0" w:color="000000"/>
            </w:tcBorders>
            <w:tcMar>
              <w:left w:w="160" w:type="dxa"/>
            </w:tcMar>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center"/>
              <w:rPr/>
            </w:pPr>
            <w:r>
              <w:rPr/>
              <w:t>Common Stock,</w:t>
              <w:br/>
              <w:t>$0.0001 par value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center"/>
              <w:rPr/>
            </w:pPr>
            <w:r>
              <w:rPr/>
              <w:t>Rule 457(c) and</w:t>
              <w:br/>
              <w:t>Rule 457(h)(1)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center"/>
              <w:rPr/>
            </w:pPr>
            <w:r>
              <w:rPr/>
              <w:t>359,785 (4)</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$14.87</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$5,350,002.95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$0.0001476</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right w:val="single" w:sz="2" w:space="0" w:color="000000"/>
            </w:tcBorders>
            <w:tcMar>
              <w:right w:w="40" w:type="dxa"/>
            </w:tcMar>
            <w:vAlign w:val="bottom"/>
          </w:tcPr>
          <w:p>
            <w:pPr>
              <w:pStyle w:val="TableContents"/>
              <w:bidi w:val="0"/>
              <w:spacing w:before="0" w:after="283"/>
              <w:jc w:val="center"/>
              <w:rPr/>
            </w:pPr>
            <w:r>
              <w:rPr/>
              <w:t>$789.66</w:t>
            </w:r>
          </w:p>
        </w:tc>
      </w:tr>
      <w:tr>
        <w:trPr>
          <w:trHeight w:val="15" w:hRule="atLeast"/>
        </w:trPr>
        <w:tc>
          <w:tcPr>
            <w:tcW w:w="80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96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7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00" w:type="dxa"/>
            <w:tcBorders>
              <w:left w:val="single" w:sz="2" w:space="0" w:color="000000"/>
            </w:tcBorders>
            <w:tcMar>
              <w:left w:w="160" w:type="dxa"/>
            </w:tcMar>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center"/>
              <w:rPr/>
            </w:pPr>
            <w:r>
              <w:rPr/>
              <w:t>Common Stock, $0.0001 par value per 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center"/>
              <w:rPr/>
            </w:pPr>
            <w:r>
              <w:rPr/>
              <w:t>Rule 457(c) and</w:t>
              <w:br/>
              <w:t>Rule 457(h)(1)</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310" w:type="dxa"/>
            <w:tcBorders/>
            <w:vAlign w:val="bottom"/>
          </w:tcPr>
          <w:p>
            <w:pPr>
              <w:pStyle w:val="TableContents"/>
              <w:bidi w:val="0"/>
              <w:spacing w:before="0" w:after="283"/>
              <w:jc w:val="center"/>
              <w:rPr/>
            </w:pPr>
            <w:r>
              <w:rPr/>
              <w:t>2,000,000 (5)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center"/>
              <w:rPr/>
            </w:pPr>
            <w:r>
              <w:rPr/>
              <w:t>$14.87</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$29,740,000.00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center"/>
              <w:rPr/>
            </w:pPr>
            <w:r>
              <w:rPr/>
              <w:t>$0.0001476</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right w:val="single" w:sz="2" w:space="0" w:color="000000"/>
            </w:tcBorders>
            <w:tcMar>
              <w:right w:w="40" w:type="dxa"/>
            </w:tcMar>
            <w:vAlign w:val="bottom"/>
          </w:tcPr>
          <w:p>
            <w:pPr>
              <w:pStyle w:val="TableContents"/>
              <w:bidi w:val="0"/>
              <w:spacing w:before="0" w:after="283"/>
              <w:jc w:val="center"/>
              <w:rPr/>
            </w:pPr>
            <w:r>
              <w:rPr/>
              <w:t>$4,389.62</w:t>
            </w:r>
          </w:p>
        </w:tc>
      </w:tr>
      <w:tr>
        <w:trPr>
          <w:trHeight w:val="15" w:hRule="atLeast"/>
        </w:trPr>
        <w:tc>
          <w:tcPr>
            <w:tcW w:w="389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90" w:type="dxa"/>
            <w:gridSpan w:val="7"/>
            <w:tcBorders>
              <w:left w:val="single" w:sz="2" w:space="0" w:color="000000"/>
            </w:tcBorders>
            <w:tcMar>
              <w:left w:w="160" w:type="dxa"/>
            </w:tcMar>
          </w:tcPr>
          <w:p>
            <w:pPr>
              <w:pStyle w:val="TableContents"/>
              <w:bidi w:val="0"/>
              <w:spacing w:before="0" w:after="283"/>
              <w:jc w:val="center"/>
              <w:rPr/>
            </w:pPr>
            <w:r>
              <w:rPr/>
              <w:t>Total Offering Amounts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$61,840,032.57</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right w:val="single" w:sz="2" w:space="0" w:color="000000"/>
            </w:tcBorders>
            <w:tcMar>
              <w:right w:w="40" w:type="dxa"/>
            </w:tcMar>
            <w:vAlign w:val="bottom"/>
          </w:tcPr>
          <w:p>
            <w:pPr>
              <w:pStyle w:val="TableContents"/>
              <w:bidi w:val="0"/>
              <w:spacing w:before="0" w:after="283"/>
              <w:jc w:val="center"/>
              <w:rPr/>
            </w:pPr>
            <w:r>
              <w:rPr/>
              <w:t>$9,127.59</w:t>
            </w:r>
          </w:p>
        </w:tc>
      </w:tr>
      <w:tr>
        <w:trPr>
          <w:trHeight w:val="15" w:hRule="atLeast"/>
        </w:trPr>
        <w:tc>
          <w:tcPr>
            <w:tcW w:w="389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90" w:type="dxa"/>
            <w:gridSpan w:val="7"/>
            <w:tcBorders>
              <w:left w:val="single" w:sz="2" w:space="0" w:color="000000"/>
            </w:tcBorders>
            <w:tcMar>
              <w:left w:w="160" w:type="dxa"/>
            </w:tcMar>
          </w:tcPr>
          <w:p>
            <w:pPr>
              <w:pStyle w:val="TableContents"/>
              <w:bidi w:val="0"/>
              <w:spacing w:before="0" w:after="283"/>
              <w:jc w:val="center"/>
              <w:rPr/>
            </w:pPr>
            <w:r>
              <w:rPr/>
              <w:t>Total Fee Offsets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80" w:type="dxa"/>
            <w:tcBorders>
              <w:right w:val="single" w:sz="2" w:space="0" w:color="000000"/>
            </w:tcBorders>
            <w:tcMar>
              <w:right w:w="40" w:type="dxa"/>
            </w:tcMar>
            <w:vAlign w:val="bottom"/>
          </w:tcPr>
          <w:p>
            <w:pPr>
              <w:pStyle w:val="TableContents"/>
              <w:bidi w:val="0"/>
              <w:spacing w:before="0" w:after="283"/>
              <w:jc w:val="center"/>
              <w:rPr/>
            </w:pPr>
            <w:r>
              <w:rPr/>
              <w:t>$0</w:t>
            </w:r>
          </w:p>
        </w:tc>
      </w:tr>
      <w:tr>
        <w:trPr>
          <w:trHeight w:val="15" w:hRule="atLeast"/>
        </w:trPr>
        <w:tc>
          <w:tcPr>
            <w:tcW w:w="389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7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58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890" w:type="dxa"/>
            <w:gridSpan w:val="7"/>
            <w:tcBorders>
              <w:left w:val="single" w:sz="2" w:space="0" w:color="000000"/>
              <w:bottom w:val="single" w:sz="2" w:space="0" w:color="000000"/>
            </w:tcBorders>
            <w:tcMar>
              <w:left w:w="160" w:type="dxa"/>
              <w:bottom w:w="28" w:type="dxa"/>
            </w:tcMar>
          </w:tcPr>
          <w:p>
            <w:pPr>
              <w:pStyle w:val="TableContents"/>
              <w:bidi w:val="0"/>
              <w:spacing w:before="0" w:after="283"/>
              <w:jc w:val="center"/>
              <w:rPr/>
            </w:pPr>
            <w:r>
              <w:rPr/>
              <w:t>Net Fee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8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8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$9,127.59</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 416 under the Securities Act of 1933, as amended (the Securities Act), this Registration Statement shall also cover any additional shares of common stock which become issuable under the above-named plans by reason of any stock dividend, stock split, recapitalization or any other similar transaction effected without the receipt of consideration which results in an increase in the number of our outstanding shares of common stock. Pursuant to Rule 416(c) under the Securities Act, this Registration Statement shall also cover an indeterminate amount of interests to be offered or sold pursuant to the employee benefit plans described herein.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solely for the purpose of calculating the registration fee pursuant to Rule 457(c) and (h)(1) of the Securities Act, and based on $14.87, the average of the high and low sale prices of the of the Registrants common stock as reported on the Nasdaq Global Market on January 2,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automatic increase to the number of shares available for issuance under the Registrants 2021 Incentive Award Plan (the 2021 Plan) effective as of January 1, 2024. Shares available for issuance under the 2021 Plan were previously registered on Form S-8 filed with the Securities and Exchange Commission on April 20, 2021 (Registration No. 333-255377).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automatic increase to the number of shares available for issuance under the Registrants 2021 Employee Stock Purchase Plan (the 2021 ESPP) effective as of January 1, 2024. Shares available for issuance under the 2021 ESPP were previously registered on Form S-8 filed with the Securities and Exchange Commission on April 20, 2021 (Registration No. 333-255377).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of Common Stock that may become issuable under the Registrants 2023 Inducement Plan pursuant to its terms.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1840439/000095017023010312/bmea-20221231.htm" TargetMode="External"/><Relationship Id="rId3" Type="http://schemas.openxmlformats.org/officeDocument/2006/relationships/hyperlink" Target="http://www.sec.gov/Archives/edgar/data/1840439/000119312523126879/d494901ddef14a.htm" TargetMode="External"/><Relationship Id="rId4" Type="http://schemas.openxmlformats.org/officeDocument/2006/relationships/hyperlink" Target="http://www.sec.gov/Archives/edgar/data/../../../ix?doc=/Archives/edgar/data/0001840439/000095017023016700/bmea-20230331.htm" TargetMode="External"/><Relationship Id="rId5" Type="http://schemas.openxmlformats.org/officeDocument/2006/relationships/hyperlink" Target="http://www.sec.gov/Archives/edgar/data/../../../ix?doc=/Archives/edgar/data/0001840439/000095017023035946/bmea-20230630.htm" TargetMode="External"/><Relationship Id="rId6" Type="http://schemas.openxmlformats.org/officeDocument/2006/relationships/hyperlink" Target="http://www.sec.gov/Archives/edgar/data/../../../ix?doc=/Archives/edgar/data/0001840439/000095017023056381/bmea-20230930.htm" TargetMode="External"/><Relationship Id="rId7" Type="http://schemas.openxmlformats.org/officeDocument/2006/relationships/hyperlink" Target="http://www.sec.gov/Archives/edgar/data/../../../ix?doc=/Archives/edgar/data/0001840439/000119312523007186/d417295d8k.htm" TargetMode="External"/><Relationship Id="rId8" Type="http://schemas.openxmlformats.org/officeDocument/2006/relationships/hyperlink" Target="http://www.sec.gov/Archives/edgar/data/../../../ix?doc=/Archives/edgar/data/0001840439/000119312523082314/d311150d8k.htm" TargetMode="External"/><Relationship Id="rId9" Type="http://schemas.openxmlformats.org/officeDocument/2006/relationships/hyperlink" Target="http://www.sec.gov/Archives/edgar/data/../../../ix?doc=/Archives/edgar/data/0001840439/000119312523089530/d486927d8k.htm" TargetMode="External"/><Relationship Id="rId10" Type="http://schemas.openxmlformats.org/officeDocument/2006/relationships/hyperlink" Target="http://www.sec.gov/Archives/edgar/data/../../../ix?doc=/Archives/edgar/data/0001840439/000119312523132621/d851586d8k.htm" TargetMode="External"/><Relationship Id="rId11" Type="http://schemas.openxmlformats.org/officeDocument/2006/relationships/hyperlink" Target="http://www.sec.gov/Archives/edgar/data/../../../ix?doc=/Archives/edgar/data/0001840439/000119312523167884/d516349d8k.htm" TargetMode="External"/><Relationship Id="rId12" Type="http://schemas.openxmlformats.org/officeDocument/2006/relationships/hyperlink" Target="http://www.sec.gov/Archives/edgar/data/../../../ix?doc=/Archives/edgar/data/0001840439/000119312523193428/d434383d8k.htm" TargetMode="External"/><Relationship Id="rId13" Type="http://schemas.openxmlformats.org/officeDocument/2006/relationships/hyperlink" Target="http://www.sec.gov/Archives/edgar/data/1840439/000119312521116042/d942049d8a12b.htm" TargetMode="External"/><Relationship Id="rId14" Type="http://schemas.openxmlformats.org/officeDocument/2006/relationships/hyperlink" Target="http://www.sec.gov/Archives/edgar/data/1840439/000156459021030450/bmea-ex44_356.htm" TargetMode="External"/><Relationship Id="rId15" Type="http://schemas.openxmlformats.org/officeDocument/2006/relationships/hyperlink" Target="http://www.sec.gov/Archives/edgar/data/../../../ix?doc=/Archives/edgar/data/1840439/000156459021030450/bmea-10q_20210331.htm" TargetMode="External"/><Relationship Id="rId16" Type="http://schemas.openxmlformats.org/officeDocument/2006/relationships/hyperlink" Target="http://www.sec.gov/Archives/edgar/data/1840439/000119312521122857/d119708dex32.htm" TargetMode="External"/><Relationship Id="rId17" Type="http://schemas.openxmlformats.org/officeDocument/2006/relationships/hyperlink" Target="http://www.sec.gov/Archives/edgar/data/1840439/000119312521122857/d119708dex34.htm" TargetMode="External"/><Relationship Id="rId18" Type="http://schemas.openxmlformats.org/officeDocument/2006/relationships/hyperlink" Target="http://www.sec.gov/Archives/edgar/data/1840439/000119312521112498/d113388dex42.htm" TargetMode="External"/><Relationship Id="rId19" Type="http://schemas.openxmlformats.org/officeDocument/2006/relationships/hyperlink" Target="http://www.sec.gov/Archives/edgar/data/1840439/000119312521112498/d113388dex104a.htm" TargetMode="External"/><Relationship Id="rId20" Type="http://schemas.openxmlformats.org/officeDocument/2006/relationships/hyperlink" Target="http://www.sec.gov/Archives/edgar/data/1840439/000119312521112498/d113388dex104b.htm" TargetMode="External"/><Relationship Id="rId21" Type="http://schemas.openxmlformats.org/officeDocument/2006/relationships/hyperlink" Target="http://www.sec.gov/Archives/edgar/data/1840439/000119312521112498/d113388dex104c.htm" TargetMode="External"/><Relationship Id="rId22" Type="http://schemas.openxmlformats.org/officeDocument/2006/relationships/hyperlink" Target="http://www.sec.gov/Archives/edgar/data/1840439/000119312521112498/d113388dex104d.htm" TargetMode="External"/><Relationship Id="rId23" Type="http://schemas.openxmlformats.org/officeDocument/2006/relationships/hyperlink" Target="http://www.sec.gov/Archives/edgar/data/1840439/000119312521112498/d113388dex105.htm" TargetMode="External"/><Relationship Id="rId24" Type="http://schemas.openxmlformats.org/officeDocument/2006/relationships/image" Target="media/image1.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26496</Words>
  <Characters>136716</Characters>
  <CharactersWithSpaces>162917</CharactersWithSpaces>
  <Paragraphs>1320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