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79375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7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3820" w:right="1580" w:hanging="3799"/>
        <w:spacing w:after="0" w:line="303" w:lineRule="auto"/>
        <w:tabs>
          <w:tab w:leader="none" w:pos="49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2026</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ind w:left="480" w:hanging="459"/>
        <w:spacing w:after="0" w:line="200" w:lineRule="auto"/>
        <w:tabs>
          <w:tab w:leader="none" w:pos="480" w:val="left"/>
        </w:tabs>
        <w:numPr>
          <w:ilvl w:val="0"/>
          <w:numId w:val="2"/>
        </w:numPr>
        <w:rPr>
          <w:rFonts w:ascii="MS PGothic" w:cs="MS PGothic" w:eastAsia="MS PGothic" w:hAnsi="MS PGothic"/>
          <w:sz w:val="36"/>
          <w:szCs w:val="36"/>
          <w:color w:val="auto"/>
          <w:highlight w:val="black"/>
          <w:vertAlign w:val="superscript"/>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57" w:lineRule="exact"/>
        <w:rPr>
          <w:sz w:val="24"/>
          <w:szCs w:val="24"/>
          <w:color w:val="auto"/>
        </w:rPr>
      </w:pPr>
    </w:p>
    <w:p>
      <w:pPr>
        <w:ind w:left="4220"/>
        <w:spacing w:after="0"/>
        <w:tabs>
          <w:tab w:leader="none" w:pos="6800" w:val="left"/>
        </w:tabs>
        <w:rPr>
          <w:sz w:val="20"/>
          <w:szCs w:val="20"/>
          <w:color w:val="auto"/>
        </w:rPr>
      </w:pPr>
      <w:r>
        <w:rPr>
          <w:rFonts w:ascii="Times New Roman" w:cs="Times New Roman" w:eastAsia="Times New Roman" w:hAnsi="Times New Roman"/>
          <w:sz w:val="18"/>
          <w:szCs w:val="18"/>
          <w:b w:val="1"/>
          <w:bCs w:val="1"/>
          <w:color w:val="auto"/>
        </w:rPr>
        <w:t>For the transition period from</w:t>
        <w:tab/>
        <w:t>to</w:t>
      </w:r>
    </w:p>
    <w:p>
      <w:pPr>
        <w:spacing w:after="0" w:line="39"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001-40335</w:t>
      </w:r>
    </w:p>
    <w:p>
      <w:pPr>
        <w:spacing w:after="0" w:line="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Biomea Fusion,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-289560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p>
      <w:pPr>
        <w:spacing w:after="0" w:line="5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41"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13"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198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1"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18"/>
          <w:szCs w:val="18"/>
          <w:b w:val="1"/>
          <w:bCs w:val="1"/>
          <w:color w:val="auto"/>
        </w:rPr>
        <w:t>1599 Industrial Road</w:t>
      </w:r>
    </w:p>
    <w:p>
      <w:pPr>
        <w:spacing w:after="0" w:line="12"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18"/>
          <w:szCs w:val="18"/>
          <w:b w:val="1"/>
          <w:bCs w:val="1"/>
          <w:color w:val="auto"/>
        </w:rPr>
        <w:t>San Carlos, California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6"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82-2520134</w:t>
      </w:r>
    </w:p>
    <w:p>
      <w:pPr>
        <w:spacing w:after="0" w:line="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22"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94070</w:t>
      </w:r>
    </w:p>
    <w:p>
      <w:pPr>
        <w:spacing w:after="0" w:line="27" w:lineRule="exact"/>
        <w:rPr>
          <w:sz w:val="24"/>
          <w:szCs w:val="24"/>
          <w:color w:val="auto"/>
        </w:rPr>
      </w:pPr>
    </w:p>
    <w:p>
      <w:pPr>
        <w:sectPr>
          <w:pgSz w:w="11900" w:h="16838" w:orient="portrait"/>
          <w:cols w:equalWidth="0" w:num="2">
            <w:col w:w="7700" w:space="240"/>
            <w:col w:w="3300"/>
          </w:cols>
          <w:pgMar w:left="320" w:top="1334" w:right="339" w:bottom="1440" w:gutter="0" w:footer="0" w:header="0"/>
          <w:type w:val="continuous"/>
        </w:sectPr>
      </w:pPr>
    </w:p>
    <w:p>
      <w:pPr>
        <w:ind w:left="176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21"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(650) 980-9099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71120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0"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6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00" w:type="dxa"/>
            <w:vAlign w:val="bottom"/>
          </w:tcPr>
          <w:p>
            <w:pPr>
              <w:spacing w:after="0"/>
              <w:rPr>
                <w:sz w:val="13"/>
                <w:szCs w:val="13"/>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4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5"/>
                <w:szCs w:val="15"/>
                <w:color w:val="auto"/>
              </w:rPr>
            </w:pPr>
          </w:p>
        </w:tc>
        <w:tc>
          <w:tcPr>
            <w:tcW w:w="43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$0.0001 par value</w:t>
            </w:r>
          </w:p>
        </w:tc>
        <w:tc>
          <w:tcPr>
            <w:tcW w:w="12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BMEA</w:t>
            </w:r>
          </w:p>
        </w:tc>
        <w:tc>
          <w:tcPr>
            <w:tcW w:w="100" w:type="dxa"/>
            <w:vAlign w:val="bottom"/>
          </w:tcPr>
          <w:p>
            <w:pPr>
              <w:spacing w:after="0"/>
              <w:rPr>
                <w:sz w:val="17"/>
                <w:szCs w:val="17"/>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c>
          <w:tcPr>
            <w:tcW w:w="0" w:type="dxa"/>
            <w:vAlign w:val="bottom"/>
          </w:tcPr>
          <w:p>
            <w:pPr>
              <w:spacing w:after="0"/>
              <w:rPr>
                <w:sz w:val="1"/>
                <w:szCs w:val="1"/>
                <w:color w:val="auto"/>
              </w:rPr>
            </w:pPr>
          </w:p>
        </w:tc>
      </w:tr>
    </w:tbl>
    <w:p>
      <w:pPr>
        <w:spacing w:after="0" w:line="46" w:lineRule="exact"/>
        <w:rPr>
          <w:sz w:val="24"/>
          <w:szCs w:val="24"/>
          <w:color w:val="auto"/>
        </w:rPr>
      </w:pPr>
    </w:p>
    <w:p>
      <w:pPr>
        <w:jc w:val="both"/>
        <w:ind w:firstLine="59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2" w:lineRule="exact"/>
        <w:rPr>
          <w:sz w:val="24"/>
          <w:szCs w:val="24"/>
          <w:color w:val="auto"/>
        </w:rPr>
      </w:pPr>
    </w:p>
    <w:p>
      <w:pPr>
        <w:ind w:right="10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jc w:val="both"/>
        <w:ind w:right="220" w:firstLine="599"/>
        <w:spacing w:after="0" w:line="277"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5080" w:type="dxa"/>
            <w:vAlign w:val="bottom"/>
          </w:tcPr>
          <w:p>
            <w:pPr>
              <w:ind w:left="3000"/>
              <w:spacing w:after="0"/>
              <w:rPr>
                <w:sz w:val="20"/>
                <w:szCs w:val="20"/>
                <w:color w:val="auto"/>
              </w:rPr>
            </w:pPr>
            <w:r>
              <w:rPr>
                <w:rFonts w:ascii="Times New Roman" w:cs="Times New Roman" w:eastAsia="Times New Roman" w:hAnsi="Times New Roman"/>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5080" w:type="dxa"/>
            <w:vAlign w:val="bottom"/>
          </w:tcPr>
          <w:p>
            <w:pPr>
              <w:ind w:left="30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5080" w:type="dxa"/>
            <w:vAlign w:val="bottom"/>
          </w:tcPr>
          <w:p>
            <w:pPr>
              <w:spacing w:after="0"/>
              <w:rPr>
                <w:sz w:val="23"/>
                <w:szCs w:val="23"/>
                <w:color w:val="auto"/>
              </w:rPr>
            </w:pPr>
          </w:p>
        </w:tc>
        <w:tc>
          <w:tcPr>
            <w:tcW w:w="460" w:type="dxa"/>
            <w:vAlign w:val="bottom"/>
          </w:tcPr>
          <w:p>
            <w:pPr>
              <w:spacing w:after="0"/>
              <w:rPr>
                <w:sz w:val="23"/>
                <w:szCs w:val="23"/>
                <w:color w:val="auto"/>
              </w:rPr>
            </w:pPr>
          </w:p>
        </w:tc>
      </w:tr>
    </w:tbl>
    <w:p>
      <w:pPr>
        <w:spacing w:after="0" w:line="34" w:lineRule="exact"/>
        <w:rPr>
          <w:sz w:val="24"/>
          <w:szCs w:val="24"/>
          <w:color w:val="auto"/>
        </w:rPr>
      </w:pPr>
    </w:p>
    <w:p>
      <w:pPr>
        <w:ind w:right="48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600" w:right="2000"/>
        <w:spacing w:after="0" w:line="24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May 7, 2026, the registrant had 72,299,440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788670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780" w:type="dxa"/>
            <w:vAlign w:val="bottom"/>
            <w:gridSpan w:val="7"/>
          </w:tcPr>
          <w:p>
            <w:pPr>
              <w:ind w:left="3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28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FF"/>
                <w:w w:val="99"/>
              </w:rPr>
              <w:t>FINANCIAL INFORMATION</w:t>
            </w:r>
          </w:p>
        </w:tc>
        <w:tc>
          <w:tcPr>
            <w:tcW w:w="6940" w:type="dxa"/>
            <w:vAlign w:val="bottom"/>
            <w:gridSpan w:val="11"/>
            <w:vMerge w:val="restart"/>
          </w:tcPr>
          <w:p>
            <w:pPr>
              <w:spacing w:after="0"/>
              <w:rPr>
                <w:sz w:val="24"/>
                <w:szCs w:val="24"/>
                <w:color w:val="auto"/>
              </w:rPr>
            </w:pPr>
          </w:p>
        </w:tc>
        <w:tc>
          <w:tcPr>
            <w:tcW w:w="7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74"/>
        </w:trPr>
        <w:tc>
          <w:tcPr>
            <w:tcW w:w="1140" w:type="dxa"/>
            <w:vAlign w:val="bottom"/>
            <w:gridSpan w:val="2"/>
            <w:vMerge w:val="continue"/>
          </w:tcPr>
          <w:p>
            <w:pPr>
              <w:spacing w:after="0"/>
              <w:rPr>
                <w:sz w:val="14"/>
                <w:szCs w:val="14"/>
                <w:color w:val="auto"/>
              </w:rPr>
            </w:pPr>
          </w:p>
        </w:tc>
        <w:tc>
          <w:tcPr>
            <w:tcW w:w="2280" w:type="dxa"/>
            <w:vAlign w:val="bottom"/>
            <w:tcBorders>
              <w:bottom w:val="single" w:sz="8" w:color="0000FF"/>
            </w:tcBorders>
            <w:gridSpan w:val="8"/>
            <w:vMerge w:val="continue"/>
          </w:tcPr>
          <w:p>
            <w:pPr>
              <w:spacing w:after="0"/>
              <w:rPr>
                <w:sz w:val="14"/>
                <w:szCs w:val="14"/>
                <w:color w:val="auto"/>
              </w:rPr>
            </w:pPr>
          </w:p>
        </w:tc>
        <w:tc>
          <w:tcPr>
            <w:tcW w:w="6940" w:type="dxa"/>
            <w:vAlign w:val="bottom"/>
            <w:gridSpan w:val="11"/>
            <w:vMerge w:val="continue"/>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2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20" w:type="dxa"/>
            <w:vAlign w:val="bottom"/>
            <w:tcBorders>
              <w:top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Condensed Balance Sheets</w:t>
            </w:r>
          </w:p>
        </w:tc>
        <w:tc>
          <w:tcPr>
            <w:tcW w:w="6800" w:type="dxa"/>
            <w:vAlign w:val="bottom"/>
            <w:gridSpan w:val="9"/>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54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Statements of Operations and Comprehensive Loss</w:t>
            </w:r>
          </w:p>
        </w:tc>
        <w:tc>
          <w:tcPr>
            <w:tcW w:w="4680" w:type="dxa"/>
            <w:vAlign w:val="bottom"/>
            <w:gridSpan w:val="2"/>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4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Condensed Statements of Stockholders’ Equity</w:t>
            </w:r>
          </w:p>
        </w:tc>
        <w:tc>
          <w:tcPr>
            <w:tcW w:w="5780" w:type="dxa"/>
            <w:vAlign w:val="bottom"/>
            <w:gridSpan w:val="7"/>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Condensed Statements of Cash Flows</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EE"/>
            </w:tcBorders>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0" w:type="dxa"/>
            <w:vAlign w:val="bottom"/>
            <w:tcBorders>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w w:val="99"/>
              </w:rPr>
              <w:t>Notes to Unaudited Condensed Financial Statements</w:t>
            </w:r>
          </w:p>
        </w:tc>
        <w:tc>
          <w:tcPr>
            <w:tcW w:w="20" w:type="dxa"/>
            <w:vAlign w:val="bottom"/>
            <w:tcBorders>
              <w:bottom w:val="single" w:sz="8" w:color="0000EE"/>
            </w:tcBorders>
          </w:tcPr>
          <w:p>
            <w:pPr>
              <w:spacing w:after="0"/>
              <w:rPr>
                <w:sz w:val="17"/>
                <w:szCs w:val="17"/>
                <w:color w:val="auto"/>
              </w:rPr>
            </w:pPr>
          </w:p>
        </w:tc>
        <w:tc>
          <w:tcPr>
            <w:tcW w:w="5400" w:type="dxa"/>
            <w:vAlign w:val="bottom"/>
            <w:gridSpan w:val="5"/>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2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6460" w:type="dxa"/>
            <w:vAlign w:val="bottom"/>
            <w:tcBorders>
              <w:top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76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top w:val="single" w:sz="8" w:color="0000FF"/>
              <w:bottom w:val="single" w:sz="8" w:color="0000EE"/>
            </w:tcBorders>
          </w:tcPr>
          <w:p>
            <w:pPr>
              <w:spacing w:after="0"/>
              <w:rPr>
                <w:sz w:val="17"/>
                <w:szCs w:val="17"/>
                <w:color w:val="auto"/>
              </w:rPr>
            </w:pPr>
          </w:p>
        </w:tc>
        <w:tc>
          <w:tcPr>
            <w:tcW w:w="2560" w:type="dxa"/>
            <w:vAlign w:val="bottom"/>
            <w:tcBorders>
              <w:top w:val="single" w:sz="8" w:color="0000FF"/>
            </w:tcBorders>
            <w:gridSpan w:val="10"/>
          </w:tcPr>
          <w:p>
            <w:pPr>
              <w:spacing w:after="0"/>
              <w:rPr>
                <w:sz w:val="17"/>
                <w:szCs w:val="17"/>
                <w:color w:val="auto"/>
              </w:rPr>
            </w:pPr>
          </w:p>
        </w:tc>
        <w:tc>
          <w:tcPr>
            <w:tcW w:w="4860" w:type="dxa"/>
            <w:vAlign w:val="bottom"/>
            <w:gridSpan w:val="3"/>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PART II.</w:t>
            </w:r>
          </w:p>
        </w:tc>
        <w:tc>
          <w:tcPr>
            <w:tcW w:w="92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FF"/>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8"/>
              </w:rPr>
              <w:t>Legal Proceedings</w:t>
            </w:r>
          </w:p>
        </w:tc>
        <w:tc>
          <w:tcPr>
            <w:tcW w:w="620" w:type="dxa"/>
            <w:vAlign w:val="bottom"/>
            <w:tcBorders>
              <w:top w:val="single" w:sz="8" w:color="0000FF"/>
            </w:tcBorders>
            <w:gridSpan w:val="3"/>
          </w:tcPr>
          <w:p>
            <w:pPr>
              <w:spacing w:after="0"/>
              <w:rPr>
                <w:sz w:val="17"/>
                <w:szCs w:val="17"/>
                <w:color w:val="auto"/>
              </w:rPr>
            </w:pPr>
          </w:p>
        </w:tc>
        <w:tc>
          <w:tcPr>
            <w:tcW w:w="7260" w:type="dxa"/>
            <w:vAlign w:val="bottom"/>
            <w:gridSpan w:val="12"/>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88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2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4880" w:type="dxa"/>
            <w:vAlign w:val="bottom"/>
            <w:gridSpan w:val="4"/>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tcBorders>
              <w:top w:val="single" w:sz="8" w:color="0000FF"/>
            </w:tcBorders>
            <w:gridSpan w:val="4"/>
          </w:tcPr>
          <w:p>
            <w:pPr>
              <w:spacing w:after="0"/>
              <w:rPr>
                <w:sz w:val="17"/>
                <w:szCs w:val="17"/>
                <w:color w:val="auto"/>
              </w:rPr>
            </w:pPr>
          </w:p>
        </w:tc>
        <w:tc>
          <w:tcPr>
            <w:tcW w:w="6900" w:type="dxa"/>
            <w:vAlign w:val="bottom"/>
            <w:gridSpan w:val="10"/>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8"/>
              </w:rPr>
              <w:t>Other Information</w:t>
            </w:r>
          </w:p>
        </w:tc>
        <w:tc>
          <w:tcPr>
            <w:tcW w:w="7900" w:type="dxa"/>
            <w:vAlign w:val="bottom"/>
            <w:gridSpan w:val="16"/>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2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
        </w:trPr>
        <w:tc>
          <w:tcPr>
            <w:tcW w:w="780" w:type="dxa"/>
            <w:vAlign w:val="bottom"/>
            <w:tcBorders>
              <w:right w:val="single" w:sz="8" w:color="0000EE"/>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981" w:right="3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 Looking Statements</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about us and our industry that involve substantial risks and uncertainties. All statements other than statements of historical facts contained in this Quarterly Report on Form 10-Q, including statements regarding our strategy, future financial condition, future operations, projected costs, prospects, plans, objectives of management and expected market growth, are forward-looking statements. In some cases, you can identify forward-looking statements by terminology such as “aim,” “anticipate,” “assume,” “believe,” “contemplate,” “continue,” “could,” “design,” “due,” “estimate,” “expect,” “goal,” “intend,” “may,” “objective,” “plan,” “positioned,” “potential,” “predict,” “seek,” “should,” “target,” “will,” “would” and other similar expressions that are predictions of or indicate future events and future trends, or the negative of these terms or other comparable terminology. These forward-looking statements include, but are not limited to, statements about:</w:t>
      </w:r>
    </w:p>
    <w:p>
      <w:pPr>
        <w:spacing w:after="0" w:line="81" w:lineRule="exact"/>
        <w:rPr>
          <w:sz w:val="20"/>
          <w:szCs w:val="20"/>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existing cash, cash equivalents and restricted cash to fund our future operating expenses and capital expenditure requirements;</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capital requirements and needs for additional financing;</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use of our existing cash, cash equivalents and restricted cash;</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strategic plans for our business and product candidates;</w:t>
      </w:r>
    </w:p>
    <w:p>
      <w:pPr>
        <w:spacing w:after="0" w:line="117" w:lineRule="exact"/>
        <w:rPr>
          <w:rFonts w:ascii="Times New Roman" w:cs="Times New Roman" w:eastAsia="Times New Roman" w:hAnsi="Times New Roman"/>
          <w:sz w:val="18"/>
          <w:szCs w:val="18"/>
          <w:color w:val="auto"/>
        </w:rPr>
      </w:pPr>
    </w:p>
    <w:p>
      <w:pPr>
        <w:ind w:left="260" w:right="240" w:hanging="252"/>
        <w:spacing w:after="0" w:line="282" w:lineRule="auto"/>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research and development programs, preclinical studies, clinical trials and investigational new drug (IND) applications and other regulatory submissions;</w:t>
      </w:r>
    </w:p>
    <w:p>
      <w:pPr>
        <w:spacing w:after="0" w:line="5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our product candidates for the treatment of type 1 and type 2 diabetes, obesity and other metabolic diseases;</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and focus of our ongoing and future clinical trials, and the reporting of data from those trials;</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clinical trials to demonstrate safety and efficacy of our product candidates, and other favorable results;</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the clinical development of our product candidates, including the disease areas to be evaluated;</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commercializing our product candidates, if approved;</w:t>
      </w:r>
    </w:p>
    <w:p>
      <w:pPr>
        <w:spacing w:after="0" w:line="117" w:lineRule="exact"/>
        <w:rPr>
          <w:rFonts w:ascii="Times New Roman" w:cs="Times New Roman" w:eastAsia="Times New Roman" w:hAnsi="Times New Roman"/>
          <w:sz w:val="18"/>
          <w:szCs w:val="18"/>
          <w:color w:val="auto"/>
        </w:rPr>
      </w:pPr>
    </w:p>
    <w:p>
      <w:pPr>
        <w:ind w:left="260" w:right="520" w:hanging="252"/>
        <w:spacing w:after="0" w:line="282" w:lineRule="auto"/>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patient populations addressable by our product candidates, if approved, and the number of participants that will enroll in our ongoing and planned clinical trials;</w:t>
      </w:r>
    </w:p>
    <w:p>
      <w:pPr>
        <w:spacing w:after="0" w:line="5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market opportunity for our product candidates and our ability to maximize those opportunities;</w:t>
      </w:r>
    </w:p>
    <w:p>
      <w:pPr>
        <w:spacing w:after="0" w:line="117" w:lineRule="exact"/>
        <w:rPr>
          <w:rFonts w:ascii="Times New Roman" w:cs="Times New Roman" w:eastAsia="Times New Roman" w:hAnsi="Times New Roman"/>
          <w:sz w:val="18"/>
          <w:szCs w:val="18"/>
          <w:color w:val="auto"/>
        </w:rPr>
      </w:pPr>
    </w:p>
    <w:p>
      <w:pPr>
        <w:ind w:left="260" w:right="520" w:hanging="252"/>
        <w:spacing w:after="0" w:line="282" w:lineRule="auto"/>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strategic partnerships with collaborators with development, regulatory and commercialization expertise and the expected benefits of any such potential future strategic collaborations;</w:t>
      </w:r>
    </w:p>
    <w:p>
      <w:pPr>
        <w:spacing w:after="0" w:line="5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17" w:lineRule="exact"/>
        <w:rPr>
          <w:rFonts w:ascii="Times New Roman" w:cs="Times New Roman" w:eastAsia="Times New Roman" w:hAnsi="Times New Roman"/>
          <w:sz w:val="18"/>
          <w:szCs w:val="18"/>
          <w:color w:val="auto"/>
        </w:rPr>
      </w:pPr>
    </w:p>
    <w:p>
      <w:pPr>
        <w:ind w:left="260" w:hanging="252"/>
        <w:spacing w:after="0" w:line="282" w:lineRule="auto"/>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filings and approvals, including our expectation to seek special designations, such as orphan drug designation, for our product candidates;</w:t>
      </w:r>
    </w:p>
    <w:p>
      <w:pPr>
        <w:spacing w:after="0" w:line="5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the further development and manufacturing of our product candidates, including for additional indications that we may pursue;</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regulations and regulatory developments in the United States and other jurisdictions;</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ability to obtain or protect intellectual property rights, including extensions of existing patent terms where available;</w:t>
      </w:r>
    </w:p>
    <w:p>
      <w:pPr>
        <w:spacing w:after="0" w:line="117" w:lineRule="exact"/>
        <w:rPr>
          <w:rFonts w:ascii="Times New Roman" w:cs="Times New Roman" w:eastAsia="Times New Roman" w:hAnsi="Times New Roman"/>
          <w:sz w:val="18"/>
          <w:szCs w:val="18"/>
          <w:color w:val="auto"/>
        </w:rPr>
      </w:pPr>
    </w:p>
    <w:p>
      <w:pPr>
        <w:ind w:left="260" w:right="120" w:hanging="252"/>
        <w:spacing w:after="0" w:line="282" w:lineRule="auto"/>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sufficient funding or enter into strategic collaborations for the advancement of certain of our product candidate programs, such as for BMF-500;</w:t>
      </w:r>
    </w:p>
    <w:p>
      <w:pPr>
        <w:spacing w:after="0" w:line="5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 to rely on third parties to conduct and support preclinical and clinical development;</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the continued service of our key personnel and to identify, hire and then retain additional qualified personnel;</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global health emergencies or other related disruptions on our business;</w:t>
      </w:r>
    </w:p>
    <w:p>
      <w:pPr>
        <w:spacing w:after="0" w:line="117" w:lineRule="exact"/>
        <w:rPr>
          <w:rFonts w:ascii="Times New Roman" w:cs="Times New Roman" w:eastAsia="Times New Roman" w:hAnsi="Times New Roman"/>
          <w:sz w:val="18"/>
          <w:szCs w:val="18"/>
          <w:color w:val="auto"/>
        </w:rPr>
      </w:pPr>
    </w:p>
    <w:p>
      <w:pPr>
        <w:ind w:left="260" w:right="340" w:hanging="252"/>
        <w:spacing w:after="0" w:line="282" w:lineRule="auto"/>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new laws and regulations, amendments to existing laws and regulations, or changes in government agencies, in the United States and foreign countries;</w:t>
      </w:r>
    </w:p>
    <w:p>
      <w:pPr>
        <w:spacing w:after="0" w:line="27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1" w:right="399" w:bottom="1440" w:gutter="0" w:footer="0" w:header="0"/>
        </w:sectPr>
      </w:pPr>
    </w:p>
    <w:bookmarkStart w:id="3" w:name="page4"/>
    <w:bookmarkEnd w:id="3"/>
    <w:p>
      <w:pPr>
        <w:ind w:left="260" w:right="140" w:hanging="252"/>
        <w:spacing w:after="0" w:line="266" w:lineRule="auto"/>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macroeconomic conditions or market volatility resulting from global economic conditions or geopolitical developments, including supply chain issues, inflationary pressures, market volatility, international tariffs, trade protection measures, economic sanctions, economic slowdowns or recessions, acts of war and civil and political unrest; and</w:t>
      </w:r>
    </w:p>
    <w:p>
      <w:pPr>
        <w:spacing w:after="0" w:line="67" w:lineRule="exact"/>
        <w:rPr>
          <w:rFonts w:ascii="Times New Roman" w:cs="Times New Roman" w:eastAsia="Times New Roman" w:hAnsi="Times New Roman"/>
          <w:sz w:val="18"/>
          <w:szCs w:val="18"/>
          <w:color w:val="auto"/>
        </w:rPr>
      </w:pPr>
    </w:p>
    <w:p>
      <w:pPr>
        <w:ind w:left="260" w:right="140" w:hanging="252"/>
        <w:spacing w:after="0" w:line="282" w:lineRule="auto"/>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period during which we will qualify as an emerging growth company under the Jumpstart Our Business Startups Act of 2012, as amended (JOBS Act).</w:t>
      </w:r>
    </w:p>
    <w:p>
      <w:pPr>
        <w:spacing w:after="0" w:line="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estimates, forecasts and projections about future events and financial trends that we believe may affect our financial condition, results of operations, business strategy and financial needs. In light of the significant uncertainties in these forward-looking statements, you should not rely upon forward-looking statements as predictions of future events. Although we believe that we have a reasonable basis for each forward-looking statement contained in this Quarterly Report on Form 10-Q, we cannot guarantee that the future results, levels of activity, performance or events and circumstances reflected in the forward-looking statements will be achieved or occur at all. You should refer to the section titled “Risk Factors” for a discussion of important factors that may cause our actual results to differ materially from those expressed or implied by our forward-looking statements. Furthermore, if our forward-looking statements prove to be inaccurate, the inaccuracy may be material. Except as required by law, we undertake no obligation to publicly update any forward-looking statements, whether as a result of new information, future events or otherwise. We qualify all of the forward-looking statements in this Quarterly Report on Form 10-Q by these cautionary statements.</w:t>
      </w:r>
    </w:p>
    <w:p>
      <w:pPr>
        <w:spacing w:after="0" w:line="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Biomea Fusion, Inc., the Biomea logo and our other registered or common law trademarks, trade names or service marks appearing in this Quarterly Report on Form 10-Q are owned by us. This Quarterly Report on Form 10-Q contains references to our trademarks and to trademarks belonging to other entities. Solely for convenience, trademarks and trade names referred to in this Quarterly Report on Form 10-Q, including logos, artwork and other visual displays, generally appear without the ® or TM symbols, but such references are not intended to indicate, in any way, that we will not assert, to the fullest extent under applicable law, our rights or the rights of the applicable licensor to these trademarks and trade names. We do not intend our use or display of other companies’ trade names or trademarks to imply a relationship with, or endorsement or sponsorship of us by, any other companies.</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is a summary of the principal factors that make an investment in our common stock speculative or risky. This summary does not address every aspect of our risk factors, all of the risks that we face, or other factors not presently known to us or that we currently believe are immaterial. Additional discussion of the risks summarized in these summary risk factors, and other risks that we face, can be found under the heading “Risk Factors” in this Quarterly Report on Form 10-Q and should be carefully considered, together with other information in this Quarterly Report on Form 10-Q and our other filings with the U.S. Securities and Exchange Commission (SEC), before making investment decisions regarding our common stock.</w:t>
      </w:r>
    </w:p>
    <w:p>
      <w:pPr>
        <w:spacing w:after="0" w:line="77" w:lineRule="exact"/>
        <w:rPr>
          <w:sz w:val="20"/>
          <w:szCs w:val="20"/>
          <w:color w:val="auto"/>
        </w:rPr>
      </w:pPr>
    </w:p>
    <w:p>
      <w:pPr>
        <w:ind w:left="260" w:right="260" w:hanging="252"/>
        <w:spacing w:after="0" w:line="266" w:lineRule="auto"/>
        <w:tabs>
          <w:tab w:leader="none" w:pos="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limited experience in conducting clinical trials, have not completed the clinical development of any product candidates, have no products approved for commercial sale, and have not generated any revenue, which may make it difficult for you to evaluate our current business and likelihood of success and viability.</w:t>
      </w:r>
    </w:p>
    <w:p>
      <w:pPr>
        <w:spacing w:after="0" w:line="67" w:lineRule="exact"/>
        <w:rPr>
          <w:rFonts w:ascii="Times New Roman" w:cs="Times New Roman" w:eastAsia="Times New Roman" w:hAnsi="Times New Roman"/>
          <w:sz w:val="18"/>
          <w:szCs w:val="18"/>
          <w:color w:val="auto"/>
        </w:rPr>
      </w:pPr>
    </w:p>
    <w:p>
      <w:pPr>
        <w:ind w:left="260" w:right="180" w:hanging="252"/>
        <w:spacing w:after="0" w:line="312" w:lineRule="auto"/>
        <w:tabs>
          <w:tab w:leader="none" w:pos="2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will require substantial additional capital to finance our operations. If we are unable to raise such capital when needed, or on acceptable terms, we may be forced to delay, reduce and/or eliminate one or more of our research and product development programs or future commercialization efforts.</w:t>
      </w:r>
    </w:p>
    <w:p>
      <w:pPr>
        <w:spacing w:after="0" w:line="31" w:lineRule="exact"/>
        <w:rPr>
          <w:rFonts w:ascii="Times New Roman" w:cs="Times New Roman" w:eastAsia="Times New Roman" w:hAnsi="Times New Roman"/>
          <w:sz w:val="17"/>
          <w:szCs w:val="17"/>
          <w:color w:val="auto"/>
        </w:rPr>
      </w:pPr>
    </w:p>
    <w:p>
      <w:pPr>
        <w:ind w:left="260" w:right="560" w:hanging="252"/>
        <w:spacing w:after="0" w:line="266" w:lineRule="auto"/>
        <w:tabs>
          <w:tab w:leader="none" w:pos="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development activities are focused on the development of novel small-molecule therapies to treat patients with diabetes and obesity, and the approach we are taking to develop such product candidates is novel, may never lead to marketable products and may not ultimately represent a significant or viable market.</w:t>
      </w:r>
    </w:p>
    <w:p>
      <w:pPr>
        <w:spacing w:after="0" w:line="67" w:lineRule="exact"/>
        <w:rPr>
          <w:rFonts w:ascii="Times New Roman" w:cs="Times New Roman" w:eastAsia="Times New Roman" w:hAnsi="Times New Roman"/>
          <w:sz w:val="18"/>
          <w:szCs w:val="18"/>
          <w:color w:val="auto"/>
        </w:rPr>
      </w:pPr>
    </w:p>
    <w:p>
      <w:pPr>
        <w:ind w:left="260" w:right="140" w:hanging="252"/>
        <w:spacing w:after="0" w:line="261" w:lineRule="auto"/>
        <w:tabs>
          <w:tab w:leader="none" w:pos="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early in our development efforts and are substantially dependent on our product candidates, icovamenib (formerly BMF-219) and BMF-650. If we are unable to advance icovamenib, BMF-650 or any of our future product candidates through clinical development, obtain regulatory approval and ultimately commercialize icovamenib, BMF-650 or any of our future product candidates, or experience significant delays in doing so, our business, financial condition and results of operations will be materially adversely affected.</w:t>
      </w:r>
    </w:p>
    <w:p>
      <w:pPr>
        <w:spacing w:after="0" w:line="71" w:lineRule="exact"/>
        <w:rPr>
          <w:rFonts w:ascii="Times New Roman" w:cs="Times New Roman" w:eastAsia="Times New Roman" w:hAnsi="Times New Roman"/>
          <w:sz w:val="18"/>
          <w:szCs w:val="18"/>
          <w:color w:val="auto"/>
        </w:rPr>
      </w:pPr>
    </w:p>
    <w:p>
      <w:pPr>
        <w:ind w:left="260" w:right="60" w:hanging="252"/>
        <w:spacing w:after="0" w:line="266" w:lineRule="auto"/>
        <w:tabs>
          <w:tab w:leader="none" w:pos="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and clinical drug development is a lengthy and expensive process, with an uncertain outcome. Our preclinical and clinical programs may experience delays or may never be initiated or completed, which would adversely affect our ability to obtain regulatory approvals or commercialize our product candidates on a timely basis or at all, which could have an adverse effect on our business.</w:t>
      </w:r>
    </w:p>
    <w:p>
      <w:pPr>
        <w:spacing w:after="0" w:line="67" w:lineRule="exact"/>
        <w:rPr>
          <w:rFonts w:ascii="Times New Roman" w:cs="Times New Roman" w:eastAsia="Times New Roman" w:hAnsi="Times New Roman"/>
          <w:sz w:val="18"/>
          <w:szCs w:val="18"/>
          <w:color w:val="auto"/>
        </w:rPr>
      </w:pPr>
    </w:p>
    <w:p>
      <w:pPr>
        <w:ind w:left="260" w:right="200" w:hanging="252"/>
        <w:spacing w:after="0" w:line="266" w:lineRule="auto"/>
        <w:tabs>
          <w:tab w:leader="none" w:pos="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preclinical testing and early clinical trials may not be predictive of the success of later clinical trials, and the results of our clinical trials may not satisfy the requirements of the U.S. Food and Drug Administration (FDA) or other comparable foreign regulatory authorities. Successful preclinical studies and clinical trials cannot provide assurance of successful commercialization.</w:t>
      </w:r>
    </w:p>
    <w:p>
      <w:pPr>
        <w:spacing w:after="0" w:line="67" w:lineRule="exact"/>
        <w:rPr>
          <w:rFonts w:ascii="Times New Roman" w:cs="Times New Roman" w:eastAsia="Times New Roman" w:hAnsi="Times New Roman"/>
          <w:sz w:val="18"/>
          <w:szCs w:val="18"/>
          <w:color w:val="auto"/>
        </w:rPr>
      </w:pPr>
    </w:p>
    <w:p>
      <w:pPr>
        <w:ind w:left="260" w:right="200" w:hanging="252"/>
        <w:spacing w:after="0" w:line="289" w:lineRule="auto"/>
        <w:tabs>
          <w:tab w:leader="none" w:pos="2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regulatory approval processes of the FDA and other comparable foreign regulatory authorities are lengthy, time consuming and inherently unpredictable. 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49" w:lineRule="exact"/>
        <w:rPr>
          <w:rFonts w:ascii="Times New Roman" w:cs="Times New Roman" w:eastAsia="Times New Roman" w:hAnsi="Times New Roman"/>
          <w:sz w:val="17"/>
          <w:szCs w:val="17"/>
          <w:color w:val="auto"/>
        </w:rPr>
      </w:pPr>
    </w:p>
    <w:p>
      <w:pPr>
        <w:ind w:left="260" w:right="200" w:hanging="252"/>
        <w:spacing w:after="0" w:line="282" w:lineRule="auto"/>
        <w:tabs>
          <w:tab w:leader="none" w:pos="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global economic conditions, including supply chain issues, tariffs and inflationary pressures, could materially adversely impact our business, results of operations, and financial condition, including our preclinical studies and clinical trials.</w:t>
      </w:r>
    </w:p>
    <w:p>
      <w:pPr>
        <w:spacing w:after="0" w:line="53" w:lineRule="exact"/>
        <w:rPr>
          <w:rFonts w:ascii="Times New Roman" w:cs="Times New Roman" w:eastAsia="Times New Roman" w:hAnsi="Times New Roman"/>
          <w:sz w:val="18"/>
          <w:szCs w:val="18"/>
          <w:color w:val="auto"/>
        </w:rPr>
      </w:pPr>
    </w:p>
    <w:p>
      <w:pPr>
        <w:ind w:left="260" w:right="300" w:hanging="252"/>
        <w:spacing w:after="0" w:line="282" w:lineRule="auto"/>
        <w:tabs>
          <w:tab w:leader="none" w:pos="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stock has been and is likely to continue to be volatile, and you may not be able to resell shares of our common stock at or above the price you paid.</w:t>
      </w:r>
    </w:p>
    <w:p>
      <w:pPr>
        <w:spacing w:after="0" w:line="53" w:lineRule="exact"/>
        <w:rPr>
          <w:rFonts w:ascii="Times New Roman" w:cs="Times New Roman" w:eastAsia="Times New Roman" w:hAnsi="Times New Roman"/>
          <w:sz w:val="18"/>
          <w:szCs w:val="18"/>
          <w:color w:val="auto"/>
        </w:rPr>
      </w:pPr>
    </w:p>
    <w:p>
      <w:pPr>
        <w:ind w:left="260" w:right="100" w:hanging="252"/>
        <w:spacing w:after="0" w:line="282" w:lineRule="auto"/>
        <w:tabs>
          <w:tab w:leader="none" w:pos="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have experienced, and may continue to experience, substantial dilution from future sales and issuances of our capital stock, including upon the exercise of outstanding warrants issued in our underwritten public offerings completed in June 2025 and October 2025.</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7780" w:type="dxa"/>
            <w:vAlign w:val="bottom"/>
          </w:tcPr>
          <w:p>
            <w:pPr>
              <w:jc w:val="center"/>
              <w:ind w:left="337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7780" w:type="dxa"/>
            <w:vAlign w:val="bottom"/>
          </w:tcPr>
          <w:p>
            <w:pPr>
              <w:jc w:val="center"/>
              <w:ind w:left="3370"/>
              <w:spacing w:after="0"/>
              <w:rPr>
                <w:sz w:val="20"/>
                <w:szCs w:val="20"/>
                <w:color w:val="auto"/>
              </w:rPr>
            </w:pPr>
            <w:r>
              <w:rPr>
                <w:rFonts w:ascii="Times New Roman" w:cs="Times New Roman" w:eastAsia="Times New Roman" w:hAnsi="Times New Roman"/>
                <w:sz w:val="18"/>
                <w:szCs w:val="18"/>
                <w:b w:val="1"/>
                <w:bCs w:val="1"/>
                <w:color w:val="auto"/>
                <w:w w:val="99"/>
              </w:rPr>
              <w:t>Biomea Fusion, Inc.</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780" w:type="dxa"/>
            <w:vAlign w:val="bottom"/>
          </w:tcPr>
          <w:p>
            <w:pPr>
              <w:jc w:val="center"/>
              <w:ind w:left="3370"/>
              <w:spacing w:after="0"/>
              <w:rPr>
                <w:sz w:val="20"/>
                <w:szCs w:val="20"/>
                <w:color w:val="auto"/>
              </w:rPr>
            </w:pPr>
            <w:r>
              <w:rPr>
                <w:rFonts w:ascii="Times New Roman" w:cs="Times New Roman" w:eastAsia="Times New Roman" w:hAnsi="Times New Roman"/>
                <w:sz w:val="18"/>
                <w:szCs w:val="18"/>
                <w:b w:val="1"/>
                <w:bCs w:val="1"/>
                <w:color w:val="auto"/>
                <w:w w:val="99"/>
              </w:rPr>
              <w:t>Condensed Balance Sheets</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7780" w:type="dxa"/>
            <w:vAlign w:val="bottom"/>
          </w:tcPr>
          <w:p>
            <w:pPr>
              <w:jc w:val="center"/>
              <w:ind w:left="33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7780" w:type="dxa"/>
            <w:vAlign w:val="bottom"/>
          </w:tcPr>
          <w:p>
            <w:pPr>
              <w:jc w:val="center"/>
              <w:ind w:left="3370"/>
              <w:spacing w:after="0"/>
              <w:rPr>
                <w:sz w:val="20"/>
                <w:szCs w:val="20"/>
                <w:color w:val="auto"/>
              </w:rPr>
            </w:pPr>
            <w:r>
              <w:rPr>
                <w:rFonts w:ascii="Times New Roman" w:cs="Times New Roman" w:eastAsia="Times New Roman" w:hAnsi="Times New Roman"/>
                <w:sz w:val="18"/>
                <w:szCs w:val="18"/>
                <w:color w:val="auto"/>
              </w:rPr>
              <w:t>(in thousands, except share and per share data)</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6"/>
        </w:trPr>
        <w:tc>
          <w:tcPr>
            <w:tcW w:w="7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7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09"/>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44,693</w:t>
            </w:r>
          </w:p>
        </w:tc>
        <w:tc>
          <w:tcPr>
            <w:tcW w:w="18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55,812</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w:t>
            </w:r>
          </w:p>
        </w:tc>
        <w:tc>
          <w:tcPr>
            <w:tcW w:w="100" w:type="dxa"/>
            <w:vAlign w:val="bottom"/>
          </w:tcPr>
          <w:p>
            <w:pPr>
              <w:spacing w:after="0"/>
              <w:rPr>
                <w:sz w:val="18"/>
                <w:szCs w:val="18"/>
                <w:color w:val="auto"/>
              </w:rPr>
            </w:pPr>
          </w:p>
        </w:tc>
      </w:tr>
      <w:tr>
        <w:trPr>
          <w:trHeight w:val="216"/>
        </w:trPr>
        <w:tc>
          <w:tcPr>
            <w:tcW w:w="7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Restricted cash, current</w:t>
            </w: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780" w:type="dxa"/>
            <w:vAlign w:val="bottom"/>
            <w:tcBorders>
              <w:top w:val="single" w:sz="8" w:color="CFF0FC"/>
            </w:tcBorders>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46,318</w:t>
            </w: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58,050</w:t>
            </w:r>
          </w:p>
        </w:tc>
        <w:tc>
          <w:tcPr>
            <w:tcW w:w="100" w:type="dxa"/>
            <w:vAlign w:val="bottom"/>
            <w:tcBorders>
              <w:top w:val="single" w:sz="8" w:color="CFF0FC"/>
            </w:tcBorders>
          </w:tcPr>
          <w:p>
            <w:pPr>
              <w:spacing w:after="0"/>
              <w:rPr>
                <w:sz w:val="18"/>
                <w:szCs w:val="18"/>
                <w:color w:val="auto"/>
              </w:rPr>
            </w:pPr>
          </w:p>
        </w:tc>
      </w:tr>
      <w:tr>
        <w:trPr>
          <w:trHeight w:val="216"/>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Pr>
          <w:p>
            <w:pPr>
              <w:spacing w:after="0"/>
              <w:rPr>
                <w:sz w:val="18"/>
                <w:szCs w:val="18"/>
                <w:color w:val="auto"/>
              </w:rPr>
            </w:pPr>
          </w:p>
        </w:tc>
      </w:tr>
      <w:tr>
        <w:trPr>
          <w:trHeight w:val="249"/>
        </w:trPr>
        <w:tc>
          <w:tcPr>
            <w:tcW w:w="77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46,385</w:t>
            </w:r>
          </w:p>
        </w:tc>
        <w:tc>
          <w:tcPr>
            <w:tcW w:w="180" w:type="dxa"/>
            <w:vAlign w:val="bottom"/>
            <w:shd w:val="clear" w:color="auto" w:fill="CFF0FC"/>
          </w:tcPr>
          <w:p>
            <w:pPr>
              <w:spacing w:after="0"/>
              <w:rPr>
                <w:sz w:val="21"/>
                <w:szCs w:val="21"/>
                <w:color w:val="auto"/>
              </w:rPr>
            </w:pP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58,572</w:t>
            </w:r>
          </w:p>
        </w:tc>
        <w:tc>
          <w:tcPr>
            <w:tcW w:w="100" w:type="dxa"/>
            <w:vAlign w:val="bottom"/>
            <w:shd w:val="clear" w:color="auto" w:fill="CFF0FC"/>
          </w:tcPr>
          <w:p>
            <w:pPr>
              <w:spacing w:after="0"/>
              <w:rPr>
                <w:sz w:val="21"/>
                <w:szCs w:val="21"/>
                <w:color w:val="auto"/>
              </w:rPr>
            </w:pPr>
          </w:p>
        </w:tc>
      </w:tr>
      <w:tr>
        <w:trPr>
          <w:trHeight w:val="197"/>
        </w:trPr>
        <w:tc>
          <w:tcPr>
            <w:tcW w:w="778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4,613</w:t>
            </w:r>
          </w:p>
        </w:tc>
        <w:tc>
          <w:tcPr>
            <w:tcW w:w="18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3,233</w:t>
            </w:r>
          </w:p>
        </w:tc>
        <w:tc>
          <w:tcPr>
            <w:tcW w:w="100" w:type="dxa"/>
            <w:vAlign w:val="bottom"/>
          </w:tcPr>
          <w:p>
            <w:pPr>
              <w:spacing w:after="0"/>
              <w:rPr>
                <w:sz w:val="18"/>
                <w:szCs w:val="18"/>
                <w:color w:val="auto"/>
              </w:rPr>
            </w:pPr>
          </w:p>
        </w:tc>
      </w:tr>
      <w:tr>
        <w:trPr>
          <w:trHeight w:val="216"/>
        </w:trPr>
        <w:tc>
          <w:tcPr>
            <w:tcW w:w="7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3,442</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6,407</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100" w:type="dxa"/>
            <w:vAlign w:val="bottom"/>
          </w:tcPr>
          <w:p>
            <w:pPr>
              <w:spacing w:after="0"/>
              <w:rPr>
                <w:sz w:val="18"/>
                <w:szCs w:val="18"/>
                <w:color w:val="auto"/>
              </w:rPr>
            </w:pPr>
          </w:p>
        </w:tc>
      </w:tr>
      <w:tr>
        <w:trPr>
          <w:trHeight w:val="209"/>
        </w:trPr>
        <w:tc>
          <w:tcPr>
            <w:tcW w:w="77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9,294</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11,101</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2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18"/>
                <w:szCs w:val="18"/>
                <w:color w:val="auto"/>
              </w:rPr>
            </w:pPr>
          </w:p>
        </w:tc>
      </w:tr>
      <w:tr>
        <w:trPr>
          <w:trHeight w:val="216"/>
        </w:trPr>
        <w:tc>
          <w:tcPr>
            <w:tcW w:w="77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Warrant liability, non-current</w:t>
            </w:r>
          </w:p>
        </w:tc>
        <w:tc>
          <w:tcPr>
            <w:tcW w:w="22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18,372</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17,791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27,666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29,020</w:t>
            </w:r>
          </w:p>
        </w:tc>
        <w:tc>
          <w:tcPr>
            <w:tcW w:w="100" w:type="dxa"/>
            <w:vAlign w:val="bottom"/>
          </w:tcPr>
          <w:p>
            <w:pPr>
              <w:spacing w:after="0"/>
              <w:rPr>
                <w:sz w:val="18"/>
                <w:szCs w:val="18"/>
                <w:color w:val="auto"/>
              </w:rPr>
            </w:pPr>
          </w:p>
        </w:tc>
      </w:tr>
      <w:tr>
        <w:trPr>
          <w:trHeight w:val="209"/>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7)</w:t>
            </w: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78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10,000,000 shares authorized as of</w:t>
            </w:r>
          </w:p>
        </w:tc>
        <w:tc>
          <w:tcPr>
            <w:tcW w:w="2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March 31, 2026 and December 31, 2025; 0 shares issued and</w:t>
            </w: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7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outstanding as of March 31, 2026 and December 31, 2025</w:t>
            </w:r>
          </w:p>
        </w:tc>
        <w:tc>
          <w:tcPr>
            <w:tcW w:w="22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78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$0.0001 par value; 300,000,000 shares authorized as of</w:t>
            </w: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March 31, 2026 and December 31, 2025; 72,299,440</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shares issued and outstanding as of March 31, 2026 and December 31,</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2025, respectively</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r>
      <w:tr>
        <w:trPr>
          <w:trHeight w:val="216"/>
        </w:trPr>
        <w:tc>
          <w:tcPr>
            <w:tcW w:w="7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480,175</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478,593</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(461,463)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(449,048)</w:t>
            </w:r>
          </w:p>
        </w:tc>
      </w:tr>
      <w:tr>
        <w:trPr>
          <w:trHeight w:val="210"/>
        </w:trPr>
        <w:tc>
          <w:tcPr>
            <w:tcW w:w="778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18,719</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29,552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46,385</w:t>
            </w:r>
          </w:p>
        </w:tc>
        <w:tc>
          <w:tcPr>
            <w:tcW w:w="18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58,572</w:t>
            </w:r>
          </w:p>
        </w:tc>
        <w:tc>
          <w:tcPr>
            <w:tcW w:w="100" w:type="dxa"/>
            <w:vAlign w:val="bottom"/>
          </w:tcPr>
          <w:p>
            <w:pPr>
              <w:spacing w:after="0"/>
              <w:rPr>
                <w:sz w:val="18"/>
                <w:szCs w:val="18"/>
                <w:color w:val="auto"/>
              </w:rPr>
            </w:pPr>
          </w:p>
        </w:tc>
      </w:tr>
      <w:tr>
        <w:trPr>
          <w:trHeight w:val="20"/>
        </w:trPr>
        <w:tc>
          <w:tcPr>
            <w:tcW w:w="7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-3676650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-3110865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-3093720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-3110865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-3093720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-1979295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-1979295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-170815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Biomea Fusion,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5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8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86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9,120</w:t>
            </w:r>
          </w:p>
        </w:tc>
        <w:tc>
          <w:tcPr>
            <w:tcW w:w="300" w:type="dxa"/>
            <w:vAlign w:val="bottom"/>
          </w:tcPr>
          <w:p>
            <w:pPr>
              <w:spacing w:after="0"/>
              <w:rPr>
                <w:sz w:val="18"/>
                <w:szCs w:val="18"/>
                <w:color w:val="auto"/>
              </w:rPr>
            </w:pPr>
          </w:p>
        </w:tc>
        <w:tc>
          <w:tcPr>
            <w:tcW w:w="7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6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3,654</w:t>
            </w:r>
          </w:p>
        </w:tc>
        <w:tc>
          <w:tcPr>
            <w:tcW w:w="300" w:type="dxa"/>
            <w:vAlign w:val="bottom"/>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12,774</w:t>
            </w:r>
          </w:p>
        </w:tc>
        <w:tc>
          <w:tcPr>
            <w:tcW w:w="3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460" w:type="dxa"/>
            <w:vAlign w:val="bottom"/>
            <w:shd w:val="clear" w:color="auto" w:fill="CFF0FC"/>
          </w:tcPr>
          <w:p>
            <w:pPr>
              <w:spacing w:after="0"/>
              <w:rPr>
                <w:sz w:val="18"/>
                <w:szCs w:val="18"/>
                <w:color w:val="auto"/>
              </w:rPr>
            </w:pPr>
          </w:p>
        </w:tc>
        <w:tc>
          <w:tcPr>
            <w:tcW w:w="1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(12,774)</w:t>
            </w:r>
          </w:p>
        </w:tc>
        <w:tc>
          <w:tcPr>
            <w:tcW w:w="7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(29,712)</w:t>
            </w:r>
          </w:p>
        </w:tc>
        <w:tc>
          <w:tcPr>
            <w:tcW w:w="0" w:type="dxa"/>
            <w:vAlign w:val="bottom"/>
          </w:tcPr>
          <w:p>
            <w:pPr>
              <w:spacing w:after="0"/>
              <w:rPr>
                <w:sz w:val="1"/>
                <w:szCs w:val="1"/>
                <w:color w:val="auto"/>
              </w:rPr>
            </w:pPr>
          </w:p>
        </w:tc>
      </w:tr>
      <w:tr>
        <w:trPr>
          <w:trHeight w:val="216"/>
        </w:trPr>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fair value of common warrant liability</w:t>
            </w:r>
          </w:p>
        </w:tc>
        <w:tc>
          <w:tcPr>
            <w:tcW w:w="46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(581)</w:t>
            </w:r>
          </w:p>
        </w:tc>
        <w:tc>
          <w:tcPr>
            <w:tcW w:w="7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Gain on sale of property and equipment</w:t>
            </w:r>
          </w:p>
        </w:tc>
        <w:tc>
          <w:tcPr>
            <w:tcW w:w="4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4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3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and comprehensive loss</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(12,415)</w:t>
            </w:r>
          </w:p>
        </w:tc>
        <w:tc>
          <w:tcPr>
            <w:tcW w:w="720" w:type="dxa"/>
            <w:vAlign w:val="bottom"/>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(29,262)</w:t>
            </w:r>
          </w:p>
        </w:tc>
        <w:tc>
          <w:tcPr>
            <w:tcW w:w="0" w:type="dxa"/>
            <w:vAlign w:val="bottom"/>
          </w:tcPr>
          <w:p>
            <w:pPr>
              <w:spacing w:after="0"/>
              <w:rPr>
                <w:sz w:val="1"/>
                <w:szCs w:val="1"/>
                <w:color w:val="auto"/>
              </w:rPr>
            </w:pPr>
          </w:p>
        </w:tc>
      </w:tr>
      <w:tr>
        <w:trPr>
          <w:trHeight w:val="20"/>
        </w:trPr>
        <w:tc>
          <w:tcPr>
            <w:tcW w:w="686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per common share, basic and diluted</w:t>
            </w:r>
          </w:p>
        </w:tc>
        <w:tc>
          <w:tcPr>
            <w:tcW w:w="460" w:type="dxa"/>
            <w:vAlign w:val="bottom"/>
          </w:tcPr>
          <w:p>
            <w:pPr>
              <w:jc w:val="right"/>
              <w:ind w:right="2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gridSpan w:val="2"/>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(0.17)</w:t>
            </w:r>
          </w:p>
        </w:tc>
        <w:tc>
          <w:tcPr>
            <w:tcW w:w="720" w:type="dxa"/>
            <w:vAlign w:val="bottom"/>
          </w:tcPr>
          <w:p>
            <w:pPr>
              <w:jc w:val="right"/>
              <w:ind w:right="5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(0.80)</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86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8"/>
                <w:szCs w:val="18"/>
                <w:color w:val="auto"/>
              </w:rPr>
              <w:t>Weighted-average number of common shares</w:t>
            </w:r>
          </w:p>
        </w:tc>
        <w:tc>
          <w:tcPr>
            <w:tcW w:w="460" w:type="dxa"/>
            <w:vAlign w:val="bottom"/>
            <w:shd w:val="clear" w:color="auto" w:fill="CFF0FC"/>
          </w:tcPr>
          <w:p>
            <w:pPr>
              <w:spacing w:after="0"/>
              <w:rPr>
                <w:sz w:val="15"/>
                <w:szCs w:val="15"/>
                <w:color w:val="auto"/>
              </w:rPr>
            </w:pPr>
          </w:p>
        </w:tc>
        <w:tc>
          <w:tcPr>
            <w:tcW w:w="15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used to compute basic and diluted net loss per</w:t>
            </w:r>
          </w:p>
        </w:tc>
        <w:tc>
          <w:tcPr>
            <w:tcW w:w="460" w:type="dxa"/>
            <w:vAlign w:val="bottom"/>
            <w:shd w:val="clear" w:color="auto" w:fill="CFF0FC"/>
          </w:tcPr>
          <w:p>
            <w:pPr>
              <w:spacing w:after="0"/>
              <w:rPr>
                <w:sz w:val="18"/>
                <w:szCs w:val="18"/>
                <w:color w:val="auto"/>
              </w:rPr>
            </w:pPr>
          </w:p>
        </w:tc>
        <w:tc>
          <w:tcPr>
            <w:tcW w:w="1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72,299,440</w:t>
            </w: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36,627,148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60" w:type="dxa"/>
            <w:vAlign w:val="bottom"/>
            <w:tcBorders>
              <w:bottom w:val="single" w:sz="8" w:color="CFF0FC"/>
            </w:tcBorders>
            <w:shd w:val="clear" w:color="auto" w:fill="CFF0FC"/>
          </w:tcPr>
          <w:p>
            <w:pPr>
              <w:ind w:left="140"/>
              <w:spacing w:after="0" w:line="194" w:lineRule="exact"/>
              <w:rPr>
                <w:sz w:val="20"/>
                <w:szCs w:val="20"/>
                <w:color w:val="auto"/>
              </w:rPr>
            </w:pPr>
            <w:r>
              <w:rPr>
                <w:rFonts w:ascii="Times New Roman" w:cs="Times New Roman" w:eastAsia="Times New Roman" w:hAnsi="Times New Roman"/>
                <w:sz w:val="18"/>
                <w:szCs w:val="18"/>
                <w:color w:val="auto"/>
              </w:rPr>
              <w:t>common share</w:t>
            </w:r>
          </w:p>
        </w:tc>
        <w:tc>
          <w:tcPr>
            <w:tcW w:w="460" w:type="dxa"/>
            <w:vAlign w:val="bottom"/>
            <w:tcBorders>
              <w:bottom w:val="single" w:sz="8" w:color="auto"/>
            </w:tcBorders>
            <w:shd w:val="clear" w:color="auto" w:fill="CFF0FC"/>
          </w:tcPr>
          <w:p>
            <w:pPr>
              <w:spacing w:after="0"/>
              <w:rPr>
                <w:sz w:val="20"/>
                <w:szCs w:val="20"/>
                <w:color w:val="auto"/>
              </w:rPr>
            </w:pPr>
          </w:p>
        </w:tc>
        <w:tc>
          <w:tcPr>
            <w:tcW w:w="1540" w:type="dxa"/>
            <w:vAlign w:val="bottom"/>
            <w:tcBorders>
              <w:bottom w:val="single" w:sz="8" w:color="auto"/>
            </w:tcBorders>
            <w:vMerge w:val="continue"/>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5607050</wp:posOffset>
            </wp:positionH>
            <wp:positionV relativeFrom="paragraph">
              <wp:posOffset>-1461135</wp:posOffset>
            </wp:positionV>
            <wp:extent cx="93980" cy="1797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-1461135</wp:posOffset>
            </wp:positionV>
            <wp:extent cx="93980" cy="1797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-599440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-582295</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-582295</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-25400</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-7620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Biomea Fusion,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80" w:type="dxa"/>
            <w:vAlign w:val="bottom"/>
          </w:tcPr>
          <w:p>
            <w:pPr>
              <w:spacing w:after="0"/>
              <w:rPr>
                <w:sz w:val="17"/>
                <w:szCs w:val="17"/>
                <w:color w:val="auto"/>
              </w:rPr>
            </w:pPr>
          </w:p>
        </w:tc>
        <w:tc>
          <w:tcPr>
            <w:tcW w:w="2340" w:type="dxa"/>
            <w:vAlign w:val="bottom"/>
            <w:gridSpan w:val="3"/>
            <w:vMerge w:val="restart"/>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05"/>
        </w:trPr>
        <w:tc>
          <w:tcPr>
            <w:tcW w:w="4380" w:type="dxa"/>
            <w:vAlign w:val="bottom"/>
          </w:tcPr>
          <w:p>
            <w:pPr>
              <w:spacing w:after="0"/>
              <w:rPr>
                <w:sz w:val="17"/>
                <w:szCs w:val="17"/>
                <w:color w:val="auto"/>
              </w:rPr>
            </w:pPr>
          </w:p>
        </w:tc>
        <w:tc>
          <w:tcPr>
            <w:tcW w:w="2340" w:type="dxa"/>
            <w:vAlign w:val="bottom"/>
            <w:tcBorders>
              <w:bottom w:val="single" w:sz="8" w:color="auto"/>
            </w:tcBorders>
            <w:gridSpan w:val="3"/>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8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196"/>
        </w:trPr>
        <w:tc>
          <w:tcPr>
            <w:tcW w:w="4380" w:type="dxa"/>
            <w:vAlign w:val="bottom"/>
          </w:tcPr>
          <w:p>
            <w:pPr>
              <w:spacing w:after="0"/>
              <w:rPr>
                <w:sz w:val="17"/>
                <w:szCs w:val="17"/>
                <w:color w:val="auto"/>
              </w:rPr>
            </w:pPr>
          </w:p>
        </w:tc>
        <w:tc>
          <w:tcPr>
            <w:tcW w:w="11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6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December 31, 2025</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72,299,440</w:t>
            </w:r>
          </w:p>
        </w:tc>
        <w:tc>
          <w:tcPr>
            <w:tcW w:w="1160" w:type="dxa"/>
            <w:vAlign w:val="bottom"/>
            <w:gridSpan w:val="2"/>
            <w:shd w:val="clear" w:color="auto" w:fill="CFF0FC"/>
          </w:tcPr>
          <w:p>
            <w:pPr>
              <w:jc w:val="right"/>
              <w:ind w:right="7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478,593</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(449,048)</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29,552</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1,582</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Net loss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(12,415)</w:t>
            </w:r>
          </w:p>
        </w:tc>
        <w:tc>
          <w:tcPr>
            <w:tcW w:w="8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(12,415)</w:t>
            </w:r>
          </w:p>
        </w:tc>
        <w:tc>
          <w:tcPr>
            <w:tcW w:w="0" w:type="dxa"/>
            <w:vAlign w:val="bottom"/>
          </w:tcPr>
          <w:p>
            <w:pPr>
              <w:spacing w:after="0"/>
              <w:rPr>
                <w:sz w:val="1"/>
                <w:szCs w:val="1"/>
                <w:color w:val="auto"/>
              </w:rPr>
            </w:pPr>
          </w:p>
        </w:tc>
      </w:tr>
      <w:tr>
        <w:trPr>
          <w:trHeight w:val="20"/>
        </w:trPr>
        <w:tc>
          <w:tcPr>
            <w:tcW w:w="438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80" w:type="dxa"/>
            <w:vAlign w:val="bottom"/>
          </w:tcPr>
          <w:p>
            <w:pPr>
              <w:spacing w:after="0"/>
              <w:rPr>
                <w:sz w:val="20"/>
                <w:szCs w:val="20"/>
                <w:color w:val="auto"/>
              </w:rPr>
            </w:pPr>
            <w:r>
              <w:rPr>
                <w:rFonts w:ascii="Times New Roman" w:cs="Times New Roman" w:eastAsia="Times New Roman" w:hAnsi="Times New Roman"/>
                <w:sz w:val="16"/>
                <w:szCs w:val="16"/>
                <w:color w:val="auto"/>
              </w:rPr>
              <w:t>Balance at March 31, 2026</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72,299,440</w:t>
            </w:r>
          </w:p>
        </w:tc>
        <w:tc>
          <w:tcPr>
            <w:tcW w:w="1160" w:type="dxa"/>
            <w:vAlign w:val="bottom"/>
            <w:gridSpan w:val="2"/>
          </w:tcPr>
          <w:p>
            <w:pPr>
              <w:jc w:val="right"/>
              <w:ind w:right="7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480,175</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(461,463)</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18,719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-162560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-162560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-162560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-162560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-162560</wp:posOffset>
            </wp:positionV>
            <wp:extent cx="774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80" w:type="dxa"/>
            <w:vAlign w:val="bottom"/>
          </w:tcPr>
          <w:p>
            <w:pPr>
              <w:spacing w:after="0"/>
              <w:rPr>
                <w:sz w:val="17"/>
                <w:szCs w:val="17"/>
                <w:color w:val="auto"/>
              </w:rPr>
            </w:pPr>
          </w:p>
        </w:tc>
        <w:tc>
          <w:tcPr>
            <w:tcW w:w="2340" w:type="dxa"/>
            <w:vAlign w:val="bottom"/>
            <w:gridSpan w:val="3"/>
            <w:vMerge w:val="restart"/>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05"/>
        </w:trPr>
        <w:tc>
          <w:tcPr>
            <w:tcW w:w="4380" w:type="dxa"/>
            <w:vAlign w:val="bottom"/>
          </w:tcPr>
          <w:p>
            <w:pPr>
              <w:spacing w:after="0"/>
              <w:rPr>
                <w:sz w:val="17"/>
                <w:szCs w:val="17"/>
                <w:color w:val="auto"/>
              </w:rPr>
            </w:pPr>
          </w:p>
        </w:tc>
        <w:tc>
          <w:tcPr>
            <w:tcW w:w="2340" w:type="dxa"/>
            <w:vAlign w:val="bottom"/>
            <w:tcBorders>
              <w:bottom w:val="single" w:sz="8" w:color="auto"/>
            </w:tcBorders>
            <w:gridSpan w:val="3"/>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8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196"/>
        </w:trPr>
        <w:tc>
          <w:tcPr>
            <w:tcW w:w="4380" w:type="dxa"/>
            <w:vAlign w:val="bottom"/>
          </w:tcPr>
          <w:p>
            <w:pPr>
              <w:spacing w:after="0"/>
              <w:rPr>
                <w:sz w:val="17"/>
                <w:szCs w:val="17"/>
                <w:color w:val="auto"/>
              </w:rPr>
            </w:pPr>
          </w:p>
        </w:tc>
        <w:tc>
          <w:tcPr>
            <w:tcW w:w="118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8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196"/>
        </w:trPr>
        <w:tc>
          <w:tcPr>
            <w:tcW w:w="4380" w:type="dxa"/>
            <w:vAlign w:val="bottom"/>
          </w:tcPr>
          <w:p>
            <w:pPr>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36,310,713</w:t>
            </w:r>
          </w:p>
        </w:tc>
        <w:tc>
          <w:tcPr>
            <w:tcW w:w="260" w:type="dxa"/>
            <w:vAlign w:val="bottom"/>
          </w:tcPr>
          <w:p>
            <w:pPr>
              <w:spacing w:after="0"/>
              <w:rPr>
                <w:sz w:val="17"/>
                <w:szCs w:val="17"/>
                <w:color w:val="auto"/>
              </w:rPr>
            </w:pPr>
          </w:p>
        </w:tc>
        <w:tc>
          <w:tcPr>
            <w:tcW w:w="900" w:type="dxa"/>
            <w:vAlign w:val="bottom"/>
            <w:tcBorders>
              <w:top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4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438,820</w:t>
            </w:r>
          </w:p>
        </w:tc>
        <w:tc>
          <w:tcPr>
            <w:tcW w:w="24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(387,251)</w:t>
            </w:r>
          </w:p>
        </w:tc>
        <w:tc>
          <w:tcPr>
            <w:tcW w:w="26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51,573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3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Issuances of common stock under at the market equity</w:t>
            </w:r>
          </w:p>
        </w:tc>
        <w:tc>
          <w:tcPr>
            <w:tcW w:w="11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offering program, net of issuance costs of $5</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1,261,537</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3,257</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3,257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3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3,169</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Net loss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(29,262)</w:t>
            </w:r>
          </w:p>
        </w:tc>
        <w:tc>
          <w:tcPr>
            <w:tcW w:w="8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(29,262)</w:t>
            </w:r>
          </w:p>
        </w:tc>
        <w:tc>
          <w:tcPr>
            <w:tcW w:w="0" w:type="dxa"/>
            <w:vAlign w:val="bottom"/>
          </w:tcPr>
          <w:p>
            <w:pPr>
              <w:spacing w:after="0"/>
              <w:rPr>
                <w:sz w:val="1"/>
                <w:szCs w:val="1"/>
                <w:color w:val="auto"/>
              </w:rPr>
            </w:pPr>
          </w:p>
        </w:tc>
      </w:tr>
      <w:tr>
        <w:trPr>
          <w:trHeight w:val="20"/>
        </w:trPr>
        <w:tc>
          <w:tcPr>
            <w:tcW w:w="438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80" w:type="dxa"/>
            <w:vAlign w:val="bottom"/>
          </w:tcPr>
          <w:p>
            <w:pPr>
              <w:spacing w:after="0"/>
              <w:rPr>
                <w:sz w:val="20"/>
                <w:szCs w:val="20"/>
                <w:color w:val="auto"/>
              </w:rPr>
            </w:pPr>
            <w:r>
              <w:rPr>
                <w:rFonts w:ascii="Times New Roman" w:cs="Times New Roman" w:eastAsia="Times New Roman" w:hAnsi="Times New Roman"/>
                <w:sz w:val="16"/>
                <w:szCs w:val="16"/>
                <w:color w:val="auto"/>
              </w:rPr>
              <w:t>Balance at March 31, 2025</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37,572,250</w:t>
            </w:r>
          </w:p>
        </w:tc>
        <w:tc>
          <w:tcPr>
            <w:tcW w:w="1160" w:type="dxa"/>
            <w:vAlign w:val="bottom"/>
            <w:gridSpan w:val="2"/>
          </w:tcPr>
          <w:p>
            <w:pPr>
              <w:jc w:val="right"/>
              <w:ind w:right="7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445,246</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(416,513)</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28,737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-162560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-162560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-162560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-162560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-162560</wp:posOffset>
            </wp:positionV>
            <wp:extent cx="77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7700" w:type="dxa"/>
            <w:vAlign w:val="bottom"/>
          </w:tcPr>
          <w:p>
            <w:pPr>
              <w:jc w:val="center"/>
              <w:ind w:left="3450"/>
              <w:spacing w:after="0"/>
              <w:rPr>
                <w:sz w:val="20"/>
                <w:szCs w:val="20"/>
                <w:color w:val="auto"/>
              </w:rPr>
            </w:pPr>
            <w:r>
              <w:rPr>
                <w:rFonts w:ascii="Times New Roman" w:cs="Times New Roman" w:eastAsia="Times New Roman" w:hAnsi="Times New Roman"/>
                <w:sz w:val="18"/>
                <w:szCs w:val="18"/>
                <w:b w:val="1"/>
                <w:bCs w:val="1"/>
                <w:color w:val="auto"/>
                <w:w w:val="99"/>
              </w:rPr>
              <w:t>Biomea Fusion, Inc.</w:t>
            </w: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jc w:val="center"/>
              <w:ind w:left="3450"/>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700" w:type="dxa"/>
            <w:vAlign w:val="bottom"/>
          </w:tcPr>
          <w:p>
            <w:pPr>
              <w:jc w:val="center"/>
              <w:ind w:left="345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700" w:type="dxa"/>
            <w:vAlign w:val="bottom"/>
          </w:tcPr>
          <w:p>
            <w:pPr>
              <w:jc w:val="center"/>
              <w:ind w:left="3470"/>
              <w:spacing w:after="0"/>
              <w:rPr>
                <w:sz w:val="20"/>
                <w:szCs w:val="20"/>
                <w:color w:val="auto"/>
              </w:rPr>
            </w:pPr>
            <w:r>
              <w:rPr>
                <w:rFonts w:ascii="Times New Roman" w:cs="Times New Roman" w:eastAsia="Times New Roman" w:hAnsi="Times New Roman"/>
                <w:sz w:val="18"/>
                <w:szCs w:val="18"/>
                <w:color w:val="auto"/>
                <w:w w:val="99"/>
              </w:rPr>
              <w:t>(in thousands)</w:t>
            </w:r>
          </w:p>
        </w:tc>
        <w:tc>
          <w:tcPr>
            <w:tcW w:w="2860" w:type="dxa"/>
            <w:vAlign w:val="bottom"/>
            <w:gridSpan w:val="4"/>
            <w:vMerge w:val="restart"/>
          </w:tcPr>
          <w:p>
            <w:pPr>
              <w:jc w:val="right"/>
              <w:ind w:right="235"/>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7700" w:type="dxa"/>
            <w:vAlign w:val="bottom"/>
          </w:tcPr>
          <w:p>
            <w:pPr>
              <w:spacing w:after="0"/>
              <w:rPr>
                <w:sz w:val="16"/>
                <w:szCs w:val="16"/>
                <w:color w:val="auto"/>
              </w:rPr>
            </w:pPr>
          </w:p>
        </w:tc>
        <w:tc>
          <w:tcPr>
            <w:tcW w:w="2860" w:type="dxa"/>
            <w:vAlign w:val="bottom"/>
            <w:gridSpan w:val="4"/>
            <w:vMerge w:val="continue"/>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7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ind w:right="675"/>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70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6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9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7"/>
              </w:rPr>
              <w:t>(12,415)</w:t>
            </w:r>
          </w:p>
        </w:tc>
        <w:tc>
          <w:tcPr>
            <w:tcW w:w="960" w:type="dxa"/>
            <w:vAlign w:val="bottom"/>
          </w:tcPr>
          <w:p>
            <w:pPr>
              <w:jc w:val="right"/>
              <w:ind w:right="79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(29,262)</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expense</w:t>
            </w: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Non-cash operating lease expense</w:t>
            </w:r>
          </w:p>
        </w:tc>
        <w:tc>
          <w:tcPr>
            <w:tcW w:w="9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9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3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sale of property and equipment</w:t>
            </w:r>
          </w:p>
        </w:tc>
        <w:tc>
          <w:tcPr>
            <w:tcW w:w="96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(510)</w:t>
            </w:r>
          </w:p>
        </w:tc>
        <w:tc>
          <w:tcPr>
            <w:tcW w:w="9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9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(5,220)</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9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(2,965)</w:t>
            </w: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6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(350)</w:t>
            </w:r>
          </w:p>
        </w:tc>
        <w:tc>
          <w:tcPr>
            <w:tcW w:w="9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(844)</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w w:val="97"/>
              </w:rPr>
              <w:t>(11,669)</w:t>
            </w:r>
          </w:p>
        </w:tc>
        <w:tc>
          <w:tcPr>
            <w:tcW w:w="9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(25,667)</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96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38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9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70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Proceeds from issuances of common stock under at the</w:t>
            </w: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market equity offering program, net of offering costs</w:t>
            </w:r>
          </w:p>
        </w:tc>
        <w:tc>
          <w:tcPr>
            <w:tcW w:w="960" w:type="dxa"/>
            <w:vAlign w:val="bottom"/>
          </w:tcPr>
          <w:p>
            <w:pPr>
              <w:spacing w:after="0"/>
              <w:rPr>
                <w:sz w:val="20"/>
                <w:szCs w:val="20"/>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Payments of financing costs</w:t>
            </w:r>
          </w:p>
        </w:tc>
        <w:tc>
          <w:tcPr>
            <w:tcW w:w="9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9"/>
        </w:trPr>
        <w:tc>
          <w:tcPr>
            <w:tcW w:w="77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CFF0FC"/>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3,252</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9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w w:val="97"/>
              </w:rPr>
              <w:t>(11,119)</w:t>
            </w:r>
          </w:p>
        </w:tc>
        <w:tc>
          <w:tcPr>
            <w:tcW w:w="96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(22,415)</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the beginning of the period</w:t>
            </w:r>
          </w:p>
        </w:tc>
        <w:tc>
          <w:tcPr>
            <w:tcW w:w="9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56,181</w:t>
            </w:r>
          </w:p>
        </w:tc>
        <w:tc>
          <w:tcPr>
            <w:tcW w:w="3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the end of the period</w:t>
            </w:r>
          </w:p>
        </w:tc>
        <w:tc>
          <w:tcPr>
            <w:tcW w:w="960" w:type="dxa"/>
            <w:vAlign w:val="bottom"/>
            <w:tcBorders>
              <w:bottom w:val="single" w:sz="8" w:color="auto"/>
            </w:tcBorders>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45,062</w:t>
            </w:r>
          </w:p>
        </w:tc>
        <w:tc>
          <w:tcPr>
            <w:tcW w:w="38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79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36,233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7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Non-cash financing and investing activities:</w:t>
            </w:r>
          </w:p>
        </w:tc>
        <w:tc>
          <w:tcPr>
            <w:tcW w:w="9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costs included in accounts payable and accrued liabilities</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79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Reconciliation of cash and cash equivalents, and restricted cash:</w:t>
            </w: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60" w:type="dxa"/>
            <w:vAlign w:val="bottom"/>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44,693</w:t>
            </w:r>
          </w:p>
        </w:tc>
        <w:tc>
          <w:tcPr>
            <w:tcW w:w="38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79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35,864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9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3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cash and cash equivalents, and restricted cash</w:t>
            </w:r>
          </w:p>
        </w:tc>
        <w:tc>
          <w:tcPr>
            <w:tcW w:w="960" w:type="dxa"/>
            <w:vAlign w:val="bottom"/>
            <w:tcBorders>
              <w:bottom w:val="single" w:sz="8" w:color="auto"/>
            </w:tcBorders>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45,062</w:t>
            </w:r>
          </w:p>
        </w:tc>
        <w:tc>
          <w:tcPr>
            <w:tcW w:w="38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79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36,233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-2416810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-2416810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-1722120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-1722120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-1156335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-1139190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-1156335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-1139190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-24765</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-7620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Biomea Fusion,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Biomea Fusion, Inc., (the Company), was established in the state of Delaware in August 2017 as Biomea Fusion, LLC. In December 2020, all outstanding membership interests in Biomea Fusion, LLC were converted into equity interests in the Company. The capitalization information included in these unaudited condensed financial statements is consistently presented as if it is that of Biomea Fusion, Inc., even during the prior period when investors held their equity interests in Biomea Fusion, LLC.</w:t>
      </w:r>
    </w:p>
    <w:p>
      <w:pPr>
        <w:spacing w:after="0" w:line="7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Company was founded with the goal of creating targeted treatments built through expertise in chemistry and a deep understanding of metabolic biology. The Company is a clinical-stage diabetes and obesity medicines company focused on the development of oral, small molecule drugs to treat and improve the lives of patients with diabetes, obesity and other metabolic diseases.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financial statements have been prepared in accordance with generally accepted accounting principles in the United States of America (GAAP) and applicable rules and regulations of the SEC regarding interim financial reporting. As permitted under those rules, certain footnotes or other financial information that are normally required by GAAP have been condensed or omitted, and accordingly the balance sheet as of December 31, 2025 has been derived from the audited financial statements at that date but does not include all of the information required by GAAP for complete financial statements. These unaudited condensed financial statements have been prepared on the same basis as the Company’s annual financial statements and, in the opinion of management, reflect all adjustments, consisting only of normal recurring adjustments which are necessary for a fair statement of the Company’s financial information. The unaudited interim results of operations for the three months ended March 31, 2026 are not necessarily indicative of the results to be expected for the year ending December 31, 2026 or for any other interim period or for any other future year.</w:t>
      </w:r>
    </w:p>
    <w:p>
      <w:pPr>
        <w:spacing w:after="0" w:line="84"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accompanying unaudited condensed financial statements should be read in conjunction with the audited financial statements and the related notes thereto for the year ended December 31, 2025, included in the Company’s Annual Report on Form 10-K filed with the SEC on March 24, 2026.</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8"/>
          <w:szCs w:val="18"/>
          <w:color w:val="auto"/>
        </w:rPr>
        <w:t>The Company has incurred net operating losses (NOLs) and negative cash flows from operations since its inception and had an accumulated deficit of $461.5 million at March 31, 2026. As of March 31, 2026, the Company had cash, cash equivalents, and restricted cash of $45.1 million. Management believes that the existing financial resources are not sufficient to continue operating activities for at least twelve months past the issuance date of these unaudited condensed financial statements. The Company’s ability to continue as a going concern will require the Company to raise additional capital to fund the Company's operations through public or private equity offerings, debt financings, collaborations and licensing arrangements or other sources. There can be no assurance that additional financing will be available to the Company or that such financing, if available, will be available on terms acceptable to the Company. Accordingly, there is substantial doubt about the Company’s ability to continue as a going concern.</w:t>
      </w:r>
    </w:p>
    <w:p>
      <w:pPr>
        <w:spacing w:after="0" w:line="8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Company has historically financed its operations primarily through the sale of common stock and warrants and the issuance of unsecured promissory notes. To date, none of the Company’s product candidates have been approved for commercial sale, and the Company has not generated any revenue since inception. Management expects operating losses to continue and increase for the foreseeable future, as the Company continues clinical development activities for its lead product candidate and advances the preclinical and clinical development of other product candidates. The Company’s prospects are subject to risks, expenses and uncertainties frequently encountered by companies in the biotechnology industry as discussed below. There can be no assurance that in the event the Company requires additional financing, such financing will be available on terms which are favorable or at all. Failure to generate sufficient cash flows from operations, raise additional capital or reduce certain discretionary spending would have a material adverse effect on the Company’s ability to achieve its intended business objectives.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have been no significant changes to the significant accounting policies during the three months ended March 31, 2026, as compared to those included in the Company’s Annual Report on Form 10-K filed with the SEC on March 24, 2026.</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 - Not Yet Adopted</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November 2024, the Financial Accounting Standard Board issued Accounting Standards Update (ASU) 2024-03, Income Statement-Reporting Comprehensive Income-Expense Disaggregation Disclosures (Subtopic 220-40): Disaggregation of Income Statement Expenses (ASU 2024-03), which requires disaggregated information about certain income statement expense line items on an annual and interim basis. ASU 2024-03 is effective for annual periods beginning after December 15, 2026 and interim reporting</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 w:name="page11"/>
    <w:bookmarkEnd w:id="10"/>
    <w:p>
      <w:pPr>
        <w:ind w:right="420"/>
        <w:spacing w:after="0" w:line="282" w:lineRule="auto"/>
        <w:rPr>
          <w:sz w:val="20"/>
          <w:szCs w:val="20"/>
          <w:color w:val="auto"/>
        </w:rPr>
      </w:pPr>
      <w:r>
        <w:rPr>
          <w:rFonts w:ascii="Times New Roman" w:cs="Times New Roman" w:eastAsia="Times New Roman" w:hAnsi="Times New Roman"/>
          <w:sz w:val="18"/>
          <w:szCs w:val="18"/>
          <w:color w:val="auto"/>
        </w:rPr>
        <w:t>periods within annual reporting periods beginning after December 15, 2027. Early adoption is permitted and can be applied prospectively or retrospectively. The Company is evaluating the impact of the adoption of this standard on the Company’s financial statements and related disclosures.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Fair Value Measurement</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measures and reports certain financial instruments as assets and liabilities at fair value on a recurring basis. The following tables set forth the fair value of the Company’s financial assets, which consist of cash equivalents and marketable securities measured and recognized at fair value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80" w:type="dxa"/>
            <w:vAlign w:val="bottom"/>
          </w:tcPr>
          <w:p>
            <w:pPr>
              <w:spacing w:after="0"/>
              <w:rPr>
                <w:sz w:val="20"/>
                <w:szCs w:val="20"/>
                <w:color w:val="auto"/>
              </w:rPr>
            </w:pPr>
          </w:p>
        </w:tc>
        <w:tc>
          <w:tcPr>
            <w:tcW w:w="13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4"/>
          </w:tcPr>
          <w:p>
            <w:pPr>
              <w:ind w:left="46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78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18"/>
                <w:szCs w:val="18"/>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Hierarchy</w:t>
            </w:r>
          </w:p>
        </w:tc>
        <w:tc>
          <w:tcPr>
            <w:tcW w:w="120" w:type="dxa"/>
            <w:vAlign w:val="bottom"/>
          </w:tcPr>
          <w:p>
            <w:pPr>
              <w:spacing w:after="0"/>
              <w:rPr>
                <w:sz w:val="18"/>
                <w:szCs w:val="18"/>
                <w:color w:val="auto"/>
              </w:rPr>
            </w:pPr>
          </w:p>
        </w:tc>
        <w:tc>
          <w:tcPr>
            <w:tcW w:w="9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0" w:type="dxa"/>
            <w:vAlign w:val="bottom"/>
          </w:tcPr>
          <w:p>
            <w:pPr>
              <w:spacing w:after="0"/>
              <w:rPr>
                <w:sz w:val="1"/>
                <w:szCs w:val="1"/>
                <w:color w:val="auto"/>
              </w:rPr>
            </w:pPr>
          </w:p>
        </w:tc>
      </w:tr>
      <w:tr>
        <w:trPr>
          <w:trHeight w:val="238"/>
        </w:trPr>
        <w:tc>
          <w:tcPr>
            <w:tcW w:w="4780" w:type="dxa"/>
            <w:vAlign w:val="bottom"/>
          </w:tcPr>
          <w:p>
            <w:pPr>
              <w:spacing w:after="0"/>
              <w:rPr>
                <w:sz w:val="20"/>
                <w:szCs w:val="20"/>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120" w:type="dxa"/>
            <w:vAlign w:val="bottom"/>
          </w:tcPr>
          <w:p>
            <w:pPr>
              <w:spacing w:after="0"/>
              <w:rPr>
                <w:sz w:val="20"/>
                <w:szCs w:val="20"/>
                <w:color w:val="auto"/>
              </w:rPr>
            </w:pPr>
          </w:p>
        </w:tc>
        <w:tc>
          <w:tcPr>
            <w:tcW w:w="9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09"/>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assets included in cash and cash equivalents:</w:t>
            </w:r>
          </w:p>
        </w:tc>
        <w:tc>
          <w:tcPr>
            <w:tcW w:w="116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Money market funds</w:t>
            </w: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Level 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43,610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spacing w:after="0"/>
              <w:rPr>
                <w:sz w:val="21"/>
                <w:szCs w:val="21"/>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43,610</w:t>
            </w:r>
          </w:p>
        </w:tc>
        <w:tc>
          <w:tcPr>
            <w:tcW w:w="2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spacing w:after="0"/>
              <w:rPr>
                <w:sz w:val="21"/>
                <w:szCs w:val="21"/>
                <w:color w:val="auto"/>
              </w:rPr>
            </w:pPr>
          </w:p>
        </w:tc>
        <w:tc>
          <w:tcPr>
            <w:tcW w:w="960" w:type="dxa"/>
            <w:vAlign w:val="bottom"/>
            <w:tcBorders>
              <w:top w:val="single" w:sz="8" w:color="auto"/>
              <w:bottom w:val="single" w:sz="8" w:color="auto"/>
            </w:tcBorders>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top w:val="single" w:sz="8" w:color="auto"/>
              <w:bottom w:val="single" w:sz="8" w:color="auto"/>
            </w:tcBorders>
            <w:shd w:val="clear" w:color="auto" w:fill="CFF0FC"/>
          </w:tcPr>
          <w:p>
            <w:pPr>
              <w:spacing w:after="0"/>
              <w:rPr>
                <w:sz w:val="21"/>
                <w:szCs w:val="21"/>
                <w:color w:val="auto"/>
              </w:rPr>
            </w:pPr>
          </w:p>
        </w:tc>
        <w:tc>
          <w:tcPr>
            <w:tcW w:w="960" w:type="dxa"/>
            <w:vAlign w:val="bottom"/>
            <w:tcBorders>
              <w:top w:val="single" w:sz="8" w:color="auto"/>
              <w:bottom w:val="single" w:sz="8" w:color="auto"/>
            </w:tcBorders>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spacing w:after="0"/>
              <w:rPr>
                <w:sz w:val="21"/>
                <w:szCs w:val="21"/>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43,610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Warrant liability</w:t>
            </w:r>
          </w:p>
        </w:tc>
        <w:tc>
          <w:tcPr>
            <w:tcW w:w="1320" w:type="dxa"/>
            <w:vAlign w:val="bottom"/>
            <w:tcBorders>
              <w:bottom w:val="single" w:sz="8" w:color="CFF0FC"/>
            </w:tcBorders>
            <w:gridSpan w:val="2"/>
            <w:shd w:val="clear" w:color="auto" w:fill="CFF0FC"/>
          </w:tcPr>
          <w:p>
            <w:pPr>
              <w:jc w:val="center"/>
              <w:ind w:right="180"/>
              <w:spacing w:after="0"/>
              <w:rPr>
                <w:sz w:val="20"/>
                <w:szCs w:val="20"/>
                <w:color w:val="auto"/>
              </w:rPr>
            </w:pPr>
            <w:r>
              <w:rPr>
                <w:rFonts w:ascii="Times New Roman" w:cs="Times New Roman" w:eastAsia="Times New Roman" w:hAnsi="Times New Roman"/>
                <w:sz w:val="18"/>
                <w:szCs w:val="18"/>
                <w:color w:val="auto"/>
                <w:w w:val="99"/>
              </w:rPr>
              <w:t>Level 3</w:t>
            </w:r>
          </w:p>
        </w:tc>
        <w:tc>
          <w:tcPr>
            <w:tcW w:w="1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18,372</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18,372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18,372</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4780" w:type="dxa"/>
            <w:vAlign w:val="bottom"/>
          </w:tcPr>
          <w:p>
            <w:pPr>
              <w:spacing w:after="0"/>
              <w:rPr>
                <w:sz w:val="24"/>
                <w:szCs w:val="24"/>
                <w:color w:val="auto"/>
              </w:rPr>
            </w:pPr>
          </w:p>
        </w:tc>
        <w:tc>
          <w:tcPr>
            <w:tcW w:w="13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78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18"/>
                <w:szCs w:val="18"/>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Hierarchy</w:t>
            </w:r>
          </w:p>
        </w:tc>
        <w:tc>
          <w:tcPr>
            <w:tcW w:w="120" w:type="dxa"/>
            <w:vAlign w:val="bottom"/>
          </w:tcPr>
          <w:p>
            <w:pPr>
              <w:spacing w:after="0"/>
              <w:rPr>
                <w:sz w:val="18"/>
                <w:szCs w:val="18"/>
                <w:color w:val="auto"/>
              </w:rPr>
            </w:pPr>
          </w:p>
        </w:tc>
        <w:tc>
          <w:tcPr>
            <w:tcW w:w="9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0" w:type="dxa"/>
            <w:vAlign w:val="bottom"/>
          </w:tcPr>
          <w:p>
            <w:pPr>
              <w:spacing w:after="0"/>
              <w:rPr>
                <w:sz w:val="1"/>
                <w:szCs w:val="1"/>
                <w:color w:val="auto"/>
              </w:rPr>
            </w:pPr>
          </w:p>
        </w:tc>
      </w:tr>
      <w:tr>
        <w:trPr>
          <w:trHeight w:val="238"/>
        </w:trPr>
        <w:tc>
          <w:tcPr>
            <w:tcW w:w="4780" w:type="dxa"/>
            <w:vAlign w:val="bottom"/>
          </w:tcPr>
          <w:p>
            <w:pPr>
              <w:spacing w:after="0"/>
              <w:rPr>
                <w:sz w:val="20"/>
                <w:szCs w:val="20"/>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120" w:type="dxa"/>
            <w:vAlign w:val="bottom"/>
          </w:tcPr>
          <w:p>
            <w:pPr>
              <w:spacing w:after="0"/>
              <w:rPr>
                <w:sz w:val="20"/>
                <w:szCs w:val="20"/>
                <w:color w:val="auto"/>
              </w:rPr>
            </w:pPr>
          </w:p>
        </w:tc>
        <w:tc>
          <w:tcPr>
            <w:tcW w:w="9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09"/>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assets included in cash and cash equivalents:</w:t>
            </w:r>
          </w:p>
        </w:tc>
        <w:tc>
          <w:tcPr>
            <w:tcW w:w="116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Money market funds</w:t>
            </w: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Level 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55,030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spacing w:after="0"/>
              <w:rPr>
                <w:sz w:val="21"/>
                <w:szCs w:val="21"/>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55,030</w:t>
            </w:r>
          </w:p>
        </w:tc>
        <w:tc>
          <w:tcPr>
            <w:tcW w:w="2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spacing w:after="0"/>
              <w:rPr>
                <w:sz w:val="21"/>
                <w:szCs w:val="21"/>
                <w:color w:val="auto"/>
              </w:rPr>
            </w:pPr>
          </w:p>
        </w:tc>
        <w:tc>
          <w:tcPr>
            <w:tcW w:w="960" w:type="dxa"/>
            <w:vAlign w:val="bottom"/>
            <w:tcBorders>
              <w:top w:val="single" w:sz="8" w:color="auto"/>
              <w:bottom w:val="single" w:sz="8" w:color="auto"/>
            </w:tcBorders>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top w:val="single" w:sz="8" w:color="auto"/>
              <w:bottom w:val="single" w:sz="8" w:color="auto"/>
            </w:tcBorders>
            <w:shd w:val="clear" w:color="auto" w:fill="CFF0FC"/>
          </w:tcPr>
          <w:p>
            <w:pPr>
              <w:spacing w:after="0"/>
              <w:rPr>
                <w:sz w:val="21"/>
                <w:szCs w:val="21"/>
                <w:color w:val="auto"/>
              </w:rPr>
            </w:pPr>
          </w:p>
        </w:tc>
        <w:tc>
          <w:tcPr>
            <w:tcW w:w="960" w:type="dxa"/>
            <w:vAlign w:val="bottom"/>
            <w:tcBorders>
              <w:top w:val="single" w:sz="8" w:color="auto"/>
              <w:bottom w:val="single" w:sz="8" w:color="auto"/>
            </w:tcBorders>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spacing w:after="0"/>
              <w:rPr>
                <w:sz w:val="21"/>
                <w:szCs w:val="21"/>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55,030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Warrant liability</w:t>
            </w:r>
          </w:p>
        </w:tc>
        <w:tc>
          <w:tcPr>
            <w:tcW w:w="1320" w:type="dxa"/>
            <w:vAlign w:val="bottom"/>
            <w:tcBorders>
              <w:bottom w:val="single" w:sz="8" w:color="CFF0FC"/>
            </w:tcBorders>
            <w:gridSpan w:val="2"/>
            <w:shd w:val="clear" w:color="auto" w:fill="CFF0FC"/>
          </w:tcPr>
          <w:p>
            <w:pPr>
              <w:jc w:val="center"/>
              <w:ind w:right="180"/>
              <w:spacing w:after="0"/>
              <w:rPr>
                <w:sz w:val="20"/>
                <w:szCs w:val="20"/>
                <w:color w:val="auto"/>
              </w:rPr>
            </w:pPr>
            <w:r>
              <w:rPr>
                <w:rFonts w:ascii="Times New Roman" w:cs="Times New Roman" w:eastAsia="Times New Roman" w:hAnsi="Times New Roman"/>
                <w:sz w:val="18"/>
                <w:szCs w:val="18"/>
                <w:color w:val="auto"/>
                <w:w w:val="99"/>
              </w:rPr>
              <w:t>Level 3</w:t>
            </w:r>
          </w:p>
        </w:tc>
        <w:tc>
          <w:tcPr>
            <w:tcW w:w="1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17,791</w:t>
            </w: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17,791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17,791</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76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-2133600</wp:posOffset>
            </wp:positionV>
            <wp:extent cx="774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-2117090</wp:posOffset>
            </wp:positionV>
            <wp:extent cx="7747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-2133600</wp:posOffset>
            </wp:positionV>
            <wp:extent cx="774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-2117090</wp:posOffset>
            </wp:positionV>
            <wp:extent cx="774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-2133600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-2117090</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-2133600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-2117090</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-1833880</wp:posOffset>
            </wp:positionV>
            <wp:extent cx="774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-1833880</wp:posOffset>
            </wp:positionV>
            <wp:extent cx="774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-1833880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-1833880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-471170</wp:posOffset>
            </wp:positionV>
            <wp:extent cx="774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-453390</wp:posOffset>
            </wp:positionV>
            <wp:extent cx="774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-471170</wp:posOffset>
            </wp:positionV>
            <wp:extent cx="774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-453390</wp:posOffset>
            </wp:positionV>
            <wp:extent cx="774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-471170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-453390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-471170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-170815</wp:posOffset>
            </wp:positionV>
            <wp:extent cx="774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-170815</wp:posOffset>
            </wp:positionV>
            <wp:extent cx="774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-170815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Company evaluates transfers between levels at the end of each reporting period. There were no transfers between Levels 1, 2 and 3 during the three months ended March 31, 2026 and 2025. There have been no realized or unrealized gains or losses recognized for the periods presented.</w:t>
      </w:r>
    </w:p>
    <w:p>
      <w:pPr>
        <w:spacing w:after="0" w:line="54"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There were no investments as of March 31, 2026 and December 31, 2025, as such, no allowance for credit losses has been recognized as of March 31, 2026. During the three months ended March 31, 2026 and 2025, the Company did not recognize any impairment losses related to investments.</w:t>
      </w:r>
    </w:p>
    <w:p>
      <w:pPr>
        <w:spacing w:after="0" w:line="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warrant liability in the table above consisted of the fair value of the Common Warrants (see Note 5) and was based on significant inputs not observable in the market, which represents a Level 3 measurement within the fair value hierarchy.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full roll forward of the aggregate fair value of the warrant liability categorized within Level 3 inputs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Warrant Liability</w:t>
            </w:r>
          </w:p>
        </w:tc>
      </w:tr>
      <w:tr>
        <w:trPr>
          <w:trHeight w:val="210"/>
        </w:trPr>
        <w:tc>
          <w:tcPr>
            <w:tcW w:w="9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17,791</w:t>
            </w:r>
          </w:p>
        </w:tc>
        <w:tc>
          <w:tcPr>
            <w:tcW w:w="100" w:type="dxa"/>
            <w:vAlign w:val="bottom"/>
            <w:shd w:val="clear" w:color="auto" w:fill="CFF0FC"/>
          </w:tcPr>
          <w:p>
            <w:pPr>
              <w:spacing w:after="0"/>
              <w:rPr>
                <w:sz w:val="18"/>
                <w:szCs w:val="18"/>
                <w:color w:val="auto"/>
              </w:rPr>
            </w:pPr>
          </w:p>
        </w:tc>
      </w:tr>
      <w:tr>
        <w:trPr>
          <w:trHeight w:val="216"/>
        </w:trPr>
        <w:tc>
          <w:tcPr>
            <w:tcW w:w="9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warrants</w:t>
            </w:r>
          </w:p>
        </w:tc>
        <w:tc>
          <w:tcPr>
            <w:tcW w:w="180" w:type="dxa"/>
            <w:vAlign w:val="bottom"/>
          </w:tcPr>
          <w:p>
            <w:pPr>
              <w:spacing w:after="0"/>
              <w:rPr>
                <w:sz w:val="18"/>
                <w:szCs w:val="18"/>
                <w:color w:val="auto"/>
              </w:rPr>
            </w:pPr>
          </w:p>
        </w:tc>
        <w:tc>
          <w:tcPr>
            <w:tcW w:w="1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1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Change in fair value</w:t>
            </w:r>
          </w:p>
        </w:tc>
        <w:tc>
          <w:tcPr>
            <w:tcW w:w="180" w:type="dxa"/>
            <w:vAlign w:val="bottom"/>
            <w:tcBorders>
              <w:bottom w:val="single" w:sz="8" w:color="auto"/>
            </w:tcBorders>
            <w:shd w:val="clear" w:color="auto" w:fill="CFF0FC"/>
          </w:tcPr>
          <w:p>
            <w:pPr>
              <w:spacing w:after="0"/>
              <w:rPr>
                <w:sz w:val="18"/>
                <w:szCs w:val="18"/>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9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18,372</w:t>
            </w:r>
          </w:p>
        </w:tc>
        <w:tc>
          <w:tcPr>
            <w:tcW w:w="100" w:type="dxa"/>
            <w:vAlign w:val="bottom"/>
          </w:tcPr>
          <w:p>
            <w:pPr>
              <w:spacing w:after="0"/>
              <w:rPr>
                <w:sz w:val="18"/>
                <w:szCs w:val="18"/>
                <w:color w:val="auto"/>
              </w:rPr>
            </w:pPr>
          </w:p>
        </w:tc>
      </w:tr>
      <w:tr>
        <w:trPr>
          <w:trHeight w:val="20"/>
        </w:trPr>
        <w:tc>
          <w:tcPr>
            <w:tcW w:w="9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Balance Sheet Components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consists of the following (in thousands):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7000" w:type="dxa"/>
            <w:vAlign w:val="bottom"/>
          </w:tcPr>
          <w:p>
            <w:pPr>
              <w:spacing w:after="0"/>
              <w:rPr>
                <w:sz w:val="18"/>
                <w:szCs w:val="18"/>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000" w:type="dxa"/>
            <w:vAlign w:val="bottom"/>
          </w:tcPr>
          <w:p>
            <w:pPr>
              <w:spacing w:after="0"/>
              <w:rPr>
                <w:sz w:val="20"/>
                <w:szCs w:val="20"/>
                <w:color w:val="auto"/>
              </w:rPr>
            </w:pPr>
          </w:p>
        </w:tc>
        <w:tc>
          <w:tcPr>
            <w:tcW w:w="14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0"/>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1460" w:type="dxa"/>
            <w:vAlign w:val="bottom"/>
            <w:shd w:val="clear" w:color="auto" w:fill="CFF0FC"/>
          </w:tcPr>
          <w:p>
            <w:pPr>
              <w:jc w:val="right"/>
              <w:ind w:right="12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FF0FC"/>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4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8"/>
                <w:szCs w:val="18"/>
                <w:color w:val="auto"/>
              </w:rPr>
            </w:pPr>
          </w:p>
        </w:tc>
      </w:tr>
      <w:tr>
        <w:trPr>
          <w:trHeight w:val="216"/>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46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shd w:val="clear" w:color="auto" w:fill="CFF0FC"/>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4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3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0" w:type="dxa"/>
            <w:vAlign w:val="bottom"/>
          </w:tcPr>
          <w:p>
            <w:pPr>
              <w:spacing w:after="0"/>
              <w:rPr>
                <w:sz w:val="18"/>
                <w:szCs w:val="18"/>
                <w:color w:val="auto"/>
              </w:rPr>
            </w:pPr>
          </w:p>
        </w:tc>
      </w:tr>
      <w:tr>
        <w:trPr>
          <w:trHeight w:val="210"/>
        </w:trPr>
        <w:tc>
          <w:tcPr>
            <w:tcW w:w="70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146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00" w:type="dxa"/>
            <w:vAlign w:val="bottom"/>
            <w:shd w:val="clear" w:color="auto" w:fill="CFF0FC"/>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46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(601)</w:t>
            </w:r>
          </w:p>
        </w:tc>
        <w:tc>
          <w:tcPr>
            <w:tcW w:w="260" w:type="dxa"/>
            <w:vAlign w:val="bottom"/>
          </w:tcPr>
          <w:p>
            <w:pPr>
              <w:spacing w:after="0"/>
              <w:rPr>
                <w:sz w:val="18"/>
                <w:szCs w:val="18"/>
                <w:color w:val="auto"/>
              </w:rPr>
            </w:pP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(1,009)</w:t>
            </w:r>
          </w:p>
        </w:tc>
      </w:tr>
      <w:tr>
        <w:trPr>
          <w:trHeight w:val="249"/>
        </w:trPr>
        <w:tc>
          <w:tcPr>
            <w:tcW w:w="70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460" w:type="dxa"/>
            <w:vAlign w:val="bottom"/>
            <w:tcBorders>
              <w:top w:val="single" w:sz="8" w:color="auto"/>
              <w:bottom w:val="single" w:sz="8" w:color="auto"/>
            </w:tcBorders>
            <w:shd w:val="clear" w:color="auto" w:fill="CFF0FC"/>
          </w:tcPr>
          <w:p>
            <w:pPr>
              <w:jc w:val="right"/>
              <w:ind w:right="127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3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-25400</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for the three months ended March 31, 2026 and 2025 was $0.0 million and $0.5 million, respectively.</w:t>
      </w:r>
    </w:p>
    <w:p>
      <w:pPr>
        <w:sectPr>
          <w:pgSz w:w="11900" w:h="16838" w:orient="portrait"/>
          <w:cols w:equalWidth="0" w:num="1">
            <w:col w:w="11240"/>
          </w:cols>
          <w:pgMar w:left="320" w:top="981" w:right="339" w:bottom="1440" w:gutter="0" w:footer="0" w:header="0"/>
        </w:sectPr>
      </w:pP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research and development materials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personnel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Accrued professional services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25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220" w:type="dxa"/>
            <w:vAlign w:val="bottom"/>
          </w:tcPr>
          <w:p>
            <w:pPr>
              <w:jc w:val="right"/>
              <w:ind w:right="5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2,159</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jc w:val="right"/>
              <w:ind w:right="1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3,163</w:t>
            </w:r>
          </w:p>
        </w:tc>
        <w:tc>
          <w:tcPr>
            <w:tcW w:w="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954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2,958</w:t>
            </w: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170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w:t>
            </w:r>
          </w:p>
        </w:tc>
      </w:tr>
      <w:tr>
        <w:trPr>
          <w:trHeight w:val="234"/>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159</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169</w:t>
            </w:r>
          </w:p>
        </w:tc>
      </w:tr>
      <w:tr>
        <w:trPr>
          <w:trHeight w:val="210"/>
        </w:trPr>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3,442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6,407</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020" w:space="720"/>
            <w:col w:w="3500"/>
          </w:cols>
          <w:pgMar w:left="320" w:top="981" w:right="339" w:bottom="1440" w:gutter="0" w:footer="0" w:header="0"/>
          <w:type w:val="continuous"/>
        </w:sect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Capital Structure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right="200"/>
        <w:spacing w:after="0" w:line="313" w:lineRule="auto"/>
        <w:rPr>
          <w:sz w:val="20"/>
          <w:szCs w:val="20"/>
          <w:color w:val="auto"/>
        </w:rPr>
      </w:pPr>
      <w:r>
        <w:rPr>
          <w:rFonts w:ascii="Times New Roman" w:cs="Times New Roman" w:eastAsia="Times New Roman" w:hAnsi="Times New Roman"/>
          <w:sz w:val="18"/>
          <w:szCs w:val="18"/>
          <w:color w:val="auto"/>
        </w:rPr>
        <w:t>The Company’s amended and restated certificate of incorporation authorizes the Company to issue up to 300,000,000 shares of common stock with a par value of $0.0001 per share and 10,000,000 shares of preferred stock with a par value of $0.0001 per share.</w:t>
      </w:r>
    </w:p>
    <w:p>
      <w:pPr>
        <w:spacing w:after="0" w:line="27"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Common stockholders are entitled to dividends when and if declared by the Company’s Board of Directors (the Board) and after any preferred share dividends are fully paid. The holder of each share of common stock is entitled to one vote. As of March 31, 2026, no dividends have been declared.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Offerings</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April 2023, pursuant to a registration statement on Form S-3, the Company issued and sold 5,750,000 shares of common stock at a public offering price of $30.00 per share in an underwritten public offering. The net proceeds to the Company from the offering were approximately $161.8 million, after deducting underwriting discounts and commissions and offering costs of approximately $11.0 million.</w:t>
      </w:r>
    </w:p>
    <w:p>
      <w:pPr>
        <w:spacing w:after="0" w:line="6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June 2025, the Company completed an underwritten public offering transaction in which it issued and sold 19,450,000 shares of common stock at an offering price of $2.00 per share and, to a certain investor in lieu of common stock, pre-funded warrants to purchase up to 550,000 shares of common stock at an offering price of $1.9999 per share and accompanying common warrants to purchase up to 23,000,000 shares of common stock at a per share exercise price of $2.50. The net proceeds to the Company from the offering were approximately $37.2 million, after deducting underwriting discounts and commissions and offering costs of approximately $2.8 million.</w:t>
      </w:r>
    </w:p>
    <w:p>
      <w:pPr>
        <w:spacing w:after="0" w:line="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July 2025, in connection with the completed underwritten public offering, the underwriters partially exercised their over-allotment option to purchase an additional 1,381,262 shares of common stock at an offering price of $2.00 per share. The net proceeds from the offering pursuant to the over-allotment option were approximately $2.6 million, after deducting underwriting discounts and commissions and offering costs of approximately $0.2 million.</w:t>
      </w:r>
    </w:p>
    <w:p>
      <w:pPr>
        <w:spacing w:after="0" w:line="6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October 2025, the Company completed an underwritten public offering transaction in which it issued and sold 11,195,121 shares of common stock at an offering price of $2.05 per share and, to a certain investor in lieu of common stock, pre-funded warrants to purchase up to 1,000,000 shares of common stock at an offering price of $2.0499 per share and accompanying common warrants to purchase up to 12,195,121 shares of common stock at a per share exercise price of $2.50. The underwriters partially exercised their overallotment option to purchase 1,829,268 shares of common stock. The net proceeds to the Company from the offering were approximately $23.1 million, after deducting underwriting discounts and commissions and offering costs of approximately $1.9 million.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concluded that the common warrants do not meet the equity contract scope exception. The liability associated with the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common warrants is recorded as warrant liability in the condensed balance sheet as of March 31, 2026.</w:t>
      </w:r>
    </w:p>
    <w:p>
      <w:pPr>
        <w:spacing w:after="0" w:line="117"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valuation of the common warrants is adjusted to fair value (Level 3) at each subsequent balance sheet date until the common warrants are settled or expired. To this date, due primarily to fluctuations in the Company's common stock price between the issuance date and March 31, 2026, the warrant liability was revalued at $18.4 million as of March 31, 2026. The change in fair value of $0.6 million has been recorded as other income.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calculated the fair value of common warrants using the Black-Scholes option pricing model with the following inputs: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40" w:type="dxa"/>
            <w:vAlign w:val="bottom"/>
          </w:tcPr>
          <w:p>
            <w:pPr>
              <w:spacing w:after="0"/>
              <w:rPr>
                <w:sz w:val="20"/>
                <w:szCs w:val="20"/>
                <w:color w:val="auto"/>
              </w:rPr>
            </w:pPr>
          </w:p>
        </w:tc>
        <w:tc>
          <w:tcPr>
            <w:tcW w:w="4300" w:type="dxa"/>
            <w:vAlign w:val="bottom"/>
            <w:tcBorders>
              <w:bottom w:val="single" w:sz="8" w:color="auto"/>
            </w:tcBorders>
            <w:gridSpan w:val="5"/>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June 2025 Underwritten Public Offering</w:t>
            </w:r>
          </w:p>
        </w:tc>
        <w:tc>
          <w:tcPr>
            <w:tcW w:w="5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187"/>
        </w:trPr>
        <w:tc>
          <w:tcPr>
            <w:tcW w:w="6240" w:type="dxa"/>
            <w:vAlign w:val="bottom"/>
          </w:tcPr>
          <w:p>
            <w:pPr>
              <w:spacing w:after="0"/>
              <w:rPr>
                <w:sz w:val="16"/>
                <w:szCs w:val="16"/>
                <w:color w:val="auto"/>
              </w:rPr>
            </w:pPr>
          </w:p>
        </w:tc>
        <w:tc>
          <w:tcPr>
            <w:tcW w:w="1660" w:type="dxa"/>
            <w:vAlign w:val="bottom"/>
          </w:tcPr>
          <w:p>
            <w:pPr>
              <w:jc w:val="center"/>
              <w:ind w:left="4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June 20,</w:t>
            </w: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tcPr>
          <w:p>
            <w:pPr>
              <w:jc w:val="center"/>
              <w:ind w:left="410"/>
              <w:spacing w:after="0" w:line="188"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16"/>
        </w:trPr>
        <w:tc>
          <w:tcPr>
            <w:tcW w:w="6240" w:type="dxa"/>
            <w:vAlign w:val="bottom"/>
          </w:tcPr>
          <w:p>
            <w:pPr>
              <w:spacing w:after="0"/>
              <w:rPr>
                <w:sz w:val="18"/>
                <w:szCs w:val="18"/>
                <w:color w:val="auto"/>
              </w:rPr>
            </w:pPr>
          </w:p>
        </w:tc>
        <w:tc>
          <w:tcPr>
            <w:tcW w:w="1660" w:type="dxa"/>
            <w:vAlign w:val="bottom"/>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8"/>
        </w:trPr>
        <w:tc>
          <w:tcPr>
            <w:tcW w:w="6240" w:type="dxa"/>
            <w:vAlign w:val="bottom"/>
          </w:tcPr>
          <w:p>
            <w:pPr>
              <w:spacing w:after="0"/>
              <w:rPr>
                <w:sz w:val="20"/>
                <w:szCs w:val="20"/>
                <w:color w:val="auto"/>
              </w:rPr>
            </w:pPr>
          </w:p>
        </w:tc>
        <w:tc>
          <w:tcPr>
            <w:tcW w:w="1660" w:type="dxa"/>
            <w:vAlign w:val="bottom"/>
            <w:tcBorders>
              <w:bottom w:val="single" w:sz="8" w:color="auto"/>
            </w:tcBorders>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(issuance)</w:t>
            </w:r>
          </w:p>
        </w:tc>
        <w:tc>
          <w:tcPr>
            <w:tcW w:w="5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Borders>
              <w:bottom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(period end)</w:t>
            </w:r>
          </w:p>
        </w:tc>
        <w:tc>
          <w:tcPr>
            <w:tcW w:w="5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09"/>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price</w:t>
            </w:r>
          </w:p>
        </w:tc>
        <w:tc>
          <w:tcPr>
            <w:tcW w:w="1660" w:type="dxa"/>
            <w:vAlign w:val="bottom"/>
            <w:shd w:val="clear" w:color="auto" w:fill="CFF0FC"/>
          </w:tcPr>
          <w:p>
            <w:pPr>
              <w:jc w:val="right"/>
              <w:ind w:right="14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6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15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80" w:type="dxa"/>
            <w:vAlign w:val="bottom"/>
            <w:shd w:val="clear" w:color="auto" w:fill="CFF0FC"/>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6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6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80" w:type="dxa"/>
            <w:vAlign w:val="bottom"/>
            <w:shd w:val="clear" w:color="auto" w:fill="CFF0FC"/>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6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66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132.9%</w:t>
            </w:r>
          </w:p>
        </w:tc>
        <w:tc>
          <w:tcPr>
            <w:tcW w:w="14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91.3%</w:t>
            </w:r>
          </w:p>
        </w:tc>
      </w:tr>
      <w:tr>
        <w:trPr>
          <w:trHeight w:val="513"/>
        </w:trPr>
        <w:tc>
          <w:tcPr>
            <w:tcW w:w="6240" w:type="dxa"/>
            <w:vAlign w:val="bottom"/>
          </w:tcPr>
          <w:p>
            <w:pPr>
              <w:spacing w:after="0"/>
              <w:rPr>
                <w:sz w:val="24"/>
                <w:szCs w:val="24"/>
                <w:color w:val="auto"/>
              </w:rPr>
            </w:pPr>
          </w:p>
        </w:tc>
        <w:tc>
          <w:tcPr>
            <w:tcW w:w="4300" w:type="dxa"/>
            <w:vAlign w:val="bottom"/>
            <w:tcBorders>
              <w:bottom w:val="single" w:sz="8" w:color="auto"/>
            </w:tcBorders>
            <w:gridSpan w:val="5"/>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October 2025 Underwritten Public Offering</w:t>
            </w:r>
          </w:p>
        </w:tc>
        <w:tc>
          <w:tcPr>
            <w:tcW w:w="5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187"/>
        </w:trPr>
        <w:tc>
          <w:tcPr>
            <w:tcW w:w="6240" w:type="dxa"/>
            <w:vAlign w:val="bottom"/>
          </w:tcPr>
          <w:p>
            <w:pPr>
              <w:spacing w:after="0"/>
              <w:rPr>
                <w:sz w:val="16"/>
                <w:szCs w:val="16"/>
                <w:color w:val="auto"/>
              </w:rPr>
            </w:pPr>
          </w:p>
        </w:tc>
        <w:tc>
          <w:tcPr>
            <w:tcW w:w="1660" w:type="dxa"/>
            <w:vAlign w:val="bottom"/>
          </w:tcPr>
          <w:p>
            <w:pPr>
              <w:jc w:val="center"/>
              <w:ind w:left="470"/>
              <w:spacing w:after="0" w:line="188" w:lineRule="exact"/>
              <w:rPr>
                <w:sz w:val="20"/>
                <w:szCs w:val="20"/>
                <w:color w:val="auto"/>
              </w:rPr>
            </w:pPr>
            <w:r>
              <w:rPr>
                <w:rFonts w:ascii="Times New Roman" w:cs="Times New Roman" w:eastAsia="Times New Roman" w:hAnsi="Times New Roman"/>
                <w:sz w:val="18"/>
                <w:szCs w:val="18"/>
                <w:b w:val="1"/>
                <w:bCs w:val="1"/>
                <w:color w:val="auto"/>
              </w:rPr>
              <w:t>October 8,</w:t>
            </w: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tcPr>
          <w:p>
            <w:pPr>
              <w:jc w:val="center"/>
              <w:ind w:left="410"/>
              <w:spacing w:after="0" w:line="188"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16"/>
        </w:trPr>
        <w:tc>
          <w:tcPr>
            <w:tcW w:w="6240" w:type="dxa"/>
            <w:vAlign w:val="bottom"/>
          </w:tcPr>
          <w:p>
            <w:pPr>
              <w:spacing w:after="0"/>
              <w:rPr>
                <w:sz w:val="18"/>
                <w:szCs w:val="18"/>
                <w:color w:val="auto"/>
              </w:rPr>
            </w:pPr>
          </w:p>
        </w:tc>
        <w:tc>
          <w:tcPr>
            <w:tcW w:w="1660" w:type="dxa"/>
            <w:vAlign w:val="bottom"/>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8"/>
        </w:trPr>
        <w:tc>
          <w:tcPr>
            <w:tcW w:w="6240" w:type="dxa"/>
            <w:vAlign w:val="bottom"/>
          </w:tcPr>
          <w:p>
            <w:pPr>
              <w:spacing w:after="0"/>
              <w:rPr>
                <w:sz w:val="20"/>
                <w:szCs w:val="20"/>
                <w:color w:val="auto"/>
              </w:rPr>
            </w:pPr>
          </w:p>
        </w:tc>
        <w:tc>
          <w:tcPr>
            <w:tcW w:w="1660" w:type="dxa"/>
            <w:vAlign w:val="bottom"/>
            <w:tcBorders>
              <w:bottom w:val="single" w:sz="8" w:color="auto"/>
            </w:tcBorders>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(issuance)</w:t>
            </w:r>
          </w:p>
        </w:tc>
        <w:tc>
          <w:tcPr>
            <w:tcW w:w="5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Borders>
              <w:bottom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(period end)</w:t>
            </w:r>
          </w:p>
        </w:tc>
        <w:tc>
          <w:tcPr>
            <w:tcW w:w="5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10"/>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price</w:t>
            </w:r>
          </w:p>
        </w:tc>
        <w:tc>
          <w:tcPr>
            <w:tcW w:w="1660" w:type="dxa"/>
            <w:vAlign w:val="bottom"/>
            <w:shd w:val="clear" w:color="auto" w:fill="CFF0FC"/>
          </w:tcPr>
          <w:p>
            <w:pPr>
              <w:jc w:val="right"/>
              <w:ind w:right="14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6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15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80" w:type="dxa"/>
            <w:vAlign w:val="bottom"/>
            <w:shd w:val="clear" w:color="auto" w:fill="CFF0FC"/>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6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66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shd w:val="clear" w:color="auto" w:fill="CFF0FC"/>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6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66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121.6%</w:t>
            </w:r>
          </w:p>
        </w:tc>
        <w:tc>
          <w:tcPr>
            <w:tcW w:w="14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121.3%</w:t>
            </w: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Warrants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the following warrants to purchase shares of the Company's common stock were issued and outstanding:</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Number of Warrants</w:t>
            </w:r>
          </w:p>
        </w:tc>
      </w:tr>
      <w:tr>
        <w:trPr>
          <w:trHeight w:val="238"/>
        </w:trPr>
        <w:tc>
          <w:tcPr>
            <w:tcW w:w="278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b w:val="1"/>
                <w:bCs w:val="1"/>
                <w:color w:val="auto"/>
              </w:rPr>
              <w:t>Warrant Type</w:t>
            </w:r>
          </w:p>
        </w:tc>
        <w:tc>
          <w:tcPr>
            <w:tcW w:w="200" w:type="dxa"/>
            <w:vAlign w:val="bottom"/>
          </w:tcPr>
          <w:p>
            <w:pPr>
              <w:spacing w:after="0"/>
              <w:rPr>
                <w:sz w:val="20"/>
                <w:szCs w:val="20"/>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Issue Date</w:t>
            </w:r>
          </w:p>
        </w:tc>
        <w:tc>
          <w:tcPr>
            <w:tcW w:w="200" w:type="dxa"/>
            <w:vAlign w:val="bottom"/>
          </w:tcPr>
          <w:p>
            <w:pPr>
              <w:spacing w:after="0"/>
              <w:rPr>
                <w:sz w:val="20"/>
                <w:szCs w:val="20"/>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220" w:type="dxa"/>
            <w:vAlign w:val="bottom"/>
          </w:tcPr>
          <w:p>
            <w:pPr>
              <w:spacing w:after="0"/>
              <w:rPr>
                <w:sz w:val="20"/>
                <w:szCs w:val="20"/>
                <w:color w:val="auto"/>
              </w:rPr>
            </w:pPr>
          </w:p>
        </w:tc>
        <w:tc>
          <w:tcPr>
            <w:tcW w:w="17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00" w:type="dxa"/>
            <w:vAlign w:val="bottom"/>
          </w:tcPr>
          <w:p>
            <w:pPr>
              <w:spacing w:after="0"/>
              <w:rPr>
                <w:sz w:val="20"/>
                <w:szCs w:val="20"/>
                <w:color w:val="auto"/>
              </w:rPr>
            </w:pPr>
          </w:p>
        </w:tc>
      </w:tr>
      <w:tr>
        <w:trPr>
          <w:trHeight w:val="210"/>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warrants</w:t>
            </w:r>
          </w:p>
        </w:tc>
        <w:tc>
          <w:tcPr>
            <w:tcW w:w="200" w:type="dxa"/>
            <w:vAlign w:val="bottom"/>
            <w:shd w:val="clear" w:color="auto" w:fill="CFF0FC"/>
          </w:tcPr>
          <w:p>
            <w:pPr>
              <w:spacing w:after="0"/>
              <w:rPr>
                <w:sz w:val="18"/>
                <w:szCs w:val="18"/>
                <w:color w:val="auto"/>
              </w:rPr>
            </w:pPr>
          </w:p>
        </w:tc>
        <w:tc>
          <w:tcPr>
            <w:tcW w:w="22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June 20, 2025</w:t>
            </w:r>
          </w:p>
        </w:tc>
        <w:tc>
          <w:tcPr>
            <w:tcW w:w="200" w:type="dxa"/>
            <w:vAlign w:val="bottom"/>
            <w:shd w:val="clear" w:color="auto" w:fill="CFF0FC"/>
          </w:tcPr>
          <w:p>
            <w:pPr>
              <w:spacing w:after="0"/>
              <w:rPr>
                <w:sz w:val="18"/>
                <w:szCs w:val="18"/>
                <w:color w:val="auto"/>
              </w:rPr>
            </w:pPr>
          </w:p>
        </w:tc>
        <w:tc>
          <w:tcPr>
            <w:tcW w:w="2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December 20, 2026</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23,000,000</w:t>
            </w:r>
          </w:p>
        </w:tc>
        <w:tc>
          <w:tcPr>
            <w:tcW w:w="100" w:type="dxa"/>
            <w:vAlign w:val="bottom"/>
            <w:shd w:val="clear" w:color="auto" w:fill="CFF0FC"/>
          </w:tcPr>
          <w:p>
            <w:pPr>
              <w:spacing w:after="0"/>
              <w:rPr>
                <w:sz w:val="18"/>
                <w:szCs w:val="18"/>
                <w:color w:val="auto"/>
              </w:rPr>
            </w:pP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Common warrants</w:t>
            </w:r>
          </w:p>
        </w:tc>
        <w:tc>
          <w:tcPr>
            <w:tcW w:w="20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8, 2025</w:t>
            </w:r>
          </w:p>
        </w:tc>
        <w:tc>
          <w:tcPr>
            <w:tcW w:w="20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8, 2028</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20" w:type="dxa"/>
            <w:vAlign w:val="bottom"/>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14,024,389</w:t>
            </w:r>
          </w:p>
        </w:tc>
        <w:tc>
          <w:tcPr>
            <w:tcW w:w="100" w:type="dxa"/>
            <w:vAlign w:val="bottom"/>
          </w:tcPr>
          <w:p>
            <w:pPr>
              <w:spacing w:after="0"/>
              <w:rPr>
                <w:sz w:val="18"/>
                <w:szCs w:val="18"/>
                <w:color w:val="auto"/>
              </w:rPr>
            </w:pPr>
          </w:p>
        </w:tc>
      </w:tr>
      <w:tr>
        <w:trPr>
          <w:trHeight w:val="249"/>
        </w:trPr>
        <w:tc>
          <w:tcPr>
            <w:tcW w:w="27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2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20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37,024,389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warrants exercised during the three months ended March 31, 2026.</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ATM Offering Agreement with Piper Sandler &amp; Co.</w:t>
      </w:r>
    </w:p>
    <w:p>
      <w:pPr>
        <w:spacing w:after="0" w:line="12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November 25, 2022, the Company entered into an equity distribution agreement (the 2022 ATM Agreement) with Piper Sandler &amp; Co. (Piper Sandler), as sales agent, with respect to an ATM offering program (the 2022 ATM Offering Program). Pursuant to the prospectus supplement relating to the Offering (as defined below), dated as of November 25, 2022 (the Prospectus Supplement), the Company may offer and sell, from time to time in its sole discretion, shares of its common stock, par value $0.0001 per share (the Common Stock), having an aggregate offering price of up to $100 million (the Shares) through Piper Sandler (the Offering).</w:t>
      </w:r>
    </w:p>
    <w:p>
      <w:pPr>
        <w:spacing w:after="0" w:line="75"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The Offering was registered under the Securities Act of 1933, as amended (the Securities Act), pursuant to the Company's shelf registration statement on Form S-3 (Registration Statement No. 333-267884), as previously filed with the SEC and declared effective on October 14, 2022 (the 2022 Registration Statement). The Company filed a prospectus supplement, dated November 25, 2022, with the SEC that provided for the sale of shares of common stock having an aggregate offering price of up to $100 million in connection with the 2022 ATM Offering Program.</w:t>
      </w:r>
    </w:p>
    <w:p>
      <w:pPr>
        <w:spacing w:after="0" w:line="7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On August 5, 2025, the Company filed a new shelf registration statement on Form S-3 (Registration Statement No. 333-267884), which was declared effective on August 15, 2025 (the 2025 Registration Statement), which replaced the previously filed 2022 Registration Statement. The 2025 Registration Statement included a prospectus, dated August 5, 2025, that provides for the sale of shares of common stock having an aggregate offering price of up to $100 million in connection with the 2022 ATM Offering Program.</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2022 ATM Agreement contains customary representations, warranties and agreements by us, and customary indemnification and</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3" w:name="page14"/>
    <w:bookmarkEnd w:id="13"/>
    <w:p>
      <w:pPr>
        <w:ind w:right="100"/>
        <w:spacing w:after="0" w:line="266" w:lineRule="auto"/>
        <w:rPr>
          <w:sz w:val="20"/>
          <w:szCs w:val="20"/>
          <w:color w:val="auto"/>
        </w:rPr>
      </w:pPr>
      <w:r>
        <w:rPr>
          <w:rFonts w:ascii="Times New Roman" w:cs="Times New Roman" w:eastAsia="Times New Roman" w:hAnsi="Times New Roman"/>
          <w:sz w:val="18"/>
          <w:szCs w:val="18"/>
          <w:color w:val="auto"/>
        </w:rPr>
        <w:t>contribution rights and obligations of the parties. The Company agreed to pay Piper Sandler a placement fee of up to 3.0% of the aggregate gross proceeds from the sale. The Company also agreed to reimburse Piper Sandler for certain specified expenses in connection with entering into the 2022 ATM Agreement.</w:t>
      </w:r>
    </w:p>
    <w:p>
      <w:pPr>
        <w:spacing w:after="0" w:line="6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the Company did not receive any proceeds from its 2022 ATM Offering Program and no shares of common stock were issued. During the three months ended March 31, 2025, the Company had received aggregate proceeds from its 2022 ATM Offering Program of $3.3 million, net of commissions and offering costs, pursuant to the issuance of 1,261,537 shares of its common stock.</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Stock-Based Compensation</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Effective January 1, 2026, the number of shares of common stock available under the 2021 Incentive Award Plan (the 2021 Plan) increased by 3,614,972 shares pursuant to the evergreen provision. As of March 31, 2026, 6,360,083 shares of common stock remained available for issuance under the 2021 Plan.</w:t>
      </w:r>
    </w:p>
    <w:p>
      <w:pPr>
        <w:spacing w:after="0" w:line="5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Effective January 1, 2026, the number of shares of common stock available under the 2021 Employee Stock Purchase Plan (the ESPP) increased by 722,994 shares pursuant to the evergreen provision of the ESPP. As of March 31, 2026, 1,528,002 shares of common stock remained available for issuance under the ESPP.</w:t>
      </w:r>
    </w:p>
    <w:p>
      <w:pPr>
        <w:spacing w:after="0" w:line="6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of March 31, 2026, 1,860,000 shares of common stock remained available for issuance under the 2023 Inducement Equity Plan as adopted in November 2023.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Repricing</w:t>
      </w:r>
    </w:p>
    <w:p>
      <w:pPr>
        <w:spacing w:after="0" w:line="121"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On August 11, 2025 (the Repricing Effective Date), the Company's Board approved a repricing of certain outstanding vested and unvested stock option awards under the 2021 Plan for eligible non-executive employees and certain other service providers (the Repricing Participants). The per share exercise price of eligible stock option awards was reduced to $4.50. To receive the benefit of the repricing, Repricing Participants were required to remain an employee or service provider through the period (the Retention Period) that began on the Repricing Effective Date and ended on September 12, 2025 (the Retention Date). No other changes were made to the terms and conditions of the eligible stock option awards. The stock option repricing impacted approximately 2.6 million shares of common stock subject to stock option awards and affected 48 employees and service providers.</w:t>
      </w:r>
    </w:p>
    <w:p>
      <w:pPr>
        <w:spacing w:after="0" w:line="7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repricing resulted in a total incremental stock-based compensation expense of $0.4 million, which was calculated using the Black-Scholes option pricing model, of which $0.3 million is associated with vested repriced options as of the Retention Date and was recognized on a straight-line basis over the Retention Period. The remaining $0.1 million of the incremental stock-based compensation expense is associated with unvested repriced options beyond the Retention Period and will be recognized on a straight-line basis over the remaining original vesting periods. For the three months ended March 31, 2026 and 2025, the Company did not recognize any incremental stock-based compensation expense related to the repricing.</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121"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Total stock-based compensation expense related to the Company’s equity incentive plans and ESPP was recorded in the statements of operations and allocated as follows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2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2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70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18"/>
                <w:szCs w:val="18"/>
                <w:color w:val="auto"/>
              </w:rPr>
            </w:pPr>
          </w:p>
        </w:tc>
      </w:tr>
      <w:tr>
        <w:trPr>
          <w:trHeight w:val="210"/>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180" w:type="dxa"/>
            <w:vAlign w:val="bottom"/>
            <w:gridSpan w:val="2"/>
            <w:shd w:val="clear" w:color="auto" w:fill="CFF0FC"/>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960" w:type="dxa"/>
            <w:vAlign w:val="bottom"/>
            <w:gridSpan w:val="2"/>
            <w:shd w:val="clear" w:color="auto" w:fill="CFF0FC"/>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100" w:type="dxa"/>
            <w:vAlign w:val="bottom"/>
            <w:shd w:val="clear" w:color="auto" w:fill="CFF0FC"/>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12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30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100" w:type="dxa"/>
            <w:vAlign w:val="bottom"/>
          </w:tcPr>
          <w:p>
            <w:pPr>
              <w:spacing w:after="0"/>
              <w:rPr>
                <w:sz w:val="18"/>
                <w:szCs w:val="18"/>
                <w:color w:val="auto"/>
              </w:rPr>
            </w:pPr>
          </w:p>
        </w:tc>
      </w:tr>
      <w:tr>
        <w:trPr>
          <w:trHeight w:val="230"/>
        </w:trPr>
        <w:tc>
          <w:tcPr>
            <w:tcW w:w="52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180" w:type="dxa"/>
            <w:vAlign w:val="bottom"/>
            <w:gridSpan w:val="2"/>
            <w:shd w:val="clear" w:color="auto" w:fill="CFF0FC"/>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960" w:type="dxa"/>
            <w:vAlign w:val="bottom"/>
            <w:gridSpan w:val="2"/>
            <w:shd w:val="clear" w:color="auto" w:fill="CFF0FC"/>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3,169</w:t>
            </w:r>
          </w:p>
        </w:tc>
        <w:tc>
          <w:tcPr>
            <w:tcW w:w="100" w:type="dxa"/>
            <w:vAlign w:val="bottom"/>
            <w:shd w:val="clear" w:color="auto" w:fill="CFF0FC"/>
          </w:tcPr>
          <w:p>
            <w:pPr>
              <w:spacing w:after="0"/>
              <w:rPr>
                <w:sz w:val="19"/>
                <w:szCs w:val="19"/>
                <w:color w:val="auto"/>
              </w:rPr>
            </w:pPr>
          </w:p>
        </w:tc>
      </w:tr>
      <w:tr>
        <w:trPr>
          <w:trHeight w:val="20"/>
        </w:trPr>
        <w:tc>
          <w:tcPr>
            <w:tcW w:w="5220" w:type="dxa"/>
            <w:vAlign w:val="bottom"/>
            <w:tcBorders>
              <w:top w:val="single" w:sz="8" w:color="CFF0FC"/>
            </w:tcBorders>
            <w:shd w:val="clear" w:color="auto" w:fill="CFF0FC"/>
          </w:tcPr>
          <w:p>
            <w:pPr>
              <w:spacing w:after="0" w:line="20" w:lineRule="exact"/>
              <w:rPr>
                <w:sz w:val="1"/>
                <w:szCs w:val="1"/>
                <w:color w:val="auto"/>
              </w:rPr>
            </w:pPr>
          </w:p>
        </w:tc>
        <w:tc>
          <w:tcPr>
            <w:tcW w:w="212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-24765</wp:posOffset>
            </wp:positionV>
            <wp:extent cx="7683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-7620</wp:posOffset>
            </wp:positionV>
            <wp:extent cx="768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As of March 31, 2026, there was $9.0 million of total unrecognized stock-based compensation expense which is expected to be recognized over a weighted-average period of 2.7 years.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activity:</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8"/>
        </w:trPr>
        <w:tc>
          <w:tcPr>
            <w:tcW w:w="3900" w:type="dxa"/>
            <w:vAlign w:val="bottom"/>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Outstanding Options</w:t>
            </w:r>
          </w:p>
        </w:tc>
        <w:tc>
          <w:tcPr>
            <w:tcW w:w="2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39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Weighted-Average</w:t>
            </w:r>
          </w:p>
        </w:tc>
        <w:tc>
          <w:tcPr>
            <w:tcW w:w="100" w:type="dxa"/>
            <w:vAlign w:val="bottom"/>
          </w:tcPr>
          <w:p>
            <w:pPr>
              <w:spacing w:after="0"/>
              <w:rPr>
                <w:sz w:val="16"/>
                <w:szCs w:val="16"/>
                <w:color w:val="auto"/>
              </w:rPr>
            </w:pPr>
          </w:p>
        </w:tc>
      </w:tr>
      <w:tr>
        <w:trPr>
          <w:trHeight w:val="216"/>
        </w:trPr>
        <w:tc>
          <w:tcPr>
            <w:tcW w:w="39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Weighted-Average Exercise</w:t>
            </w:r>
          </w:p>
        </w:tc>
        <w:tc>
          <w:tcPr>
            <w:tcW w:w="23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Remaining Contractual</w:t>
            </w:r>
          </w:p>
        </w:tc>
      </w:tr>
      <w:tr>
        <w:trPr>
          <w:trHeight w:val="238"/>
        </w:trPr>
        <w:tc>
          <w:tcPr>
            <w:tcW w:w="3900" w:type="dxa"/>
            <w:vAlign w:val="bottom"/>
          </w:tcPr>
          <w:p>
            <w:pPr>
              <w:spacing w:after="0"/>
              <w:rPr>
                <w:sz w:val="20"/>
                <w:szCs w:val="20"/>
                <w:color w:val="auto"/>
              </w:rPr>
            </w:pPr>
          </w:p>
        </w:tc>
        <w:tc>
          <w:tcPr>
            <w:tcW w:w="146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8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56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60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Term (Years)</w:t>
            </w:r>
          </w:p>
        </w:tc>
        <w:tc>
          <w:tcPr>
            <w:tcW w:w="100" w:type="dxa"/>
            <w:vAlign w:val="bottom"/>
          </w:tcPr>
          <w:p>
            <w:pPr>
              <w:spacing w:after="0"/>
              <w:rPr>
                <w:sz w:val="20"/>
                <w:szCs w:val="20"/>
                <w:color w:val="auto"/>
              </w:rPr>
            </w:pPr>
          </w:p>
        </w:tc>
      </w:tr>
      <w:tr>
        <w:trPr>
          <w:trHeight w:val="210"/>
        </w:trPr>
        <w:tc>
          <w:tcPr>
            <w:tcW w:w="5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December 31, 2025</w:t>
            </w:r>
          </w:p>
        </w:tc>
        <w:tc>
          <w:tcPr>
            <w:tcW w:w="11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8,255,280</w:t>
            </w:r>
          </w:p>
        </w:tc>
        <w:tc>
          <w:tcPr>
            <w:tcW w:w="1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4.11</w:t>
            </w:r>
          </w:p>
        </w:tc>
        <w:tc>
          <w:tcPr>
            <w:tcW w:w="2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5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Exercised</w:t>
            </w:r>
          </w:p>
        </w:tc>
        <w:tc>
          <w:tcPr>
            <w:tcW w:w="11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9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Cancelled</w:t>
            </w:r>
          </w:p>
        </w:tc>
        <w:tc>
          <w:tcPr>
            <w:tcW w:w="146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(52,677)</w:t>
            </w:r>
          </w:p>
        </w:tc>
        <w:tc>
          <w:tcPr>
            <w:tcW w:w="156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3.79</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3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March 31, 2026</w:t>
            </w:r>
          </w:p>
        </w:tc>
        <w:tc>
          <w:tcPr>
            <w:tcW w:w="1460" w:type="dxa"/>
            <w:vAlign w:val="bottom"/>
            <w:tcBorders>
              <w:top w:val="single" w:sz="8" w:color="auto"/>
              <w:bottom w:val="single" w:sz="8" w:color="auto"/>
            </w:tcBorders>
            <w:shd w:val="clear" w:color="auto" w:fill="CFF0FC"/>
          </w:tcPr>
          <w:p>
            <w:pPr>
              <w:spacing w:after="0"/>
              <w:rPr>
                <w:sz w:val="21"/>
                <w:szCs w:val="21"/>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8,202,603</w:t>
            </w:r>
          </w:p>
        </w:tc>
        <w:tc>
          <w:tcPr>
            <w:tcW w:w="34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FF0FC"/>
            </w:tcBorders>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4.11</w:t>
            </w:r>
          </w:p>
        </w:tc>
        <w:tc>
          <w:tcPr>
            <w:tcW w:w="230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7.7</w:t>
            </w:r>
          </w:p>
        </w:tc>
      </w:tr>
      <w:tr>
        <w:trPr>
          <w:trHeight w:val="215"/>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Exercisable, March 31, 2026</w:t>
            </w: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4,540,179</w:t>
            </w: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5.48</w:t>
            </w:r>
          </w:p>
        </w:tc>
        <w:tc>
          <w:tcPr>
            <w:tcW w:w="2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-173990</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-156845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summarizes the Company's restricted stock unit activity:</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700" w:type="dxa"/>
            <w:vAlign w:val="bottom"/>
          </w:tcPr>
          <w:p>
            <w:pPr>
              <w:spacing w:after="0"/>
              <w:rPr>
                <w:sz w:val="9"/>
                <w:szCs w:val="9"/>
                <w:color w:val="auto"/>
              </w:rPr>
            </w:pPr>
          </w:p>
        </w:tc>
        <w:tc>
          <w:tcPr>
            <w:tcW w:w="19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080" w:type="dxa"/>
            <w:vAlign w:val="bottom"/>
            <w:tcBorders>
              <w:bottom w:val="single" w:sz="8" w:color="auto"/>
            </w:tcBorders>
          </w:tcPr>
          <w:p>
            <w:pPr>
              <w:spacing w:after="0"/>
              <w:rPr>
                <w:sz w:val="9"/>
                <w:szCs w:val="9"/>
                <w:color w:val="auto"/>
              </w:rPr>
            </w:pPr>
          </w:p>
        </w:tc>
        <w:tc>
          <w:tcPr>
            <w:tcW w:w="1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47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80" w:type="dxa"/>
            <w:vAlign w:val="bottom"/>
          </w:tcPr>
          <w:p>
            <w:pPr>
              <w:jc w:val="right"/>
              <w:ind w:right="190"/>
              <w:spacing w:after="0" w:line="188" w:lineRule="exact"/>
              <w:rPr>
                <w:sz w:val="20"/>
                <w:szCs w:val="20"/>
                <w:color w:val="auto"/>
              </w:rPr>
            </w:pPr>
            <w:r>
              <w:rPr>
                <w:rFonts w:ascii="Times New Roman" w:cs="Times New Roman" w:eastAsia="Times New Roman" w:hAnsi="Times New Roman"/>
                <w:sz w:val="18"/>
                <w:szCs w:val="18"/>
                <w:b w:val="1"/>
                <w:bCs w:val="1"/>
                <w:color w:val="auto"/>
              </w:rPr>
              <w:t>Weighted-Average Grant Date Fair</w:t>
            </w:r>
          </w:p>
        </w:tc>
        <w:tc>
          <w:tcPr>
            <w:tcW w:w="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700" w:type="dxa"/>
            <w:vAlign w:val="bottom"/>
          </w:tcPr>
          <w:p>
            <w:pPr>
              <w:spacing w:after="0"/>
              <w:rPr>
                <w:sz w:val="20"/>
                <w:szCs w:val="20"/>
                <w:color w:val="auto"/>
              </w:rPr>
            </w:pPr>
          </w:p>
        </w:tc>
        <w:tc>
          <w:tcPr>
            <w:tcW w:w="198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tcPr>
          <w:p>
            <w:pPr>
              <w:jc w:val="right"/>
              <w:ind w:right="131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December 31, 2025</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892,500</w:t>
            </w:r>
          </w:p>
        </w:tc>
        <w:tc>
          <w:tcPr>
            <w:tcW w:w="10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Issued</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Canceled/Forfeited</w:t>
            </w:r>
          </w:p>
        </w:tc>
        <w:tc>
          <w:tcPr>
            <w:tcW w:w="19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(35,000)</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March 31, 2026</w:t>
            </w:r>
          </w:p>
        </w:tc>
        <w:tc>
          <w:tcPr>
            <w:tcW w:w="19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857,500</w:t>
            </w:r>
          </w:p>
        </w:tc>
        <w:tc>
          <w:tcPr>
            <w:tcW w:w="10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FF0FC"/>
            </w:tcBorders>
            <w:shd w:val="clear" w:color="auto" w:fill="CFF0FC"/>
          </w:tcPr>
          <w:p>
            <w:pPr>
              <w:spacing w:after="0" w:line="20" w:lineRule="exact"/>
              <w:rPr>
                <w:sz w:val="1"/>
                <w:szCs w:val="1"/>
                <w:color w:val="auto"/>
              </w:rPr>
            </w:pPr>
          </w:p>
        </w:tc>
        <w:tc>
          <w:tcPr>
            <w:tcW w:w="19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3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4784090</wp:posOffset>
            </wp:positionH>
            <wp:positionV relativeFrom="paragraph">
              <wp:posOffset>-1023620</wp:posOffset>
            </wp:positionV>
            <wp:extent cx="93980" cy="3168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93980" cy="316865"/>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-1023620</wp:posOffset>
            </wp:positionV>
            <wp:extent cx="102870" cy="3168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02870" cy="31686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-25400</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-7620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from time to time, may be party to litigation arising in the ordinary course of business. The Company records a liability for such matters when it is probable that future losses will be incurred and that such losses can be reasonably estimated. Significant judgment by the Company is required to determine both probability and the estimated amount. Management is currently not aware of any legal matters that could have a material adverse effect on the Company's financial position, results of operations or cash flows.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121"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The Company enters into standard indemnification agreements in the ordinary course of business. Pursuant to these arrangements, the Company indemnifies, holds harmless and agrees to reimburse the indemnified parties for losses suffered or incurred by the indemnified party, in connection with any trade secret, copyright, patent or other intellectual property infringement claim by any third party with respect to its technology. The term of these indemnification agreements is generally perpetual any time after the execution of the agreement. The maximum potential amount of future payments the Company could be required to make under these arrangements is not determinable. The Company has never incurred costs to defend lawsuits or settle claims related to these indemnification agreements. As a result, the Company believes the fair value of these agreements is not material.</w:t>
      </w:r>
    </w:p>
    <w:p>
      <w:pPr>
        <w:spacing w:after="0" w:line="7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has also entered into indemnification agreements with its directors and officers that may require the Company to indemnify its directors and officers against liabilities that may arise by reason of their status or service as directors or officers to the fullest extent permitted by Delaware corporate law. The Company currently has directors’ and officers’ insurance.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Net Loss Per Share</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Basic and diluted net loss per share is computed by dividing net loss by the weighted-average number of shares of common stock outstanding for the period. For periods in which the Company generated a net loss, the Company does not include the potential impact of dilutive securities in diluted net loss per share, as the impact of these items is anti-dilutive.</w:t>
      </w:r>
    </w:p>
    <w:p>
      <w:pPr>
        <w:spacing w:after="0" w:line="6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equity instruments were excluded from the calculation of diluted net loss per share because their effect would have been anti-dilutive for the periods presented:</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5" w:name="page16"/>
    <w:bookmarkEnd w:id="15"/>
    <w:p>
      <w:pPr>
        <w:ind w:left="838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20" w:type="dxa"/>
            <w:vAlign w:val="bottom"/>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88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200" w:type="dxa"/>
            <w:vAlign w:val="bottom"/>
            <w:tcBorders>
              <w:top w:val="single" w:sz="8" w:color="auto"/>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09"/>
        </w:trPr>
        <w:tc>
          <w:tcPr>
            <w:tcW w:w="7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issued and outstanding</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8,202,603</w:t>
            </w:r>
          </w:p>
        </w:tc>
        <w:tc>
          <w:tcPr>
            <w:tcW w:w="2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8,392,094</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Estimated shares issuable under the ESPP</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173,695</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41,710</w:t>
            </w:r>
          </w:p>
        </w:tc>
        <w:tc>
          <w:tcPr>
            <w:tcW w:w="100" w:type="dxa"/>
            <w:vAlign w:val="bottom"/>
          </w:tcPr>
          <w:p>
            <w:pPr>
              <w:spacing w:after="0"/>
              <w:rPr>
                <w:sz w:val="18"/>
                <w:szCs w:val="18"/>
                <w:color w:val="auto"/>
              </w:rPr>
            </w:pPr>
          </w:p>
        </w:tc>
      </w:tr>
      <w:tr>
        <w:trPr>
          <w:trHeight w:val="216"/>
        </w:trPr>
        <w:tc>
          <w:tcPr>
            <w:tcW w:w="77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stock subject to future vesting</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857,500</w:t>
            </w:r>
          </w:p>
        </w:tc>
        <w:tc>
          <w:tcPr>
            <w:tcW w:w="300" w:type="dxa"/>
            <w:vAlign w:val="bottom"/>
            <w:shd w:val="clear" w:color="auto" w:fill="CFF0FC"/>
          </w:tcPr>
          <w:p>
            <w:pPr>
              <w:spacing w:after="0"/>
              <w:rPr>
                <w:sz w:val="18"/>
                <w:szCs w:val="18"/>
                <w:color w:val="auto"/>
              </w:rPr>
            </w:pPr>
          </w:p>
        </w:tc>
        <w:tc>
          <w:tcPr>
            <w:tcW w:w="2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Common warrants to purchase common stock</w:t>
            </w:r>
          </w:p>
        </w:tc>
        <w:tc>
          <w:tcPr>
            <w:tcW w:w="1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37,024,389</w:t>
            </w:r>
          </w:p>
        </w:tc>
        <w:tc>
          <w:tcPr>
            <w:tcW w:w="300" w:type="dxa"/>
            <w:vAlign w:val="bottom"/>
          </w:tcPr>
          <w:p>
            <w:pPr>
              <w:spacing w:after="0"/>
              <w:rPr>
                <w:sz w:val="18"/>
                <w:szCs w:val="18"/>
                <w:color w:val="auto"/>
              </w:rPr>
            </w:pP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49"/>
        </w:trPr>
        <w:tc>
          <w:tcPr>
            <w:tcW w:w="6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46,258,187</w:t>
            </w:r>
          </w:p>
        </w:tc>
        <w:tc>
          <w:tcPr>
            <w:tcW w:w="300" w:type="dxa"/>
            <w:vAlign w:val="bottom"/>
            <w:tcBorders>
              <w:bottom w:val="single" w:sz="8" w:color="CFF0FC"/>
            </w:tcBorders>
            <w:shd w:val="clear" w:color="auto" w:fill="CFF0FC"/>
          </w:tcPr>
          <w:p>
            <w:pPr>
              <w:spacing w:after="0"/>
              <w:rPr>
                <w:sz w:val="21"/>
                <w:szCs w:val="21"/>
                <w:color w:val="auto"/>
              </w:rPr>
            </w:pPr>
          </w:p>
        </w:tc>
        <w:tc>
          <w:tcPr>
            <w:tcW w:w="2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8,433,804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-25400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-7620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Segment Reporting</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 operates and manages its business as one reportable and operating segment, which is the business of developing small molecule drugs to treat patients with metabolic diseases. The Company’s interim chief executive officer, who is the chief operating decision maker, reviews financial information on an aggregate basis for allocating resources and evaluating financial performance. All long-lived assets are maintained in, and all losses are attributable to, the United States of America.</w:t>
      </w:r>
    </w:p>
    <w:p>
      <w:pPr>
        <w:spacing w:after="0" w:line="7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following table presents reportable segment profit and loss, including significant expense categories, attributable to our reportable segment for the periods indicated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7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7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7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09"/>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External costs:</w:t>
            </w:r>
          </w:p>
        </w:tc>
        <w:tc>
          <w:tcPr>
            <w:tcW w:w="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Clinical research organization expenses</w:t>
            </w: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COVALENT - 101</w:t>
            </w:r>
          </w:p>
        </w:tc>
        <w:tc>
          <w:tcPr>
            <w:tcW w:w="1160" w:type="dxa"/>
            <w:vAlign w:val="bottom"/>
            <w:gridSpan w:val="2"/>
            <w:shd w:val="clear" w:color="auto" w:fill="CFF0FC"/>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COVALENT - 102</w:t>
            </w: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COVALENT - 103</w:t>
            </w:r>
          </w:p>
        </w:tc>
        <w:tc>
          <w:tcPr>
            <w:tcW w:w="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3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COVALENT - 111</w:t>
            </w: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w:t>
            </w: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COVALENT - 112</w:t>
            </w:r>
          </w:p>
        </w:tc>
        <w:tc>
          <w:tcPr>
            <w:tcW w:w="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COVALENT - 211</w:t>
            </w: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COVALENT - 212</w:t>
            </w:r>
          </w:p>
        </w:tc>
        <w:tc>
          <w:tcPr>
            <w:tcW w:w="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3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GLP - 131</w:t>
            </w: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clinical related expenses</w:t>
            </w:r>
          </w:p>
        </w:tc>
        <w:tc>
          <w:tcPr>
            <w:tcW w:w="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3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2,487</w:t>
            </w: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Preclinical activities related expenses</w:t>
            </w: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100" w:type="dxa"/>
            <w:vAlign w:val="bottom"/>
          </w:tcPr>
          <w:p>
            <w:pPr>
              <w:spacing w:after="0"/>
              <w:rPr>
                <w:sz w:val="18"/>
                <w:szCs w:val="18"/>
                <w:color w:val="auto"/>
              </w:rPr>
            </w:pPr>
          </w:p>
        </w:tc>
      </w:tr>
      <w:tr>
        <w:trPr>
          <w:trHeight w:val="198"/>
        </w:trPr>
        <w:tc>
          <w:tcPr>
            <w:tcW w:w="706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Expenses related to manufacturing of</w:t>
            </w:r>
          </w:p>
        </w:tc>
        <w:tc>
          <w:tcPr>
            <w:tcW w:w="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clinical and research material</w:t>
            </w:r>
          </w:p>
        </w:tc>
        <w:tc>
          <w:tcPr>
            <w:tcW w:w="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3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shd w:val="clear" w:color="auto" w:fill="CFF0FC"/>
          </w:tcPr>
          <w:p>
            <w:pPr>
              <w:spacing w:after="0"/>
              <w:rPr>
                <w:sz w:val="20"/>
                <w:szCs w:val="20"/>
                <w:color w:val="auto"/>
              </w:rPr>
            </w:pPr>
          </w:p>
        </w:tc>
      </w:tr>
      <w:tr>
        <w:trPr>
          <w:trHeight w:val="216"/>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external costs</w:t>
            </w: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2,572</w:t>
            </w:r>
          </w:p>
        </w:tc>
        <w:tc>
          <w:tcPr>
            <w:tcW w:w="100" w:type="dxa"/>
            <w:vAlign w:val="bottom"/>
          </w:tcPr>
          <w:p>
            <w:pPr>
              <w:spacing w:after="0"/>
              <w:rPr>
                <w:sz w:val="18"/>
                <w:szCs w:val="18"/>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Internal costs:</w:t>
            </w:r>
          </w:p>
        </w:tc>
        <w:tc>
          <w:tcPr>
            <w:tcW w:w="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706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Personnel-related expenses (including</w:t>
            </w: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3,364</w:t>
            </w: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7,827</w:t>
            </w:r>
          </w:p>
        </w:tc>
        <w:tc>
          <w:tcPr>
            <w:tcW w:w="100" w:type="dxa"/>
            <w:vAlign w:val="bottom"/>
          </w:tcPr>
          <w:p>
            <w:pPr>
              <w:spacing w:after="0"/>
              <w:rPr>
                <w:sz w:val="20"/>
                <w:szCs w:val="20"/>
                <w:color w:val="auto"/>
              </w:rPr>
            </w:pPr>
          </w:p>
        </w:tc>
      </w:tr>
      <w:tr>
        <w:trPr>
          <w:trHeight w:val="216"/>
        </w:trPr>
        <w:tc>
          <w:tcPr>
            <w:tcW w:w="70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Facilities and other allocated expenses</w:t>
            </w:r>
          </w:p>
        </w:tc>
        <w:tc>
          <w:tcPr>
            <w:tcW w:w="2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34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160" w:type="dxa"/>
            <w:vAlign w:val="bottom"/>
            <w:gridSpan w:val="2"/>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9,120</w:t>
            </w:r>
          </w:p>
        </w:tc>
        <w:tc>
          <w:tcPr>
            <w:tcW w:w="10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22,897</w:t>
            </w:r>
          </w:p>
        </w:tc>
        <w:tc>
          <w:tcPr>
            <w:tcW w:w="100" w:type="dxa"/>
            <w:vAlign w:val="bottom"/>
          </w:tcPr>
          <w:p>
            <w:pPr>
              <w:spacing w:after="0"/>
              <w:rPr>
                <w:sz w:val="18"/>
                <w:szCs w:val="18"/>
                <w:color w:val="auto"/>
              </w:rPr>
            </w:pPr>
          </w:p>
        </w:tc>
      </w:tr>
      <w:tr>
        <w:trPr>
          <w:trHeight w:val="20"/>
        </w:trPr>
        <w:tc>
          <w:tcPr>
            <w:tcW w:w="70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-170815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0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0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7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10"/>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External costs</w:t>
            </w:r>
          </w:p>
        </w:tc>
        <w:tc>
          <w:tcPr>
            <w:tcW w:w="3160" w:type="dxa"/>
            <w:vAlign w:val="bottom"/>
            <w:gridSpan w:val="2"/>
            <w:shd w:val="clear" w:color="auto" w:fill="CFF0FC"/>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1020" w:type="dxa"/>
            <w:vAlign w:val="bottom"/>
            <w:gridSpan w:val="2"/>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100" w:type="dxa"/>
            <w:vAlign w:val="bottom"/>
            <w:shd w:val="clear" w:color="auto" w:fill="CFF0FC"/>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Internal costs:</w:t>
            </w:r>
          </w:p>
        </w:tc>
        <w:tc>
          <w:tcPr>
            <w:tcW w:w="2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506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Personnel-related expenses (including</w:t>
            </w:r>
          </w:p>
        </w:tc>
        <w:tc>
          <w:tcPr>
            <w:tcW w:w="20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5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3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4,090</w:t>
            </w:r>
          </w:p>
        </w:tc>
        <w:tc>
          <w:tcPr>
            <w:tcW w:w="100" w:type="dxa"/>
            <w:vAlign w:val="bottom"/>
            <w:shd w:val="clear" w:color="auto" w:fill="CFF0FC"/>
          </w:tcPr>
          <w:p>
            <w:pPr>
              <w:spacing w:after="0"/>
              <w:rPr>
                <w:sz w:val="20"/>
                <w:szCs w:val="20"/>
                <w:color w:val="auto"/>
              </w:rPr>
            </w:pPr>
          </w:p>
        </w:tc>
      </w:tr>
      <w:tr>
        <w:trPr>
          <w:trHeight w:val="216"/>
        </w:trPr>
        <w:tc>
          <w:tcPr>
            <w:tcW w:w="5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Facilities and other allocated expenses</w:t>
            </w:r>
          </w:p>
        </w:tc>
        <w:tc>
          <w:tcPr>
            <w:tcW w:w="200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34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Pr>
          <w:p>
            <w:pPr>
              <w:spacing w:after="0"/>
              <w:rPr>
                <w:sz w:val="18"/>
                <w:szCs w:val="18"/>
                <w:color w:val="auto"/>
              </w:rPr>
            </w:pPr>
          </w:p>
        </w:tc>
      </w:tr>
      <w:tr>
        <w:trPr>
          <w:trHeight w:val="250"/>
        </w:trPr>
        <w:tc>
          <w:tcPr>
            <w:tcW w:w="5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20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3,654</w:t>
            </w:r>
          </w:p>
        </w:tc>
        <w:tc>
          <w:tcPr>
            <w:tcW w:w="34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-24765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-8255</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 of segment loss from operations to net loss (in thousands):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16"/>
        </w:trPr>
        <w:tc>
          <w:tcPr>
            <w:tcW w:w="53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7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3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3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7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09"/>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 of reportable segments</w:t>
            </w:r>
          </w:p>
        </w:tc>
        <w:tc>
          <w:tcPr>
            <w:tcW w:w="2920" w:type="dxa"/>
            <w:vAlign w:val="bottom"/>
            <w:gridSpan w:val="2"/>
            <w:shd w:val="clear" w:color="auto" w:fill="CFF0FC"/>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(12,774)</w:t>
            </w:r>
          </w:p>
        </w:tc>
        <w:tc>
          <w:tcPr>
            <w:tcW w:w="82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(29,712)</w:t>
            </w: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common warrant liability</w:t>
            </w:r>
          </w:p>
        </w:tc>
        <w:tc>
          <w:tcPr>
            <w:tcW w:w="1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(581)</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on sale of property and equipment</w:t>
            </w:r>
          </w:p>
        </w:tc>
        <w:tc>
          <w:tcPr>
            <w:tcW w:w="17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176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18"/>
                <w:szCs w:val="18"/>
                <w:color w:val="auto"/>
              </w:rPr>
            </w:pPr>
          </w:p>
        </w:tc>
      </w:tr>
      <w:tr>
        <w:trPr>
          <w:trHeight w:val="229"/>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76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(12,415)</w:t>
            </w:r>
          </w:p>
        </w:tc>
        <w:tc>
          <w:tcPr>
            <w:tcW w:w="82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(29,262)</w:t>
            </w:r>
          </w:p>
        </w:tc>
      </w:tr>
      <w:tr>
        <w:trPr>
          <w:trHeight w:val="20"/>
        </w:trPr>
        <w:tc>
          <w:tcPr>
            <w:tcW w:w="5300" w:type="dxa"/>
            <w:vAlign w:val="bottom"/>
            <w:tcBorders>
              <w:top w:val="single" w:sz="8" w:color="CFF0FC"/>
            </w:tcBorders>
            <w:shd w:val="clear" w:color="auto" w:fill="CFF0FC"/>
          </w:tcPr>
          <w:p>
            <w:pPr>
              <w:spacing w:after="0" w:line="20" w:lineRule="exact"/>
              <w:rPr>
                <w:sz w:val="1"/>
                <w:szCs w:val="1"/>
                <w:color w:val="auto"/>
              </w:rPr>
            </w:pPr>
          </w:p>
        </w:tc>
        <w:tc>
          <w:tcPr>
            <w:tcW w:w="176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-25400</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Subsequent Events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condensed financial statements and related notes appearing elsewhere in this Quarterly Report on Form 10-Q. Some of the information contained in this discussion and analysis or set forth elsewhere in this Quarterly Report on Form 10-Q, including information with respect to our plans and strategy for our business, includes forward looking statements that involve risks and uncertainties. As a result of many factors, including those factors set forth in the “Risk Factors” section of this Quarterly Report on Form 10-Q, our actual results could differ materially from the results described, in or implied, by these forward-looking statements.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are a clinical-stage diabetes and obesity medicines company focused on the development of novel small molecule therapies to treat and improve the lives of patients with metabolic diseases. A covalent small molecule drug is a synthetic compound that forms a permanent bond to its target protein and offers a number of potential advantages over conventional non-covalent drugs, including greater target selectivity, lower drug exposure, and the ability to drive a deeper, more durable response.</w:t>
      </w:r>
    </w:p>
    <w:p>
      <w:pPr>
        <w:spacing w:after="0" w:line="7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lead clinical program’s drug candidate, icovamenib, is currently being developed as an orally bioavailable, and selective, covalent inhibitor of menin, which serves as a checkpoint to prevent beta cell proliferation and is an important transcriptional regulator known to play a direct role in beta cell homeostasis. Icovamenib's potential in type 1 and type 2 diabetes as well as its impact in obesity is currently being investigated in two clinical and multiple preclinical studies. Our preclinical and clinical data to date support that inhibiting menin via icovamenib has the potential to enable the proliferation, preservation, and reactivation of healthy, functional beta cells capable of producing insulin, thereby leading to long-term glycemic control in patients with type 1 and type 2 diabetes.</w:t>
      </w:r>
    </w:p>
    <w:p>
      <w:pPr>
        <w:spacing w:after="0" w:line="7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preclinical studies, the administration of icovamenib has produced a pronounced effect in preclinical models of diabetes, normalizing glucose levels during treatment and even after drug washout. In October 2025, we reported 52-week results from our Phase II COVALENT-111 trial of icovamenib in type 2 diabetes and most recently in April 2026, we reported topline results from our type 1 diabetes trial (COVALENT-112) of icovamenib in type 1 diabetes. As of March 31, 2026 icovamenib is now being evaluated across two ongoing Phase II clinical trials (COVALENT-211 and COVALENT-212) in type 2 diabetes.</w:t>
      </w:r>
    </w:p>
    <w:p>
      <w:pPr>
        <w:spacing w:after="0" w:line="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With our strategic focus to become a diabetes and obesity medicines company, we are concluding our studies exploring icovamenib’s potential in oncology and plan to explore partnerships to further advance our oncology assets (BMF-500, a covalent inhibitor of FLT3, currently in a Phase I trial), while concentrating internal resources on metabolic disorders.</w:t>
      </w:r>
    </w:p>
    <w:p>
      <w:pPr>
        <w:spacing w:after="0" w:line="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September 2025, we announced that BMF-650, our investigational, next-generation, oral small molecule glucagon-like peptide-1 GLP-1 receptor agonist (GLP-1 RA), received IND-clearance from the FDA. Our Phase I GLP-131 trial for BMF-650 in obese, otherwise healthy volunteers is ongoing, and data is anticipated in the second quarter of 2026. With its unique pharmacokinetic profile and enhanced bioavailability, we believe BMF-650 has the potential to provide a best-in-class therapeutic option for obesity.</w:t>
      </w:r>
    </w:p>
    <w:p>
      <w:pPr>
        <w:spacing w:after="0" w:line="7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Since commencing operations in 2017, we have devoted substantially all of our efforts and financial resources to conducting research and development activities, including drug discovery and preclinical studies and clinical trials, establishing and maintaining our intellectual property portfolio, the manufacturing of clinical and research material, organizing and staffing our company, business planning, raising capital and providing general and administrative support for these operations. We have not generated any revenue from product sales and, as a result, we have never been profitable and have incurred net losses since commencement of our operations.</w:t>
      </w:r>
    </w:p>
    <w:p>
      <w:pPr>
        <w:spacing w:after="0" w:line="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of March 31, 2026, we had an accumulated deficit of $461.5 million. We incurred net losses of $12.4 million and $29.3 million for the three months ended March 31, 2026 and 2025, respectively. Based on our current operating plan, we believe that our existing cash and cash equivalents, and restricted cash as of March 31, 2026, without any future financing, will only be sufficient to fund our operations into the first quarter of 2027. We expect to continue to incur significant expenses and operating losses for the foreseeable future, and our net losses may fluctuate significantly from period to period, depending on the timing of and expenditures on our planned research and development activities.</w:t>
      </w:r>
    </w:p>
    <w:p>
      <w:pPr>
        <w:spacing w:after="0" w:line="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do not expect to generate revenue from product sales unless and until we obtain regulatory approval for and commercialize a product candidate, and we cannot assure you that we will ever generate significant revenue or profits. We expect that our expenses will continue to increase for the foreseeable future. We expect to continue to incur significant losses for the foreseeable future, and we expect these losses to increase substantially if and as we:</w:t>
      </w:r>
    </w:p>
    <w:p>
      <w:pPr>
        <w:spacing w:after="0" w:line="68" w:lineRule="exact"/>
        <w:rPr>
          <w:sz w:val="20"/>
          <w:szCs w:val="20"/>
          <w:color w:val="auto"/>
        </w:rPr>
      </w:pPr>
    </w:p>
    <w:p>
      <w:pPr>
        <w:ind w:left="260" w:right="300" w:hanging="252"/>
        <w:spacing w:after="0" w:line="282" w:lineRule="auto"/>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our ongoing preclinical studies, our two Phase II clinical trials of icovamenib in type 2 diabetes and our Phase I clinical trial of BMF-650 in obese, otherwise healthy volunteers;</w:t>
      </w:r>
    </w:p>
    <w:p>
      <w:pPr>
        <w:spacing w:after="0" w:line="5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marketing approvals for any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research and development efforts and submit additional INDs;</w:t>
      </w:r>
    </w:p>
    <w:p>
      <w:pPr>
        <w:spacing w:after="0" w:line="117" w:lineRule="exact"/>
        <w:rPr>
          <w:rFonts w:ascii="Times New Roman" w:cs="Times New Roman" w:eastAsia="Times New Roman" w:hAnsi="Times New Roman"/>
          <w:sz w:val="18"/>
          <w:szCs w:val="18"/>
          <w:color w:val="auto"/>
        </w:rPr>
      </w:pPr>
    </w:p>
    <w:p>
      <w:pPr>
        <w:ind w:left="260" w:right="160" w:hanging="252"/>
        <w:spacing w:after="0" w:line="282" w:lineRule="auto"/>
        <w:tabs>
          <w:tab w:leader="none" w:pos="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any delays or encounter any issues with any of the above, including but not limited to failed studies, complex results, safety issues or other regulatory challenges;</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8" w:name="page19"/>
    <w:bookmarkEnd w:id="18"/>
    <w:p>
      <w:pPr>
        <w:ind w:left="260" w:hanging="252"/>
        <w:spacing w:after="0" w:line="282" w:lineRule="auto"/>
        <w:tabs>
          <w:tab w:leader="none" w:pos="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and scale-up manufacturing capabilities, whether alone or with third parties, to commercialize any product candidates for which we may obtain regulatory approval, if any;</w:t>
      </w:r>
    </w:p>
    <w:p>
      <w:pPr>
        <w:spacing w:after="0" w:line="5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expand, maintain, enforce and protect our intellectual property portfolio;</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regulatory and scientific personnel; and</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as a public company.</w:t>
      </w:r>
    </w:p>
    <w:p>
      <w:pPr>
        <w:spacing w:after="0" w:line="117"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We will need to raise additional capital in the future to fund our operations, including to conduct and complete clinical trials for any product candidates. If sufficient funds on acceptable terms are not available when needed, we could be required to significantly reduce our operating expenses and delay, reduce the scope of, or eliminate one or more of our development programs.</w:t>
      </w:r>
    </w:p>
    <w:p>
      <w:pPr>
        <w:spacing w:after="0" w:line="68" w:lineRule="exact"/>
        <w:rPr>
          <w:sz w:val="20"/>
          <w:szCs w:val="20"/>
          <w:color w:val="auto"/>
        </w:rPr>
      </w:pPr>
    </w:p>
    <w:p>
      <w:pPr>
        <w:jc w:val="both"/>
        <w:ind w:right="260"/>
        <w:spacing w:after="0" w:line="270" w:lineRule="auto"/>
        <w:rPr>
          <w:sz w:val="20"/>
          <w:szCs w:val="20"/>
          <w:color w:val="auto"/>
        </w:rPr>
      </w:pPr>
      <w:r>
        <w:rPr>
          <w:rFonts w:ascii="Times New Roman" w:cs="Times New Roman" w:eastAsia="Times New Roman" w:hAnsi="Times New Roman"/>
          <w:sz w:val="17"/>
          <w:szCs w:val="17"/>
          <w:color w:val="auto"/>
        </w:rPr>
        <w:t>We currently rely, and expect to continue to rely, on third parties for the manufacture of our product candidates. All of our product candidates are novel small molecules and are manufactured in synthetic processes from available or custom synthesized starting materials. The chemistry is scalable and uses commonly available pharmaceutical equipment in the manufacturing process. We expect to continue to develop product candidates that can be produced cost-effectively at contract manufacturing facilities. In addition, we do not yet have a marketing or sales organization or commercial infrastructure.</w:t>
      </w:r>
    </w:p>
    <w:p>
      <w:pPr>
        <w:spacing w:after="0" w:line="3"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Accordingly, we will incur significant expenses to develop a marketing and sales organization and commercial infrastructure in advance of generating any product sales.</w:t>
      </w:r>
    </w:p>
    <w:p>
      <w:pPr>
        <w:spacing w:after="0" w:line="7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April 2021, we completed our initial public offering (IPO) and issued an aggregate of 9,000,000 shares of our common stock at a price of $17.00 per share. Subsequent to the close, an additional 823,532 shares were issued in connection with the partial exercise by the underwriters of their option to purchase additional shares of common stock. In addition, immediately prior to the closing of the IPO, all outstanding shares of our convertible preferred stock automatically converted into 7,064,925 shares of common stock. Proceeds from the IPO, net of underwriting discounts and commissions and offering costs were $152.8 million. On April 3, 2023, we issued and sold 5,750,000 shares of common stock, which included 750,000 shares sold pursuant to the exercise of the underwriters’ over-allotment option, at a public offering price of $30.00 per share in an underwritten public offering pursuant to a shelf registration on Form S-3. Our net proceeds from the offering were $161.8 million, after deducting underwriting discounts and commissions and offering costs of $10.7 million. During the twelve months ended December 31, 2025, we issued 2,271,122 shares of our common stock for aggregate proceeds of $4.9 million, net of commissions and offering costs from our 2022 ATM Program. We did not issue any shares of common stock or receive any proceeds under our 2022 ATM Program during the three months ended March 31, 2026.</w:t>
      </w:r>
    </w:p>
    <w:p>
      <w:pPr>
        <w:spacing w:after="0" w:line="8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June 2025, we issued and sold 19,450,000 shares of common stock at an offering price of $2.00 per share and, to a certain investor in lieu of common stock, pre-funded warrants to purchase up to 550,000 shares of common stock at an offering price of $1.9999 per share, and accompanying common warrants to purchase up to 23,000,000 shares of common stock at a per share exercise price of $2.50. In July 2025, in connection with the June 2025 underwritten public offering, the underwriters partially exercised their over-allotment option to purchase an additional 1,381,262 shares of common stock at an offering price of $2.00 per share. The aggregate gross proceeds from the offering, including the proceeds from the underwriters' over-allotment option, were approximately $42.8 million, before deducting underwriting discounts and commissions and offering costs.</w:t>
      </w:r>
    </w:p>
    <w:p>
      <w:pPr>
        <w:spacing w:after="0" w:line="79"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In October 2025, we issued and sold 11,195,121 shares of common stock at an offering price of $2.05 per share and, to a certain investor in lieu of common stock, pre-funded warrants to purchase up to 1,000,000 shares of common stock at an offering price of $2.0499 per share and accompanying common warrants to purchase up to 14,024,389 shares of common stock at a per share exercise price of $2.50, which included the underwriters' partial exercise of their over-allotment option to purchase additional common warrants. The aggregate gross proceeds from the offering, including the proceeds from the underwriters' over-allotment option, were approximately $25.0 million, before deducting underwriting discounts and commissions and offering costs.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Operating Results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date, we have not generated any revenue and do not expect to generate any revenue from the sale of products in the near future.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1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Our research and development expenses consist primarily of external and internal costs incurred in connection with the research and development of our research programs and product candidates.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External costs include:</w:t>
      </w:r>
    </w:p>
    <w:p>
      <w:pPr>
        <w:spacing w:after="0" w:line="117" w:lineRule="exact"/>
        <w:rPr>
          <w:sz w:val="20"/>
          <w:szCs w:val="20"/>
          <w:color w:val="auto"/>
        </w:rPr>
      </w:pPr>
    </w:p>
    <w:p>
      <w:pPr>
        <w:ind w:left="260" w:right="180" w:hanging="252"/>
        <w:spacing w:after="0" w:line="282" w:lineRule="auto"/>
        <w:tabs>
          <w:tab w:leader="none" w:pos="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third-party contract manufacturing organizations (CMOs), contract research organizations (CROs), research and development service providers, academic research institutions and consulting costs; and</w:t>
      </w:r>
    </w:p>
    <w:p>
      <w:pPr>
        <w:spacing w:after="0" w:line="5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expenses, including supplies and services.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Internal costs include:</w:t>
      </w:r>
    </w:p>
    <w:p>
      <w:pPr>
        <w:spacing w:after="0" w:line="117" w:lineRule="exact"/>
        <w:rPr>
          <w:sz w:val="20"/>
          <w:szCs w:val="20"/>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personnel-related expenses, including salaries, benefits and stock-based compensation for personnel in research and product development roles; and</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and other allocated expenses, including expenses for rent and facilities maintenance, and depreciation.</w:t>
      </w:r>
    </w:p>
    <w:p>
      <w:pPr>
        <w:spacing w:after="0" w:line="117"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We expense research and development costs in the periods in which they are incurred. Non-refundable advance payments for goods or services to be received in future periods for use in research and development activities are deferred and capitalized. The capitalized amounts are then expensed as the related goods are delivered and as services are performed. We track direct costs by stage of program, clinical or preclinical. However, we do not track indirect costs on a program specific or stage of program basis because these costs are deployed across multiple programs and, as such, are not separately classified.</w:t>
      </w:r>
    </w:p>
    <w:p>
      <w:pPr>
        <w:spacing w:after="0" w:line="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expect our research and development expenses to increase substantially during the next few years as we seek to initiate and complete clinical trials, pursue regulatory approval of icovamenib and advance BMF-650 and our other programs through preclinical and clinical development. Predicting the timing or the final cost to complete our clinical program or validation of our manufacturing and supply processes is difficult and delays may occur because of many factors. The process of conducting the necessary preclinical and clinical research to obtain regulatory approval is costly and time-consuming. To the extent that our product candidates continue to advance into clinical trials, as well as advance into larger and later stage clinical trials, our expenses will increase substantially and may become more variable.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research and development costs may vary significantly based on a wide variety of factors, such as:</w:t>
      </w:r>
    </w:p>
    <w:p>
      <w:pPr>
        <w:spacing w:after="0" w:line="117" w:lineRule="exact"/>
        <w:rPr>
          <w:sz w:val="20"/>
          <w:szCs w:val="20"/>
          <w:color w:val="auto"/>
        </w:rPr>
      </w:pPr>
    </w:p>
    <w:p>
      <w:pPr>
        <w:ind w:left="260" w:hanging="252"/>
        <w:spacing w:after="0" w:line="266" w:lineRule="auto"/>
        <w:tabs>
          <w:tab w:leader="none" w:pos="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expense and results of our ongoing clinical trials, including our ongoing Phase II clinical trial of icovamenib in type 2 diabetes, enrollment in our Phase I clinical trial for BMF-650, as well as any future preclinical development and clinical trials of our product candidates, and other research and development activities we may conduct;</w:t>
      </w:r>
    </w:p>
    <w:p>
      <w:pPr>
        <w:spacing w:after="0" w:line="6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in clinical trial design and the interpretation of clinical trial data;</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participant trial costs;</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scope and number of trials required for approval;</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sites included in the trials;</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participants who participate in the trials;</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trials are conducted;</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eligible participants;</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drop-out or discontinuation rates of participants;</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and efficacy profiles of our product candidates;</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terms of any approvals from applicable regulatory authorities including the FDA and non-U.S. regulators;</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 continued acceptable safety profile of our product candidates following approval, if any, of any of our product candidates;</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and changing government regulation and regulatory guidance;</w:t>
      </w:r>
    </w:p>
    <w:p>
      <w:pPr>
        <w:spacing w:after="0" w:line="117" w:lineRule="exact"/>
        <w:rPr>
          <w:rFonts w:ascii="Times New Roman" w:cs="Times New Roman" w:eastAsia="Times New Roman" w:hAnsi="Times New Roman"/>
          <w:sz w:val="18"/>
          <w:szCs w:val="18"/>
          <w:color w:val="auto"/>
        </w:rPr>
      </w:pPr>
    </w:p>
    <w:p>
      <w:pPr>
        <w:ind w:left="260" w:right="260" w:hanging="252"/>
        <w:spacing w:after="0" w:line="282" w:lineRule="auto"/>
        <w:tabs>
          <w:tab w:leader="none" w:pos="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clinical and commercial manufacturing capabilities or making arrangements with third-party manufacturers in order to ensure that we or our third-party manufacturers are able to make product successfully;</w:t>
      </w:r>
    </w:p>
    <w:p>
      <w:pPr>
        <w:spacing w:after="0" w:line="53" w:lineRule="exact"/>
        <w:rPr>
          <w:rFonts w:ascii="Times New Roman" w:cs="Times New Roman" w:eastAsia="Times New Roman" w:hAnsi="Times New Roman"/>
          <w:sz w:val="18"/>
          <w:szCs w:val="18"/>
          <w:color w:val="auto"/>
        </w:rPr>
      </w:pPr>
    </w:p>
    <w:p>
      <w:pPr>
        <w:ind w:left="260" w:right="740" w:hanging="252"/>
        <w:spacing w:after="0" w:line="282" w:lineRule="auto"/>
        <w:tabs>
          <w:tab w:leader="none" w:pos="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business interruptions to our operations or to those of the third parties with whom we work in light of adverse global market conditions; and</w:t>
      </w:r>
    </w:p>
    <w:p>
      <w:pPr>
        <w:spacing w:after="0" w:line="5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establish additional strategic collaborations or other arrangements.</w:t>
      </w:r>
    </w:p>
    <w:p>
      <w:pPr>
        <w:spacing w:after="0" w:line="11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any or our product candidates could significantly change the costs and timing associated with the development of that product candidate. The actual probability of success for our product candidates may be affected by a variety of factors, including the safety and efficacy of our product candidates, investment in our clinical programs, manufacturing capability and competition with other products and product candidates. As a result of these variables, we are unable to determine the duration and completion costs of our research and development projects or when and to what extent we will generate revenue from the commercialization and sale of our product candidates. We may never succeed in achieving regulatory approval for any of our product candidates.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principally of personnel-related costs including payroll and stock-based compensation expense for personnel in executive, finance, human resources, business and corporate development, and other administrative functions, professional fees for legal, consulting, and accounting services, rent and other facilities costs, depreciation, and other general operating expenses not otherwise classified as research and development expenses.</w:t>
      </w:r>
    </w:p>
    <w:p>
      <w:pPr>
        <w:spacing w:after="0" w:line="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substantially during the next few years as a result of staff expansion and additional occupancy costs, as well as costs associated with being a public company, including compliance with the rules and regulations of the SEC and those of any national securities exchange on which our securities are traded, higher legal and auditing fees, investor relations costs, higher insurance premiums and other compliance costs associated with being a public company. We also expect that our future intellectual property expenses may increase as we expand our product portfolio of product candidates due to advances in our research and development programs.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common warrant liability</w:t>
      </w:r>
    </w:p>
    <w:p>
      <w:pPr>
        <w:spacing w:after="0" w:line="11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Change in fair value of common warrant liability consists of revaluation of the common warrants issued in connection with the June and October 2025 underwritten public offerings (see Note 5). The common warrants are re-measured at each balance sheet date.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on sale of property and equipment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Gain on sale of property and equipment was $0.5 million for the three months ended March 31, 2026 and $0.0 for the three months ended March 31,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gain in the current period was attributable to proceeds from the sale of laboratory equipment.</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and Other Income, Net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and other income, net consists primarily of interest income earned on our cash and cash equivalents.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2026 and 2025</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indicated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92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6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4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12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120" w:type="dxa"/>
            <w:vAlign w:val="bottom"/>
            <w:gridSpan w:val="2"/>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9,120</w:t>
            </w:r>
          </w:p>
        </w:tc>
        <w:tc>
          <w:tcPr>
            <w:tcW w:w="180" w:type="dxa"/>
            <w:vAlign w:val="bottom"/>
          </w:tcPr>
          <w:p>
            <w:pPr>
              <w:spacing w:after="0"/>
              <w:rPr>
                <w:sz w:val="18"/>
                <w:szCs w:val="18"/>
                <w:color w:val="auto"/>
              </w:rPr>
            </w:pPr>
          </w:p>
        </w:tc>
        <w:tc>
          <w:tcPr>
            <w:tcW w:w="114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22,897</w:t>
            </w:r>
          </w:p>
        </w:tc>
        <w:tc>
          <w:tcPr>
            <w:tcW w:w="18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(13,777)</w:t>
            </w:r>
          </w:p>
        </w:tc>
        <w:tc>
          <w:tcPr>
            <w:tcW w:w="0" w:type="dxa"/>
            <w:vAlign w:val="bottom"/>
          </w:tcPr>
          <w:p>
            <w:pPr>
              <w:spacing w:after="0"/>
              <w:rPr>
                <w:sz w:val="1"/>
                <w:szCs w:val="1"/>
                <w:color w:val="auto"/>
              </w:rPr>
            </w:pPr>
          </w:p>
        </w:tc>
      </w:tr>
      <w:tr>
        <w:trPr>
          <w:trHeight w:val="216"/>
        </w:trPr>
        <w:tc>
          <w:tcPr>
            <w:tcW w:w="4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6,815</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(3,161)</w:t>
            </w:r>
          </w:p>
        </w:tc>
        <w:tc>
          <w:tcPr>
            <w:tcW w:w="0" w:type="dxa"/>
            <w:vAlign w:val="bottom"/>
          </w:tcPr>
          <w:p>
            <w:pPr>
              <w:spacing w:after="0"/>
              <w:rPr>
                <w:sz w:val="1"/>
                <w:szCs w:val="1"/>
                <w:color w:val="auto"/>
              </w:rPr>
            </w:pPr>
          </w:p>
        </w:tc>
      </w:tr>
      <w:tr>
        <w:trPr>
          <w:trHeight w:val="209"/>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29,712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(12,774)</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(29,712)</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16,938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 in fair value of common warrant liability</w:t>
            </w: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(581)</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(581)</w:t>
            </w:r>
          </w:p>
        </w:tc>
        <w:tc>
          <w:tcPr>
            <w:tcW w:w="0" w:type="dxa"/>
            <w:vAlign w:val="bottom"/>
          </w:tcPr>
          <w:p>
            <w:pPr>
              <w:spacing w:after="0"/>
              <w:rPr>
                <w:sz w:val="1"/>
                <w:szCs w:val="1"/>
                <w:color w:val="auto"/>
              </w:rPr>
            </w:pPr>
          </w:p>
        </w:tc>
      </w:tr>
      <w:tr>
        <w:trPr>
          <w:trHeight w:val="216"/>
        </w:trPr>
        <w:tc>
          <w:tcPr>
            <w:tcW w:w="45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Gain on sale of property and equipment</w:t>
            </w:r>
          </w:p>
        </w:tc>
        <w:tc>
          <w:tcPr>
            <w:tcW w:w="1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(12,415)</w:t>
            </w:r>
          </w:p>
        </w:tc>
        <w:tc>
          <w:tcPr>
            <w:tcW w:w="1140" w:type="dxa"/>
            <w:vAlign w:val="bottom"/>
            <w:gridSpan w:val="2"/>
            <w:shd w:val="clear" w:color="auto" w:fill="CFF0FC"/>
          </w:tcPr>
          <w:p>
            <w:pPr>
              <w:jc w:val="right"/>
              <w:ind w:right="9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(29,262)</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580" w:type="dxa"/>
            <w:vAlign w:val="bottom"/>
          </w:tcPr>
          <w:p>
            <w:pPr>
              <w:spacing w:after="0"/>
              <w:rPr>
                <w:sz w:val="24"/>
                <w:szCs w:val="24"/>
                <w:color w:val="auto"/>
              </w:rPr>
            </w:pPr>
          </w:p>
        </w:tc>
        <w:tc>
          <w:tcPr>
            <w:tcW w:w="2120" w:type="dxa"/>
            <w:vAlign w:val="bottom"/>
            <w:gridSpan w:val="2"/>
          </w:tcPr>
          <w:p>
            <w:pPr>
              <w:jc w:val="right"/>
              <w:ind w:right="890"/>
              <w:spacing w:after="0"/>
              <w:rPr>
                <w:sz w:val="20"/>
                <w:szCs w:val="20"/>
                <w:color w:val="auto"/>
              </w:rPr>
            </w:pPr>
            <w:r>
              <w:rPr>
                <w:rFonts w:ascii="Times New Roman" w:cs="Times New Roman" w:eastAsia="Times New Roman" w:hAnsi="Times New Roman"/>
                <w:sz w:val="18"/>
                <w:szCs w:val="18"/>
                <w:color w:val="auto"/>
              </w:rPr>
              <w:t>16</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5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-934085</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-916940</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-934085</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-916940</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-934085</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-916940</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6"/>
        </w:trPr>
        <w:tc>
          <w:tcPr>
            <w:tcW w:w="57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tc>
        <w:tc>
          <w:tcPr>
            <w:tcW w:w="10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92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 incurred during the periods indicated (in thousands):</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5700" w:type="dxa"/>
            <w:vAlign w:val="bottom"/>
          </w:tcPr>
          <w:p>
            <w:pPr>
              <w:spacing w:after="0"/>
              <w:rPr>
                <w:sz w:val="24"/>
                <w:szCs w:val="24"/>
                <w:color w:val="auto"/>
              </w:rPr>
            </w:pPr>
          </w:p>
        </w:tc>
        <w:tc>
          <w:tcPr>
            <w:tcW w:w="2940" w:type="dxa"/>
            <w:vAlign w:val="bottom"/>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70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58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5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External costs:</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5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00" w:type="dxa"/>
            <w:vAlign w:val="bottom"/>
            <w:vMerge w:val="continue"/>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Clinical research organization expenses</w:t>
            </w:r>
          </w:p>
        </w:tc>
        <w:tc>
          <w:tcPr>
            <w:tcW w:w="10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COVALENT - 101</w:t>
            </w:r>
          </w:p>
        </w:tc>
        <w:tc>
          <w:tcPr>
            <w:tcW w:w="10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5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(1,001)</w:t>
            </w: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COVALENT - 102</w:t>
            </w:r>
          </w:p>
        </w:tc>
        <w:tc>
          <w:tcPr>
            <w:tcW w:w="108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(614)</w:t>
            </w:r>
          </w:p>
        </w:tc>
        <w:tc>
          <w:tcPr>
            <w:tcW w:w="0" w:type="dxa"/>
            <w:vAlign w:val="bottom"/>
          </w:tcPr>
          <w:p>
            <w:pPr>
              <w:spacing w:after="0"/>
              <w:rPr>
                <w:sz w:val="1"/>
                <w:szCs w:val="1"/>
                <w:color w:val="auto"/>
              </w:rPr>
            </w:pPr>
          </w:p>
        </w:tc>
      </w:tr>
      <w:tr>
        <w:trPr>
          <w:trHeight w:val="216"/>
        </w:trPr>
        <w:tc>
          <w:tcPr>
            <w:tcW w:w="5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COVALENT - 103</w:t>
            </w:r>
          </w:p>
        </w:tc>
        <w:tc>
          <w:tcPr>
            <w:tcW w:w="10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(441)</w:t>
            </w: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COVALENT - 111</w:t>
            </w:r>
          </w:p>
        </w:tc>
        <w:tc>
          <w:tcPr>
            <w:tcW w:w="108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2,242</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(2,242)</w:t>
            </w:r>
          </w:p>
        </w:tc>
        <w:tc>
          <w:tcPr>
            <w:tcW w:w="0" w:type="dxa"/>
            <w:vAlign w:val="bottom"/>
          </w:tcPr>
          <w:p>
            <w:pPr>
              <w:spacing w:after="0"/>
              <w:rPr>
                <w:sz w:val="1"/>
                <w:szCs w:val="1"/>
                <w:color w:val="auto"/>
              </w:rPr>
            </w:pPr>
          </w:p>
        </w:tc>
      </w:tr>
      <w:tr>
        <w:trPr>
          <w:trHeight w:val="216"/>
        </w:trPr>
        <w:tc>
          <w:tcPr>
            <w:tcW w:w="5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COVALENT - 112</w:t>
            </w:r>
          </w:p>
        </w:tc>
        <w:tc>
          <w:tcPr>
            <w:tcW w:w="10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(502)</w:t>
            </w: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COVALENT - 211</w:t>
            </w:r>
          </w:p>
        </w:tc>
        <w:tc>
          <w:tcPr>
            <w:tcW w:w="108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COVALENT - 212</w:t>
            </w:r>
          </w:p>
        </w:tc>
        <w:tc>
          <w:tcPr>
            <w:tcW w:w="10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GLP - 131</w:t>
            </w:r>
          </w:p>
        </w:tc>
        <w:tc>
          <w:tcPr>
            <w:tcW w:w="108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clinical related expenses</w:t>
            </w:r>
          </w:p>
        </w:tc>
        <w:tc>
          <w:tcPr>
            <w:tcW w:w="10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(1,703)</w:t>
            </w: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Preclinical activities related expenses</w:t>
            </w:r>
          </w:p>
        </w:tc>
        <w:tc>
          <w:tcPr>
            <w:tcW w:w="108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(1,887)</w:t>
            </w:r>
          </w:p>
        </w:tc>
        <w:tc>
          <w:tcPr>
            <w:tcW w:w="0" w:type="dxa"/>
            <w:vAlign w:val="bottom"/>
          </w:tcPr>
          <w:p>
            <w:pPr>
              <w:spacing w:after="0"/>
              <w:rPr>
                <w:sz w:val="1"/>
                <w:szCs w:val="1"/>
                <w:color w:val="auto"/>
              </w:rPr>
            </w:pPr>
          </w:p>
        </w:tc>
      </w:tr>
      <w:tr>
        <w:trPr>
          <w:trHeight w:val="198"/>
        </w:trPr>
        <w:tc>
          <w:tcPr>
            <w:tcW w:w="570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Expenses related to manufacturing of</w:t>
            </w:r>
          </w:p>
        </w:tc>
        <w:tc>
          <w:tcPr>
            <w:tcW w:w="1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clinical and research material</w:t>
            </w:r>
          </w:p>
        </w:tc>
        <w:tc>
          <w:tcPr>
            <w:tcW w:w="10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external costs</w:t>
            </w:r>
          </w:p>
        </w:tc>
        <w:tc>
          <w:tcPr>
            <w:tcW w:w="108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2,572</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(1,890)</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Internal costs:</w:t>
            </w: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700" w:type="dxa"/>
            <w:vAlign w:val="bottom"/>
            <w:shd w:val="clear" w:color="auto" w:fill="CFF0FC"/>
          </w:tcPr>
          <w:p>
            <w:pPr>
              <w:ind w:left="100"/>
              <w:spacing w:after="0" w:line="198" w:lineRule="exact"/>
              <w:rPr>
                <w:sz w:val="20"/>
                <w:szCs w:val="20"/>
                <w:color w:val="auto"/>
              </w:rPr>
            </w:pPr>
            <w:r>
              <w:rPr>
                <w:rFonts w:ascii="Times New Roman" w:cs="Times New Roman" w:eastAsia="Times New Roman" w:hAnsi="Times New Roman"/>
                <w:sz w:val="18"/>
                <w:szCs w:val="18"/>
                <w:color w:val="auto"/>
              </w:rPr>
              <w:t>Personnel-related expenses (including</w:t>
            </w:r>
          </w:p>
        </w:tc>
        <w:tc>
          <w:tcPr>
            <w:tcW w:w="10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7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8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3,364</w:t>
            </w: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7,827</w:t>
            </w:r>
          </w:p>
        </w:tc>
        <w:tc>
          <w:tcPr>
            <w:tcW w:w="3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(4,463)</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Facilities and other allocated expenses</w:t>
            </w:r>
          </w:p>
        </w:tc>
        <w:tc>
          <w:tcPr>
            <w:tcW w:w="108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2,109</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(1,735)</w:t>
            </w:r>
          </w:p>
        </w:tc>
        <w:tc>
          <w:tcPr>
            <w:tcW w:w="0" w:type="dxa"/>
            <w:vAlign w:val="bottom"/>
          </w:tcPr>
          <w:p>
            <w:pPr>
              <w:spacing w:after="0"/>
              <w:rPr>
                <w:sz w:val="1"/>
                <w:szCs w:val="1"/>
                <w:color w:val="auto"/>
              </w:rPr>
            </w:pPr>
          </w:p>
        </w:tc>
      </w:tr>
      <w:tr>
        <w:trPr>
          <w:trHeight w:val="20"/>
        </w:trPr>
        <w:tc>
          <w:tcPr>
            <w:tcW w:w="570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0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9,120</w:t>
            </w:r>
          </w:p>
        </w:tc>
        <w:tc>
          <w:tcPr>
            <w:tcW w:w="300" w:type="dxa"/>
            <w:vAlign w:val="bottom"/>
          </w:tcPr>
          <w:p>
            <w:pPr>
              <w:spacing w:after="0"/>
              <w:rPr>
                <w:sz w:val="18"/>
                <w:szCs w:val="18"/>
                <w:color w:val="auto"/>
              </w:rPr>
            </w:pP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22,897</w:t>
            </w:r>
          </w:p>
        </w:tc>
        <w:tc>
          <w:tcPr>
            <w:tcW w:w="3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(13,777)</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-170815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-170815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decreased by $13.8 million during the three months ended March 31, 2026 compared to the three months ended March 31, 2025. The decrease of $7.6 million in external costs was primarily driven by a decrease of $3.8 million related to clinical activities, a decrease of $1.9 million related to preclinical and exploratory programs, and a decrease of $1.9 million in other external costs related to consultants, advisors and other professional services to support our clinical studies. Personnel-related expenses decreased by $4.5 million, including stock-based compensation, due to a decrease in headcount. Facilities and other allocated expenses decreased by $1.7 million due to a decrease in rent and facilities-related costs.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decreased by $3.2 million during the three months ended March 31, 2026 compared to the three months ended March 31, 2025. The decrease was primarily driven by a decrease of $1.9 million related to personnel-related expenses, including stock-based compensation, due to a decrease in headcount and a decrease of $1.1 million of corporate-related expenses. Facilities and other allocated expenses decreased by $0.2 million.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common warrant liability</w:t>
      </w:r>
    </w:p>
    <w:p>
      <w:pPr>
        <w:spacing w:after="0" w:line="11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Change in fair value of common warrant liability was $0.6 million for the three months ended March 31, 2026 and $0.0 for the three months ended March 31, 2025, attributable to revaluation of the common warrants issued in connection with the June and October 2025 underwritten public offerings (see Note 5). The common warrants are re-measured at each balance sheet date.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on sale of property and equipment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Gain on sale of property and equipment was $0.5 million for the three months ended March 31, 2026 and $0.0 for the three months ended March 31,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gain in the current period was attributable to proceeds from the sale of laboratory equipment.</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and other income, net</w:t>
      </w:r>
    </w:p>
    <w:p>
      <w:pPr>
        <w:spacing w:after="0" w:line="11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Interest and other income, net was $0.4 million for the three months ended March 31, 2026 compared to $0.5 million for the three months ended March 31, 2025. The decrease of $0.1 million was primarily due to lower interest rates earned on cash and cash equivalents balance.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We have funded our operations primarily through the sale and issuance of shares of our common and convertible preferred stock, pre-funded and common warrants and the issuance of unsecured promissory notes from inception through December 2020, issuance of our common stock through our IPO in April 2021, our public offerings in March 2023, June 2025 and October 2025 and through sales under our 2022 ATM Program.</w:t>
      </w:r>
    </w:p>
    <w:p>
      <w:pPr>
        <w:spacing w:after="0" w:line="6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October 14, 2022, we filed the 2022 Registration Statement with the SEC relating to the registration of up to an aggregate of $350.0 million in shares of our common stock, preferred stock, debt securities, warrants and units or any combination thereof. The 2022 Registration Statement was declared effective by the SEC on October 24, 2022. In April 2023, pursuant to the 2022 Registration Statement, we sold an aggregate of 5,750,000 shares of common stock at a price of $30.00 per share in an underwritten public offering for gross proceeds of $172.5 million, resulting in net proceeds of $161.8 million after deducting underwriting discounts and commissions, and offering costs. On August 5, 2025, we filed the 2025 Registration Statement with the SEC relating to the registration of up to an aggregate of $300.0 million in shares of our common stock, preferred stock, debt securities, warrants and units or any combination thereof to replace the 2022 Registration Statement. The 2025 Registration Statement was declared effective by the SEC on August 15, 2025.</w:t>
      </w:r>
    </w:p>
    <w:p>
      <w:pPr>
        <w:spacing w:after="0" w:line="8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June 2025, we completed an underwritten public offering, in which we issued and sold 19,450,000 shares of common stock at an offering price of $2.00 per share and to a certain investor in lieu of common stock, pre-funded warrants to purchase up to 550,000 shares of common stock at an offering price of $1.9999 per share, and accompanying common warrants to purchase up to 23,000,000 shares of common stock at a per share exercise price of $2.50. Our net proceeds from the offering were approximately $37.2 million, after deducting underwriting discounts and commissions and offering costs of approximately $2.8 million. In July 2025, in connection with the June 2025 underwritten public offering, the underwriters partially exercised their over-allotment option to purchase an additional 1,381,262 shares of common stock at an offering price of $2.00 per share. The net proceeds from the offering pursuant to the over-allotment option were approximately $2.6 million, after deducting underwriting discounts and commissions and offering costs of approximately $0.2 million.</w:t>
      </w:r>
    </w:p>
    <w:p>
      <w:pPr>
        <w:spacing w:after="0" w:line="8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Additionally, we are party to an equity distribution agreement, dated November 25, 2022, with Piper Sandler with respect to the 2022 ATM Program, under which we may offer and sell, from time to time at our sole discretion, shares of our common stock having an aggregate offering price of up to $100.0 million (which was included in the $350.0 million originally registered under the 2022 Registration Statement and is now included in the $300.0 million originally registered under the 2025 Registration Statement) through Piper Sandler as the sales agent. Through March 31, 2026, we have received aggregate proceeds from our 2022 ATM Program of $4.9 million, net of commissions and offering costs, pursuant to the issuance of 2,271,122 shares. As of March 31, 2026, we have $94.8 million available under the 2022 ATM Program.</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October 2025, we completed an underwritten public offering in which we issued and sold 11,195,121 shares of common stock at an offering price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$2.05 per share and, to a certain investor in lieu of common stock, pre-funded warrants to purchase up to 1,000,000 shares of common stock at an offering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of $2.0499 per share and accompanying common warrants to purchase up to 12,195,121 shares of common stock at a per share exercise price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$2.50. Our net proceeds from the offering, including the proceeds from the underwriter’s over-allotment option, were approximately $23.1 million, after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deducting underwriting discounts and commissions and offering costs of approximately $1.9 million.</w:t>
      </w:r>
    </w:p>
    <w:p>
      <w:pPr>
        <w:spacing w:after="0" w:line="9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As of March 31, 2026, we had cash, cash equivalents, and restricted cash of $45.1 million and an accumulated deficit of $461.5 million. We have incurred substantial operating losses and have used cash in our operating activities since inception. Without any future financing, the current operating plan under the existing cash and cash equivalents, and restricted cash as of March 31, 2026, will only be sufficient to fund our operations into the first quarter of 2027. Our ability to continue as a going concern will require us to obtain additional financing to fund our operations and there can be no assurance that additional financing will be available to us or that such financing, if available, will be available on terms acceptable to us. Accordingly, there is substantial doubt about our ability to continue as a going concern.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Funding Requirements</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will continue to require additional capital to develop our product candidates and fund operations for the foreseeable future. We may seek to raise capital through public or private equity offerings, debt financings, collaborations and licensing arrangements or other sources. Adequate additional funding may not be available to us on acceptable terms or at all. Our failure to raise capital as and when needed could have a negative impact on our financial condition and our ability to pursue our business strategies. We anticipate that we will need to raise substantial additional capital, the requirements of which will depend on many factors, including:</w:t>
      </w:r>
    </w:p>
    <w:p>
      <w:pPr>
        <w:spacing w:after="0" w:line="75" w:lineRule="exact"/>
        <w:rPr>
          <w:sz w:val="20"/>
          <w:szCs w:val="20"/>
          <w:color w:val="auto"/>
        </w:rPr>
      </w:pPr>
    </w:p>
    <w:p>
      <w:pPr>
        <w:ind w:left="260" w:right="80" w:hanging="252"/>
        <w:spacing w:after="0" w:line="282" w:lineRule="auto"/>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timing, progress, duration, costs and results of our clinical trials, drug discovery, preclinical development activities and laboratory testing for our product candidates;</w:t>
      </w:r>
    </w:p>
    <w:p>
      <w:pPr>
        <w:spacing w:after="0" w:line="5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clinical programs we decide to pursue;</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3" w:name="page24"/>
    <w:bookmarkEnd w:id="23"/>
    <w:p>
      <w:pPr>
        <w:ind w:left="260" w:hanging="252"/>
        <w:spacing w:after="0"/>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and costs of manufacturing development and commercial manufacturing activities;</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discover and develop additional product candidates;</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establishing sales and marketing capabilities, if any of our product candidates receive marketing approval;</w:t>
      </w:r>
    </w:p>
    <w:p>
      <w:pPr>
        <w:spacing w:after="0" w:line="117" w:lineRule="exact"/>
        <w:rPr>
          <w:rFonts w:ascii="Times New Roman" w:cs="Times New Roman" w:eastAsia="Times New Roman" w:hAnsi="Times New Roman"/>
          <w:sz w:val="18"/>
          <w:szCs w:val="18"/>
          <w:color w:val="auto"/>
        </w:rPr>
      </w:pPr>
    </w:p>
    <w:p>
      <w:pPr>
        <w:ind w:left="260" w:right="220" w:hanging="252"/>
        <w:spacing w:after="0" w:line="282" w:lineRule="auto"/>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5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 on favorable terms, if at all;</w:t>
      </w:r>
    </w:p>
    <w:p>
      <w:pPr>
        <w:spacing w:after="0" w:line="117" w:lineRule="exact"/>
        <w:rPr>
          <w:rFonts w:ascii="Times New Roman" w:cs="Times New Roman" w:eastAsia="Times New Roman" w:hAnsi="Times New Roman"/>
          <w:sz w:val="18"/>
          <w:szCs w:val="18"/>
          <w:color w:val="auto"/>
        </w:rPr>
      </w:pPr>
    </w:p>
    <w:p>
      <w:pPr>
        <w:ind w:left="260" w:right="40" w:hanging="252"/>
        <w:spacing w:after="0" w:line="282" w:lineRule="auto"/>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or other arrangements into which we may enter in the future, including the timing of receipt of any milestone or royalty payments under these agreements;</w:t>
      </w:r>
    </w:p>
    <w:p>
      <w:pPr>
        <w:spacing w:after="0" w:line="5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sales from our potential products;</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and ability to hire additional management, scientific and medical personnel;</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implement additional internal systems and infrastructure, including financial and reporting systems;</w:t>
      </w:r>
    </w:p>
    <w:p>
      <w:pPr>
        <w:spacing w:after="0" w:line="117" w:lineRule="exact"/>
        <w:rPr>
          <w:rFonts w:ascii="Times New Roman" w:cs="Times New Roman" w:eastAsia="Times New Roman" w:hAnsi="Times New Roman"/>
          <w:sz w:val="18"/>
          <w:szCs w:val="18"/>
          <w:color w:val="auto"/>
        </w:rPr>
      </w:pPr>
    </w:p>
    <w:p>
      <w:pPr>
        <w:ind w:left="260" w:right="80" w:hanging="252"/>
        <w:spacing w:after="0" w:line="282" w:lineRule="auto"/>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enhance operational systems and our ability to attract, hire and retain qualified personnel, including personnel to support the development of our product candidates;</w:t>
      </w:r>
    </w:p>
    <w:p>
      <w:pPr>
        <w:spacing w:after="0" w:line="5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being a public company;</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associated with commercializing our product candidates, if they receive regulatory approval;</w:t>
      </w:r>
    </w:p>
    <w:p>
      <w:pPr>
        <w:spacing w:after="0" w:line="117" w:lineRule="exact"/>
        <w:rPr>
          <w:rFonts w:ascii="Times New Roman" w:cs="Times New Roman" w:eastAsia="Times New Roman" w:hAnsi="Times New Roman"/>
          <w:sz w:val="18"/>
          <w:szCs w:val="18"/>
          <w:color w:val="auto"/>
        </w:rPr>
      </w:pPr>
    </w:p>
    <w:p>
      <w:pPr>
        <w:ind w:left="260" w:right="220" w:hanging="252"/>
        <w:spacing w:after="0" w:line="282" w:lineRule="auto"/>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collaborations and other similar partnerships for the development and commercialization of our product candidates; and</w:t>
      </w:r>
    </w:p>
    <w:p>
      <w:pPr>
        <w:spacing w:after="0" w:line="53" w:lineRule="exact"/>
        <w:rPr>
          <w:rFonts w:ascii="Times New Roman" w:cs="Times New Roman" w:eastAsia="Times New Roman" w:hAnsi="Times New Roman"/>
          <w:sz w:val="18"/>
          <w:szCs w:val="18"/>
          <w:color w:val="auto"/>
        </w:rPr>
      </w:pPr>
    </w:p>
    <w:p>
      <w:pPr>
        <w:ind w:left="260" w:right="60" w:hanging="252"/>
        <w:spacing w:after="0" w:line="282" w:lineRule="auto"/>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global health emergency and adverse global economic conditions on our business, which may exacerbate the magnitude of the factors discussed above.</w:t>
      </w:r>
    </w:p>
    <w:p>
      <w:pPr>
        <w:spacing w:after="0" w:line="5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If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 If we are unable to raise additional funds when needed, we may be required to delay, reduce, or terminate some or all of our development programs and clinical trials. We may also be required to sell or license to others rights to our product candidates in certain territories or indications that we would prefer to develop and commercialize ourselves.</w:t>
      </w:r>
    </w:p>
    <w:p>
      <w:pPr>
        <w:spacing w:after="0" w:line="79" w:lineRule="exact"/>
        <w:rPr>
          <w:sz w:val="20"/>
          <w:szCs w:val="20"/>
          <w:color w:val="auto"/>
        </w:rPr>
      </w:pPr>
    </w:p>
    <w:p>
      <w:pPr>
        <w:ind w:right="580"/>
        <w:spacing w:after="0" w:line="375" w:lineRule="auto"/>
        <w:rPr>
          <w:sz w:val="20"/>
          <w:szCs w:val="20"/>
          <w:color w:val="auto"/>
        </w:rPr>
      </w:pPr>
      <w:r>
        <w:rPr>
          <w:rFonts w:ascii="Times New Roman" w:cs="Times New Roman" w:eastAsia="Times New Roman" w:hAnsi="Times New Roman"/>
          <w:sz w:val="18"/>
          <w:szCs w:val="18"/>
          <w:color w:val="auto"/>
        </w:rPr>
        <w:t xml:space="preserve">See the section of this Quarterly Report on Form 10-Q titled “Risk Factors” for additional risks associated with our substantial capital requirements. </w:t>
      </w:r>
      <w:r>
        <w:rPr>
          <w:rFonts w:ascii="Times New Roman" w:cs="Times New Roman" w:eastAsia="Times New Roman" w:hAnsi="Times New Roman"/>
          <w:sz w:val="18"/>
          <w:szCs w:val="18"/>
          <w:b w:val="1"/>
          <w:bCs w:val="1"/>
          <w:i w:val="1"/>
          <w:iCs w:val="1"/>
          <w:color w:val="auto"/>
        </w:rPr>
        <w:t>Summary Statement of Cash Flows</w:t>
      </w:r>
    </w:p>
    <w:p>
      <w:pPr>
        <w:spacing w:after="0" w:line="1"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primary sources and uses of cash, cash equivalents, and restricted cash for each of the periods presented below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7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706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706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7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10"/>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1160" w:type="dxa"/>
            <w:vAlign w:val="bottom"/>
          </w:tcPr>
          <w:p>
            <w:pPr>
              <w:jc w:val="right"/>
              <w:ind w:right="99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(11,669)</w:t>
            </w:r>
          </w:p>
        </w:tc>
        <w:tc>
          <w:tcPr>
            <w:tcW w:w="8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(25,667)</w:t>
            </w:r>
          </w:p>
        </w:tc>
      </w:tr>
      <w:tr>
        <w:trPr>
          <w:trHeight w:val="216"/>
        </w:trPr>
        <w:tc>
          <w:tcPr>
            <w:tcW w:w="7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11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1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3,252</w:t>
            </w:r>
          </w:p>
        </w:tc>
        <w:tc>
          <w:tcPr>
            <w:tcW w:w="100" w:type="dxa"/>
            <w:vAlign w:val="bottom"/>
          </w:tcPr>
          <w:p>
            <w:pPr>
              <w:spacing w:after="0"/>
              <w:rPr>
                <w:sz w:val="18"/>
                <w:szCs w:val="18"/>
                <w:color w:val="auto"/>
              </w:rPr>
            </w:pPr>
          </w:p>
        </w:tc>
      </w:tr>
      <w:tr>
        <w:trPr>
          <w:trHeight w:val="229"/>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1160" w:type="dxa"/>
            <w:vAlign w:val="bottom"/>
            <w:shd w:val="clear" w:color="auto" w:fill="CFF0FC"/>
          </w:tcPr>
          <w:p>
            <w:pPr>
              <w:jc w:val="right"/>
              <w:ind w:right="99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(11,119)</w:t>
            </w:r>
          </w:p>
        </w:tc>
        <w:tc>
          <w:tcPr>
            <w:tcW w:w="840" w:type="dxa"/>
            <w:vAlign w:val="bottom"/>
            <w:gridSpan w:val="2"/>
            <w:shd w:val="clear" w:color="auto" w:fill="CFF0FC"/>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(22,415)</w:t>
            </w:r>
          </w:p>
        </w:tc>
      </w:tr>
      <w:tr>
        <w:trPr>
          <w:trHeight w:val="20"/>
        </w:trPr>
        <w:tc>
          <w:tcPr>
            <w:tcW w:w="706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-25400</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-8255</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11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was $11.7 million during the three months ended March 31, 2026 and consisted of a net loss of $12.4 million offset by increase in net assets of $1.0 million and non-cash adjustments of $1.7 million. The increase in net assets consisted primarily of a decrease in prepaid expenses and other current assets of $1.0 million, a decrease in accrued expenses and other current liabilities of $3.0 million and a decrease in operating lease liabilities of $0.4 million, offset by an increase in accounts payable of $1.4 million. Non-cash adjustments consisted primarily of stock-based compensation expense of $1.6 million, gain on sale</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of property and equipment of $0.5 million and a non-cash loss on the change in fair value of warrant liability of $0.6 million.</w:t>
      </w:r>
    </w:p>
    <w:p>
      <w:pPr>
        <w:spacing w:after="0" w:line="11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was $25.7 million during the three months ended March 31, 2025 and consisted of a net loss of $29.3 million offset by a decrease in net assets of $0.8 million and non-cash adjustments of $4.4 million. The decrease in net assets consisted primarily of an increase in accrued expenses and other current liabilities of $4.0 million, offset by a decrease in accounts payable of $5.2 million, decrease in prepaid expenses of $1.2 million and a decrease in operating lease liabilities of $0.8 million. Non-cash adjustments consisted primarily of stock-based compensation expense of $3.2 million, operating lease expense of $0.8 million and depreciation expense of $0.5 million.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Investing Activities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investing activities was $0.6 million during the three months ended March 31, 2026.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investing activities was $0.0 million during the three months ended March 31, 2025.</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financing activities was $0.0 million during the three months ended March 31, 2026.</w:t>
      </w:r>
    </w:p>
    <w:p>
      <w:pPr>
        <w:spacing w:after="0" w:line="11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$3.3 million during the three months ended March 31, 2025 and relates to proceeds from of issuances of common stock under our 2022 ATM Program.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As of March 31, 2026, there have been no material changes from the contractual obligations and commitments as of December 31, 2025 previously disclosed in our Annual Report on Form 10-K filed with the SEC on March 24, 2026.</w:t>
      </w:r>
    </w:p>
    <w:p>
      <w:pPr>
        <w:spacing w:after="0" w:line="5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in the rules and regulations of the SEC.</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Significant Judgments and Use of Estimates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financial statements have been prepared in accordance with GAAP. The preparation of these unaudited condensed financial statements requires us to make estimates and assumptions that affect the reported amounts of assets and liabilities and the disclosure of contingent assets and liabilities at the date of the unaudited condensed financial statements, as well as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spacing w:after="0" w:line="8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Our critical accounting policies are described in the section titled “Management’s Discussion and Analysis of Financial Condition and Results of Operations—Critical Accounting Estimates” in our Annual Report on Form 10-K filed with the SEC on March 24, 2026 and the notes to the financial statements appearing elsewhere in this Quarterly Report on Form 10-Q. During the three months ended March 31, 2026, except as described in Note 2 to the unaudited condensed financial statements appearing elsewhere in this Quarterly Report on Form 10-Q, there were no material changes to our critical accounting policies from those discussed in our Annual Report on Form 10-K filed with the SEC on March 24, 2026.</w:t>
      </w:r>
    </w:p>
    <w:p>
      <w:pPr>
        <w:spacing w:after="0" w:line="2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primary objectives of our investment activities are to ensure liquidity and to preserve capital. We are exposed to market risks in the ordinary course of our business. These risks primarily include interest rate sensitivities. There was no material foreign currency risk for the quarter ended March 31, 2026. We held $45.1 million in cash, cash equivalents, and restricted cash as of March 31, 2026. Cash equivalents consisted of money market funds. Restricted cash consisted of two stand-by letters of credit issued to our landlord in connection with the lab leases. We held no interest-bearing liabilities as of March 31, 2026. Historical fluctuations in interest rates have not been significant for us. Due to the short-term maturities of our cash equivalents, an immediate 10% relative change in interest rates would not have a material effect on the fair market value of our cash equivalents.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management, under the supervision and with the participation of our Interim Chief Executive Officer and our President and Chief Operating Officer, our principal executive officer and principal financial officer, respectively, conducted an evaluation of the effectiveness of the design and operation of our disclosure controls and procedures, as defined in Rules 13a-15(e) and 15d-15(e) under the Exchange Act as of the end of the period covered by this Quarterly Report on Form 10-Q. Based on this evaluation, our principal executive officer and principal financial officer have concluded that as of such date our disclosure controls and procedures were effective at a reasonable assurance level (i) to ensure that information that we are required to disclose in reports that we file or submit under the Exchange Act is recorded, processed, summarized and reported within the time periods specified in SEC rules and forms and (ii) to ensure that information required to be disclosed by us in reports filed or submitted under the Exchange Act is accumulated and communicated to our management, including our principal executive officer and principal financial officer, as appropriate, to allow timely decisions regarding required disclosures.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spacing w:after="0" w:line="222" w:lineRule="exact"/>
        <w:rPr>
          <w:sz w:val="20"/>
          <w:szCs w:val="20"/>
          <w:color w:val="auto"/>
        </w:rPr>
      </w:pPr>
      <w:r>
        <w:rPr>
          <w:rFonts w:ascii="Times New Roman" w:cs="Times New Roman" w:eastAsia="Times New Roman" w:hAnsi="Times New Roman"/>
          <w:sz w:val="18"/>
          <w:szCs w:val="18"/>
          <w:color w:val="auto"/>
        </w:rPr>
        <w:t>There was no change in our internal control over financial reporting during the quarter ended March 31, 2026 identified in connection with the evaluation required by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15(d)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15(d) of the Exchange Act that has materially affected, or is reasonably likely to materially affect, our internal control over financial reporting.</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arising in the ordinary course of our business. We are not currently a party to any material legal proceedings. Regardless of outcome, litigation can have an adverse impact on us due to defense and settlement costs, diversion of management resources, negative publicity, reputational harm and other factors.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Our business is subject to various risks and uncertainties, including those described below, that we believe apply to our business and the industry in which we operate. You should carefully consider these risks, as well as the other information in this Quarterly Report on Form 10-Q, including our unaudited condensed financial statements and the related notes and “Management’s Discussion and Analysis of Financial Condition and Results of Operations.” The occurrence of any of the events or developments described below could have a material adverse effect on our business, results of operations, financial condition, prospects and stock price. Additional risks and uncertainties not presently known to us or that we currently deem immaterial may also impair our business.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Limited Operating History, Business, Financial Condition, Results of Operations, and Need for Additional Capital</w:t>
      </w:r>
    </w:p>
    <w:p>
      <w:pPr>
        <w:spacing w:after="0" w:line="117"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limited experience in conducting clinical trials, have not completed the clinical development of any product candidates, have no products approved for commercial sale, and have not generated any revenue, which may make it difficult for you to evaluate our current business and likelihood of success and viability.</w:t>
      </w:r>
    </w:p>
    <w:p>
      <w:pPr>
        <w:spacing w:after="0" w:line="6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are a clinical-stage biotechnology company with a limited operating history with which investors can evaluate our business and prospects. We commenced operations in August 2017, have not completed the clinical development of any product candidates, have no products approved for commercial sale and have never generated any revenue, and our operations to date have been primarily limited to organizing and staffing our company, business planning, raising capital, conducting discovery and research activities, filing patent applications, identifying potential product candidates, undertaking preclinical studies, preparing for and initiating our initial clinical trials, and establishing arrangements with third parties for the manufacture of initial quantities of product candidates. Our lead product candidate, icovamenib, is currently under investigation in Phase II clinical trials in type 2 diabetes and recently concluded a Phase II clinical trial in type 1 diabetes. In September 2025, we announced that we received IND clearance from the FDA for BMF-650, and initiated our ongoing Phase I clinical trial in obese, otherwise healthy volunteers.</w:t>
      </w:r>
    </w:p>
    <w:p>
      <w:pPr>
        <w:spacing w:after="0" w:line="8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have limited experience as a company in conducting clinical trials and have not successfully completed the clinical development of any product candidates to date. Consequently, any predictions you make about our future success or viability may not be as accurate as they could be if we had a longer operating history.</w:t>
      </w:r>
    </w:p>
    <w:p>
      <w:pPr>
        <w:spacing w:after="0" w:line="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as a company with a limited operating history, we may encounter unforeseen expenses, difficulties, complications, delays, and other known and unknown factors. We will need to transition at some point from a company with a research and development focus to a company capable of supporting commercial activities. We have not yet demonstrated an ability to successfully overcome such risks and difficulties, or to make such a transition. If we do not adequately address these risks and difficulties or successfully make such a transition, our business will suffer.</w:t>
      </w:r>
    </w:p>
    <w:p>
      <w:pPr>
        <w:spacing w:after="0" w:line="72"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We expect our financial condition and results of operations to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significant net losses in each period since our inception, and we expect to incur significant net losses for the foreseeable future.</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Investment in biopharmaceutical product development is a highly speculative undertaking and entails substantial upfront capital expenditures and significant risk that any potential product candidate will fail to demonstrate adequate efficacy or an acceptable safety profile, gain regulatory approval, and become commercially viable. We are early in our development efforts and have not yet completed the development of any of our product candidates. We have no products approved for commercial sale and have not generated any revenue from product sales to date, and we continue to incur significant research and development and other expenses related to our ongoing operations. Even if we succeed in receiving marketing approval for and commercializing one or more of our product candidates, we expect that we will continue to incur substantial research and development and other expenses in order to discover, develop and market additional potential products. We have financed our operations primarily through sales of our common stock, warrants and convertible preferred stock.</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7" w:name="page28"/>
    <w:bookmarkEnd w:id="27"/>
    <w:p>
      <w:pPr>
        <w:ind w:right="120"/>
        <w:spacing w:after="0" w:line="258" w:lineRule="auto"/>
        <w:rPr>
          <w:sz w:val="20"/>
          <w:szCs w:val="20"/>
          <w:color w:val="auto"/>
        </w:rPr>
      </w:pPr>
      <w:r>
        <w:rPr>
          <w:rFonts w:ascii="Times New Roman" w:cs="Times New Roman" w:eastAsia="Times New Roman" w:hAnsi="Times New Roman"/>
          <w:sz w:val="18"/>
          <w:szCs w:val="18"/>
          <w:color w:val="auto"/>
        </w:rPr>
        <w:t>We have incurred significant net losses in each reporting period since we commenced operations in August 2017. Our net losses were $12.4 million and $29.3 million for the three months ended March 31, 2026 and 2025, respectively. As of March 31, 2026, we had an accumulated deficit of $461.5 million. Substantially all of our losses have resulted from expenses incurred in connection with our research and development programs and from general and administrative costs associated with our operations. We expect to continue to incur significant losses for the foreseeable future, and we expect these losses to increase substantially if and as we:</w:t>
      </w:r>
    </w:p>
    <w:p>
      <w:pPr>
        <w:spacing w:after="0" w:line="75" w:lineRule="exact"/>
        <w:rPr>
          <w:sz w:val="20"/>
          <w:szCs w:val="20"/>
          <w:color w:val="auto"/>
        </w:rPr>
      </w:pPr>
    </w:p>
    <w:p>
      <w:pPr>
        <w:ind w:left="260" w:hanging="252"/>
        <w:spacing w:after="0"/>
        <w:tabs>
          <w:tab w:leader="none" w:pos="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research and development efforts and submit additional INDs;</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the clinical development of icovamenib for the treatment of patients with type 2 and type 1 diabetes;</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explore the potential clinical utility of icovamenib in other metabolic disorders, including pre-diabetes and obesity;</w:t>
      </w:r>
    </w:p>
    <w:p>
      <w:pPr>
        <w:spacing w:after="0" w:line="117" w:lineRule="exact"/>
        <w:rPr>
          <w:rFonts w:ascii="Times New Roman" w:cs="Times New Roman" w:eastAsia="Times New Roman" w:hAnsi="Times New Roman"/>
          <w:sz w:val="18"/>
          <w:szCs w:val="18"/>
          <w:color w:val="auto"/>
        </w:rPr>
      </w:pPr>
    </w:p>
    <w:p>
      <w:pPr>
        <w:ind w:left="260" w:right="120" w:hanging="252"/>
        <w:spacing w:after="0" w:line="282" w:lineRule="auto"/>
        <w:tabs>
          <w:tab w:leader="none" w:pos="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explore partnerships to further advance our oncology assets (BMF-500, a covalent inhibitor of FLT3, currently in a Phase I study), while concentrating internal resources on metabolic disorders;</w:t>
      </w:r>
    </w:p>
    <w:p>
      <w:pPr>
        <w:spacing w:after="0" w:line="5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clinical development of BMF-650;</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marketing approvals for any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260" w:right="120" w:hanging="252"/>
        <w:spacing w:after="0" w:line="282" w:lineRule="auto"/>
        <w:tabs>
          <w:tab w:leader="none" w:pos="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any delays or encounter any issues with any of the above, including but not limited to failed studies, complex results, safety issues, or other regulatory challenges;</w:t>
      </w:r>
    </w:p>
    <w:p>
      <w:pPr>
        <w:spacing w:after="0" w:line="53" w:lineRule="exact"/>
        <w:rPr>
          <w:rFonts w:ascii="Times New Roman" w:cs="Times New Roman" w:eastAsia="Times New Roman" w:hAnsi="Times New Roman"/>
          <w:sz w:val="18"/>
          <w:szCs w:val="18"/>
          <w:color w:val="auto"/>
        </w:rPr>
      </w:pPr>
    </w:p>
    <w:p>
      <w:pPr>
        <w:ind w:left="260" w:right="1060" w:hanging="252"/>
        <w:spacing w:after="0" w:line="282" w:lineRule="auto"/>
        <w:tabs>
          <w:tab w:leader="none" w:pos="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and scale-up manufacturing capabilities, whether alone or with third parties, to commercialize any product candidates for which we may obtain regulatory approval, if any;</w:t>
      </w:r>
    </w:p>
    <w:p>
      <w:pPr>
        <w:spacing w:after="0" w:line="5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expand, maintain, enforce, and protect our intellectual property portfolio;</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clinical, regulatory, and scientific personnel; and</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as a public company.</w:t>
      </w:r>
    </w:p>
    <w:p>
      <w:pPr>
        <w:spacing w:after="0" w:line="11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biopharmaceutical product development, we are unable to accurately predict the timing or amount of increased expenses we will incur or when, if ever, we will be able to achieve profitability. Even if we succeed in commercializing one or more of our product candidates, we will continue to incur substantial research and development and other expenditures to develop, seek regulatory approval for and market additional product candidates. We may encounter unforeseen expenses, difficulties, complications, delays, and other unknown factors that may adversely affect our business. The size of our future net losses will depend, in part, on the rate of future growth of our expenses and our ability to generate revenue. Our prior losses and expected future losses have had and will continue to have an adverse effect on our stockholders’ equity and working capital.</w:t>
      </w:r>
    </w:p>
    <w:p>
      <w:pPr>
        <w:spacing w:after="0" w:line="75"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not generated any revenue from our product candidates and may never generate revenue or be profitable. Our ability to generate revenue and achieve profitability depends significantly on our ability to achieve several objectives relating to the discovery and development of our product candidates.</w:t>
      </w:r>
    </w:p>
    <w:p>
      <w:pPr>
        <w:spacing w:after="0" w:line="6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Our ability to become profitable depends upon our ability to generate revenue. We have not received marketing approval for any product candidate, and we have not generated any revenue from any product sales or other sources since our inception. We do not expect to generate revenue unless or until we successfully complete preclinical and clinical development and obtain regulatory approval of, and then successfully commercialize, at least one product candidate. Icovamenib, our lead product candidate, is advancing in clinical development. As such, we face significant translational risk as our product candidates advance further in clinical development, and promising results in preclinical studies or early clinical trials may not be replicated in later-stage clinical trials. If approved, icovamenib is not intended as a chronic therapy for insulin deficient diabetes, which could further limit our ability to achieve profitability. All of our current and future product candidates will require preclinical and clinical development, regulatory review and approval, substantial investment, access to sufficient commercial manufacturing capacity, and significant marketing efforts before we can generate any revenue from product sales. Our ability to generate revenue depends on a number of factors, including, but not limited to:</w:t>
      </w:r>
    </w:p>
    <w:p>
      <w:pPr>
        <w:spacing w:after="0" w:line="80" w:lineRule="exact"/>
        <w:rPr>
          <w:sz w:val="20"/>
          <w:szCs w:val="20"/>
          <w:color w:val="auto"/>
        </w:rPr>
      </w:pPr>
    </w:p>
    <w:p>
      <w:pPr>
        <w:ind w:left="260" w:right="40" w:hanging="252"/>
        <w:spacing w:after="0" w:line="282" w:lineRule="auto"/>
        <w:tabs>
          <w:tab w:leader="none" w:pos="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initiation and completion of our preclinical studies and clinical trials for icovamenib, BMF-650 and our future product candidates, which may be significantly slower or cost more than we currently anticipate and will depend substantially upon the performance of third-party contractors;</w:t>
      </w:r>
    </w:p>
    <w:p>
      <w:pPr>
        <w:spacing w:after="0" w:line="53" w:lineRule="exact"/>
        <w:rPr>
          <w:rFonts w:ascii="Times New Roman" w:cs="Times New Roman" w:eastAsia="Times New Roman" w:hAnsi="Times New Roman"/>
          <w:sz w:val="18"/>
          <w:szCs w:val="18"/>
          <w:color w:val="auto"/>
        </w:rPr>
      </w:pPr>
    </w:p>
    <w:p>
      <w:pPr>
        <w:ind w:left="260" w:right="160" w:hanging="252"/>
        <w:spacing w:after="0" w:line="282" w:lineRule="auto"/>
        <w:tabs>
          <w:tab w:leader="none" w:pos="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relationships with CROs and clinical sites for the ongoing clinical and preclinical development of icovamenib, BMF-650 and any future product candidates;</w:t>
      </w:r>
    </w:p>
    <w:p>
      <w:pPr>
        <w:spacing w:after="0" w:line="53" w:lineRule="exact"/>
        <w:rPr>
          <w:rFonts w:ascii="Times New Roman" w:cs="Times New Roman" w:eastAsia="Times New Roman" w:hAnsi="Times New Roman"/>
          <w:sz w:val="18"/>
          <w:szCs w:val="18"/>
          <w:color w:val="auto"/>
        </w:rPr>
      </w:pPr>
    </w:p>
    <w:p>
      <w:pPr>
        <w:ind w:left="260" w:right="580" w:hanging="252"/>
        <w:spacing w:after="0" w:line="282" w:lineRule="auto"/>
        <w:tabs>
          <w:tab w:leader="none" w:pos="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complete IND-enabling studies and successfully submit and receive authorization to proceed under INDs or comparable regulatory applications;</w:t>
      </w:r>
    </w:p>
    <w:p>
      <w:pPr>
        <w:spacing w:after="0" w:line="5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are required by the FDA or other comparable foreign regulatory authorities to conduct additional clinical trials or other</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8" w:name="page29"/>
    <w:bookmarkEnd w:id="28"/>
    <w:p>
      <w:pPr>
        <w:ind w:left="260"/>
        <w:spacing w:after="0"/>
        <w:rPr>
          <w:sz w:val="20"/>
          <w:szCs w:val="20"/>
          <w:color w:val="auto"/>
        </w:rPr>
      </w:pPr>
      <w:r>
        <w:rPr>
          <w:rFonts w:ascii="Times New Roman" w:cs="Times New Roman" w:eastAsia="Times New Roman" w:hAnsi="Times New Roman"/>
          <w:sz w:val="18"/>
          <w:szCs w:val="18"/>
          <w:color w:val="auto"/>
        </w:rPr>
        <w:t>studies beyond those planned to support the approval and commercialization of our product candidates or any future product candidates;</w:t>
      </w:r>
    </w:p>
    <w:p>
      <w:pPr>
        <w:spacing w:after="0" w:line="117" w:lineRule="exact"/>
        <w:rPr>
          <w:sz w:val="20"/>
          <w:szCs w:val="20"/>
          <w:color w:val="auto"/>
        </w:rPr>
      </w:pPr>
    </w:p>
    <w:p>
      <w:pPr>
        <w:ind w:left="260" w:right="280" w:hanging="252"/>
        <w:spacing w:after="0" w:line="282" w:lineRule="auto"/>
        <w:tabs>
          <w:tab w:leader="none" w:pos="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demonstrate to the satisfaction of the FDA and comparable foreign regulatory authorities the safety, efficacy, consistent manufacturing quality, and acceptable risk-benefit profile of our novel small molecule product candidates or any future product candidates;</w:t>
      </w:r>
    </w:p>
    <w:p>
      <w:pPr>
        <w:spacing w:after="0" w:line="53" w:lineRule="exact"/>
        <w:rPr>
          <w:rFonts w:ascii="Times New Roman" w:cs="Times New Roman" w:eastAsia="Times New Roman" w:hAnsi="Times New Roman"/>
          <w:sz w:val="18"/>
          <w:szCs w:val="18"/>
          <w:color w:val="auto"/>
        </w:rPr>
      </w:pPr>
    </w:p>
    <w:p>
      <w:pPr>
        <w:ind w:left="260" w:right="760" w:hanging="252"/>
        <w:spacing w:after="0" w:line="282" w:lineRule="auto"/>
        <w:tabs>
          <w:tab w:leader="none" w:pos="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duration, and severity of potential side effects or other safety issues experienced with our product candidates or future product candidates, if any;</w:t>
      </w:r>
    </w:p>
    <w:p>
      <w:pPr>
        <w:spacing w:after="0" w:line="5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receipt of necessary regulatory approvals from the FDA and comparable foreign regulatory authorities;</w:t>
      </w:r>
    </w:p>
    <w:p>
      <w:pPr>
        <w:spacing w:after="0" w:line="117" w:lineRule="exact"/>
        <w:rPr>
          <w:rFonts w:ascii="Times New Roman" w:cs="Times New Roman" w:eastAsia="Times New Roman" w:hAnsi="Times New Roman"/>
          <w:sz w:val="18"/>
          <w:szCs w:val="18"/>
          <w:color w:val="auto"/>
        </w:rPr>
      </w:pPr>
    </w:p>
    <w:p>
      <w:pPr>
        <w:ind w:left="260" w:right="540" w:hanging="252"/>
        <w:spacing w:after="0" w:line="282" w:lineRule="auto"/>
        <w:tabs>
          <w:tab w:leader="none" w:pos="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physicians, operators of clinics, and patients to utilize or adopt any of our product candidates or future product candidates over alternative or more conventional therapies;</w:t>
      </w:r>
    </w:p>
    <w:p>
      <w:pPr>
        <w:spacing w:after="0" w:line="53" w:lineRule="exact"/>
        <w:rPr>
          <w:rFonts w:ascii="Times New Roman" w:cs="Times New Roman" w:eastAsia="Times New Roman" w:hAnsi="Times New Roman"/>
          <w:sz w:val="18"/>
          <w:szCs w:val="18"/>
          <w:color w:val="auto"/>
        </w:rPr>
      </w:pPr>
    </w:p>
    <w:p>
      <w:pPr>
        <w:ind w:left="260" w:right="20" w:hanging="252"/>
        <w:spacing w:after="0" w:line="282" w:lineRule="auto"/>
        <w:tabs>
          <w:tab w:leader="none" w:pos="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and perceived availability, cost, risk profile and side effects and efficacy of our product candidates, if approved, relative to existing and future alternative therapies in our target indications, including diabetes and obesity, and competitive product candidates and technologies;</w:t>
      </w:r>
    </w:p>
    <w:p>
      <w:pPr>
        <w:spacing w:after="0" w:line="53" w:lineRule="exact"/>
        <w:rPr>
          <w:rFonts w:ascii="Times New Roman" w:cs="Times New Roman" w:eastAsia="Times New Roman" w:hAnsi="Times New Roman"/>
          <w:sz w:val="18"/>
          <w:szCs w:val="18"/>
          <w:color w:val="auto"/>
        </w:rPr>
      </w:pPr>
    </w:p>
    <w:p>
      <w:pPr>
        <w:ind w:left="260" w:right="20" w:hanging="252"/>
        <w:spacing w:after="0" w:line="266" w:lineRule="auto"/>
        <w:tabs>
          <w:tab w:leader="none" w:pos="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ability of third parties with whom we contract to manufacture adequate clinical and commercial supplies of our product candidates or any future product candidates, remain in good standing with regulatory authorities and develop, validate and maintain commercially viable manufacturing processes that are compliant with cGMP;</w:t>
      </w:r>
    </w:p>
    <w:p>
      <w:pPr>
        <w:spacing w:after="0" w:line="67" w:lineRule="exact"/>
        <w:rPr>
          <w:rFonts w:ascii="Times New Roman" w:cs="Times New Roman" w:eastAsia="Times New Roman" w:hAnsi="Times New Roman"/>
          <w:sz w:val="18"/>
          <w:szCs w:val="18"/>
          <w:color w:val="auto"/>
        </w:rPr>
      </w:pPr>
    </w:p>
    <w:p>
      <w:pPr>
        <w:ind w:left="260" w:right="160" w:hanging="252"/>
        <w:spacing w:after="0" w:line="266" w:lineRule="auto"/>
        <w:tabs>
          <w:tab w:leader="none" w:pos="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develop a commercial strategy and thereafter commercialize our product candidates or any future product candidates in the United States and internationally, if approved for marketing, reimbursement, sale and distribution in such countries and territories, whether alone or in collaboration with others;</w:t>
      </w:r>
    </w:p>
    <w:p>
      <w:pPr>
        <w:spacing w:after="0" w:line="6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demand for our current product candidates and any future product candidates, if approved;</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enforce intellectual property rights in and to our product candidates or any future product candidates;</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coverage and adequate reimbursement by third-party payors for our product candidates;</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competing therapies and technological and market developments; and</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hiring, and retaining qualified personnel.</w:t>
      </w:r>
    </w:p>
    <w:p>
      <w:pPr>
        <w:spacing w:after="0" w:line="11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Many of the factors listed above are beyond our control and could cause us to experience significant delays or prevent us from obtaining regulatory approvals or commercializing our product candidates. Even if we are able to commercialize our product candidates, we may not achieve profitability soon after generating product sales, if ever. If we are unable to generate sufficient revenue through the sale of our product candidates or any future product candidates, we may be unable to continue operations without adequate funding.</w:t>
      </w:r>
    </w:p>
    <w:p>
      <w:pPr>
        <w:spacing w:after="0" w:line="68"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Due to the significant resources required for the development of our product candidates, we must prioritize development of certain product candidates and/or certain indications. We may expend our limited resources to pursue a particular product candidate or indication and fail to capitalize on product candidates or indications that may be more profitable or for which there is a greater likelihood of success.</w:t>
      </w:r>
    </w:p>
    <w:p>
      <w:pPr>
        <w:spacing w:after="0" w:line="67"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We are currently focused on the development of novel small molecules to treat patients with diabetes and obesity. Although we had previously pursued the development of icovamenib in cancer and metabolic diseases, in January 2025, we announced that our strategic focus for icovamenib will be in metabolic disorders and that we will conclude our studies exploring BMF 500’s potential in oncology and explore partnerships to advance our oncology assets.</w:t>
      </w:r>
    </w:p>
    <w:p>
      <w:pPr>
        <w:spacing w:after="0" w:line="6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decisions concerning the allocation of research, development, collaboration, management, and financial resources toward particular product candidates or therapeutic areas may not lead to the development of any viable commercial product and may divert resources away from better opportunities with other therapeutic platforms or product candidates or for other indications that later prove to have greater commercial potential or a greater likelihood of success. Our resource allocation decisions may cause us to fail to capitalize on viable commercial products or profitable market opportunities. If we do not accurately evaluate the commercial potential or target market for a particular product candidate, we may relinquish valuable rights to that product candidate through future collaboration, licensing or other royalty arrangements in cases in which it would have been more advantageous for us to retain sole development and commercialization rights. In addition, if our determination to focus our internal resources on the development of icovamenib in metabolic disorders and seek partnerships to advance our oncology assets does not lead to clinical or commercial success, or we otherwise make incorrect determinations regarding the viability or market potential of any of our programs or product candidates or misread trends in the diabetes or obesity disease treatment landscape or in the pharmaceutical, biopharmaceutical or biotechnology industry more generally, our business, financial condition and results of operations could be materially adversely affected.</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9" w:name="page30"/>
    <w:bookmarkEnd w:id="29"/>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capital to finance our operations. If we are unable to raise such capital when needed, or on acceptable terms, we may be forced to delay, reduce and/or eliminate one or more of our research and product development programs or future commercialization efforts.</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Since our inception, we have used substantial amounts of cash to fund our operations, and our expenses will increase substantially in the foreseeable future in connection with our ongoing activities, particularly as we continue the research and development of, initiate and conduct clinical trials of, and seek marketing approval for our product candidates. Developing biopharmaceutical products, including conducting preclinical studies and clinical trials, is a very time-consuming, expensive and uncertain process that takes years to complete. Our operations have consumed significant amounts of cash since inception, and we expect our expenses to increase in connection with our ongoing activities, particularly as we conduct clinical trials of, and seek marketing approval for our current product candidates and advance our future product candidates. Even if one or more of the product candidates that we develop is approved for commercial sale, we anticipate incurring significant costs associated with sales, marketing, manufacturing, and distribution activities. Our expenses could increase beyond expectations if we are required by the FDA or other regulatory agencies to perform preclinical studies or clinical trials in addition to those that we currently anticipate. Other unanticipated costs may also arise. Because the design and outcome of our ongoing and planned clinical trials are highly uncertain, we cannot reasonably estimate the actual amount of resources and funding that will be necessary to successfully complete the development and commercialization of any product candidate we develop. We also expect to incur additional costs associated with our continuing operation as a public company. Accordingly, we will need to obtain substantial additional funding in order to continue our operations.</w:t>
      </w:r>
    </w:p>
    <w:p>
      <w:pPr>
        <w:spacing w:after="0" w:line="82"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As of March 31, 2026 we had $45.1 million in cash, cash equivalents, and restricted cash. Based on our current operating plan, we believe that our existing cash and cash equivalents, and restricted cash as of March 31, 2026, without any future financing, will not be sufficient for us to continue as a going concern for at least one year from the issuance date of the unaudited condensed financial statements appearing elsewhere in this Quarterly Report on Form 10-Q. Our estimate as to how long we expect our existing capital resources to be able to continue to fund our operations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 through public or private equity offerings, debt financings, collaborations and licensing arrangements or other sources. Such financing may dilute our stockholders or restrict our operating activities. To the extent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 If we are unable to raise additional funds when needed, we may be required to delay, reduce, or terminate some or all of our development programs and clinical trials. We may also be required to sell or license other rights to our product candidates in certain territories or indications that we would prefer to develop and commercialize ourselves. In addition, we may seek additional capital due to favorable market conditions or strategic considerations even if we believe we have sufficient funds for our current or future operating plans.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capital requirements depend on many factors, including but not limited to:</w:t>
      </w:r>
    </w:p>
    <w:p>
      <w:pPr>
        <w:spacing w:after="0" w:line="117" w:lineRule="exact"/>
        <w:rPr>
          <w:sz w:val="20"/>
          <w:szCs w:val="20"/>
          <w:color w:val="auto"/>
        </w:rPr>
      </w:pPr>
    </w:p>
    <w:p>
      <w:pPr>
        <w:ind w:left="260" w:right="20" w:hanging="252"/>
        <w:spacing w:after="0" w:line="282" w:lineRule="auto"/>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timing, progress, duration, costs and results of our clinical trials, drug discovery, preclinical development activities, and laboratory testing for our product candidates;</w:t>
      </w:r>
    </w:p>
    <w:p>
      <w:pPr>
        <w:spacing w:after="0" w:line="5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clinical programs we decide to pursue;</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and costs of manufacturing development and commercial manufacturing activities;</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discover and develop additional product candidates;</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establishing sales and marketing capabilities, if any of our product candidates receive marketing approval;</w:t>
      </w:r>
    </w:p>
    <w:p>
      <w:pPr>
        <w:spacing w:after="0" w:line="117" w:lineRule="exact"/>
        <w:rPr>
          <w:rFonts w:ascii="Times New Roman" w:cs="Times New Roman" w:eastAsia="Times New Roman" w:hAnsi="Times New Roman"/>
          <w:sz w:val="18"/>
          <w:szCs w:val="18"/>
          <w:color w:val="auto"/>
        </w:rPr>
      </w:pPr>
    </w:p>
    <w:p>
      <w:pPr>
        <w:ind w:left="260" w:right="120" w:hanging="252"/>
        <w:spacing w:after="0" w:line="282" w:lineRule="auto"/>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5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 on favorable terms, if at all;</w:t>
      </w:r>
    </w:p>
    <w:p>
      <w:pPr>
        <w:spacing w:after="0" w:line="117" w:lineRule="exact"/>
        <w:rPr>
          <w:rFonts w:ascii="Times New Roman" w:cs="Times New Roman" w:eastAsia="Times New Roman" w:hAnsi="Times New Roman"/>
          <w:sz w:val="18"/>
          <w:szCs w:val="18"/>
          <w:color w:val="auto"/>
        </w:rPr>
      </w:pPr>
    </w:p>
    <w:p>
      <w:pPr>
        <w:ind w:left="260" w:right="40" w:hanging="252"/>
        <w:spacing w:after="0" w:line="282" w:lineRule="auto"/>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or other arrangements into which we may enter in the future, including the timing of receipt of any milestone or royalty payments under these agreements;</w:t>
      </w:r>
    </w:p>
    <w:p>
      <w:pPr>
        <w:spacing w:after="0" w:line="5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sales from our potential products;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0" w:name="page31"/>
    <w:bookmarkEnd w:id="30"/>
    <w:p>
      <w:pPr>
        <w:ind w:left="260" w:hanging="252"/>
        <w:spacing w:after="0"/>
        <w:tabs>
          <w:tab w:leader="none" w:pos="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and ability to hire additional management, scientific, and medical personnel;</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implement additional internal systems and infrastructure, including financial and reporting systems;</w:t>
      </w:r>
    </w:p>
    <w:p>
      <w:pPr>
        <w:spacing w:after="0" w:line="117" w:lineRule="exact"/>
        <w:rPr>
          <w:rFonts w:ascii="Times New Roman" w:cs="Times New Roman" w:eastAsia="Times New Roman" w:hAnsi="Times New Roman"/>
          <w:sz w:val="18"/>
          <w:szCs w:val="18"/>
          <w:color w:val="auto"/>
        </w:rPr>
      </w:pPr>
    </w:p>
    <w:p>
      <w:pPr>
        <w:ind w:left="260" w:hanging="252"/>
        <w:spacing w:after="0" w:line="282" w:lineRule="auto"/>
        <w:tabs>
          <w:tab w:leader="none" w:pos="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enhance operational systems and our ability to attract, hire, and retain qualified personnel, including personnel to support the development of our product candidates;</w:t>
      </w:r>
    </w:p>
    <w:p>
      <w:pPr>
        <w:spacing w:after="0" w:line="5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being a public company;</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associated with commercializing our product candidates, if they receive regulatory approval;</w:t>
      </w:r>
    </w:p>
    <w:p>
      <w:pPr>
        <w:spacing w:after="0" w:line="117" w:lineRule="exact"/>
        <w:rPr>
          <w:rFonts w:ascii="Times New Roman" w:cs="Times New Roman" w:eastAsia="Times New Roman" w:hAnsi="Times New Roman"/>
          <w:sz w:val="18"/>
          <w:szCs w:val="18"/>
          <w:color w:val="auto"/>
        </w:rPr>
      </w:pPr>
    </w:p>
    <w:p>
      <w:pPr>
        <w:ind w:left="260" w:right="180" w:hanging="252"/>
        <w:spacing w:after="0" w:line="282" w:lineRule="auto"/>
        <w:tabs>
          <w:tab w:leader="none" w:pos="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collaborations and other similar partnerships for the development and commercialization of our product candidates; and</w:t>
      </w:r>
    </w:p>
    <w:p>
      <w:pPr>
        <w:spacing w:after="0" w:line="5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adverse global economic conditions on our business, which may exacerbate the magnitude of the factors discussed above.</w:t>
      </w:r>
    </w:p>
    <w:p>
      <w:pPr>
        <w:spacing w:after="0" w:line="11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do not have any committed external source of funds and adequate additional financing may not be available to us on acceptable terms, or at all. In addition, our ability to raise additional capital may be adversely impacted by potential worsening global economic and political conditions, inflationary pressures, increases in interest rates and disruptions to and volatility in the credit and financial markets in the United States and worldwide or other factors.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substantial doubt about our ability to continue as a going concern.</w:t>
      </w:r>
    </w:p>
    <w:p>
      <w:pPr>
        <w:spacing w:after="0" w:line="12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To date, we have not generated any revenues from product sales and have incurred significant operating losses in each year since our inception and we anticipate that losses may continue for the next several years or until such time as we can generate substantial revenues and achieve profitability. In connection with the preparation of this Quarterly Report on Form 10-Q for the period ended March 31, 2026, our management has concluded that there is substantial doubt as to whether we can continue as a going concern for the twelve months following the issuance of this Quarterly Report on Form 10-Q. Our ability to continue as a going concern is dependent upon raising capital to maintain current operations and continue research and development efforts. We plan to raise additional capital to fund our operations through public or private equity offerings, debt financings, and/or potential collaborations and license arrangement or other sources. There is no assurance, however, that any additional financing or any revenue-generating collaboration will be available when needed or that we will be able to obtain financing or enter into a collaboration on terms acceptable to us.</w:t>
      </w:r>
    </w:p>
    <w:p>
      <w:pPr>
        <w:spacing w:after="0" w:line="8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Based on our current operating plan, we will not be able to continue as a going concern over the next twelve months unless we raise additional capital by other means. These factors raise substantial doubt about our ability to continue as a going concern.</w:t>
      </w:r>
    </w:p>
    <w:p>
      <w:pPr>
        <w:spacing w:after="0" w:line="50"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Volatility in capital markets and lower market prices for many securities may affect our ability to access new capital through sales of shares of our common stock or issuance of indebtedness, which may harm our liquidity, limit our ability to grow our business, pursue acquisitions or improve our operating infrastructure and restrict our ability to compete in our markets.</w:t>
      </w:r>
    </w:p>
    <w:p>
      <w:pPr>
        <w:spacing w:after="0" w:line="6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operations consume substantial amounts of cash, and we intend to continue to make significant investments to support our business growth, pursue the preclinical and clinical development of our product candidates, respond to business challenges or opportunities, retain or expand our current levels of personnel, enhance our operating infrastructure, and potentially acquire complementary businesses and technologies. Our future capital requirements may be significantly different from our current estimates and will depend on many factors, including the need to:</w:t>
      </w:r>
    </w:p>
    <w:p>
      <w:pPr>
        <w:spacing w:after="0" w:line="72" w:lineRule="exact"/>
        <w:rPr>
          <w:sz w:val="20"/>
          <w:szCs w:val="20"/>
          <w:color w:val="auto"/>
        </w:rPr>
      </w:pPr>
    </w:p>
    <w:p>
      <w:pPr>
        <w:ind w:left="260" w:hanging="252"/>
        <w:spacing w:after="0"/>
        <w:tabs>
          <w:tab w:leader="none" w:pos="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unanticipated working capital requirements;</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or enhance our technological infrastructure and our existing research and development capabilities;</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acquisitions or other strategic relationships; and</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competitive pressures.</w:t>
      </w:r>
    </w:p>
    <w:p>
      <w:pPr>
        <w:spacing w:after="0" w:line="11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Accordingly, we may need to pursue equity or debt financings to meet our capital needs. With uncertainty in the capital markets and other factors, such financing may not be available on terms favorable to us or at all.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debt financing secured by us in the future could require us to pay significant interest on borrowings or involve additional restrictive covenants relating to our capital-raising activities and other financial and operational matters, which may make it more difficult for us to obtain additional capital and to pursue business opportunities, including potential acquisitions. Our inability to obtain adequate financing or financing on terms satisfactory to us could have a negative impact on our financial condition and we could face significant limitations on our ability to pursue our business strategies, and we may have to delay, reduce the scope of, suspend or eliminate one or more of our research-stage programs, clinical trials or future commercialization efforts.</w:t>
      </w: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31" w:name="page32"/>
    <w:bookmarkEnd w:id="31"/>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our financial condition and results of operations.</w:t>
      </w:r>
    </w:p>
    <w:p>
      <w:pPr>
        <w:spacing w:after="0" w:line="67"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such as in the case of the closure and subsequent placement into receivership with the Federal Deposit Insurance Corporation (FDIC) of Silicon Valley Bank (SVB) in March 2023, and may in the future lead to market-wide liquidity problems. In these cases, borrowers under credit agreements, letters of credit and certain other financial instruments with any financial institution that is placed into receivership by the FDIC may be unable to access undrawn amounts thereunder. If any of our suppliers or other parties with whom we conduct business are unable to access funds pursuant to such instruments or lending arrangements with such a financial institution, such parties’ ability to pay their obligations to us or to enter into new commercial arrangements requiring additional payments to us could be adversely affected.</w:t>
      </w:r>
    </w:p>
    <w:p>
      <w:pPr>
        <w:spacing w:after="0" w:line="8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Although we assess our banking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institutions with which we have or may enter into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with which we have or may enter into financial or business relationships, but could also include factors involving financial markets or the financial services industry generally.</w:t>
      </w:r>
    </w:p>
    <w:p>
      <w:pPr>
        <w:spacing w:after="0" w:line="84"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the following:</w:t>
      </w:r>
    </w:p>
    <w:p>
      <w:pPr>
        <w:spacing w:after="0" w:line="54" w:lineRule="exact"/>
        <w:rPr>
          <w:sz w:val="20"/>
          <w:szCs w:val="20"/>
          <w:color w:val="auto"/>
        </w:rPr>
      </w:pPr>
    </w:p>
    <w:p>
      <w:pPr>
        <w:ind w:left="260" w:hanging="252"/>
        <w:spacing w:after="0"/>
        <w:tabs>
          <w:tab w:leader="none" w:pos="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access to deposits or other financial assets or the uninsured loss of deposits or other financial assets;</w:t>
      </w:r>
    </w:p>
    <w:p>
      <w:pPr>
        <w:spacing w:after="0" w:line="117" w:lineRule="exact"/>
        <w:rPr>
          <w:rFonts w:ascii="Times New Roman" w:cs="Times New Roman" w:eastAsia="Times New Roman" w:hAnsi="Times New Roman"/>
          <w:sz w:val="18"/>
          <w:szCs w:val="18"/>
          <w:color w:val="auto"/>
        </w:rPr>
      </w:pPr>
    </w:p>
    <w:p>
      <w:pPr>
        <w:ind w:left="260" w:right="280" w:hanging="252"/>
        <w:spacing w:after="0" w:line="282" w:lineRule="auto"/>
        <w:tabs>
          <w:tab w:leader="none" w:pos="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or lost access to working capital sources and/or delays, inability or reductions in our ability to enter into new credit facilities or access other working capital resources;</w:t>
      </w:r>
    </w:p>
    <w:p>
      <w:pPr>
        <w:spacing w:after="0" w:line="5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or actual breach of contractual obligations that require us to maintain letters of credit or other credit support arrangements; or</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or actual breach of financial covenants in any credit agreements or credit arrangements.</w:t>
      </w:r>
    </w:p>
    <w:p>
      <w:pPr>
        <w:spacing w:after="0" w:line="11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and otherwise have a material adverse impact on our business.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Product Development</w:t>
      </w:r>
    </w:p>
    <w:p>
      <w:pPr>
        <w:spacing w:after="0" w:line="117"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discovery and development activities are focused on the development of novel small molecule therapies, initially targeted at menin, to treat patients with diabetes and obesity, and the approach we are taking to discover and develop such product candidates is novel, may never lead to marketable products and may not ultimately represent a significant market.</w:t>
      </w:r>
    </w:p>
    <w:p>
      <w:pPr>
        <w:spacing w:after="0" w:line="6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discovery and development of small molecule therapies for patients with diabetes and obesity, with a particular focus on menin, is an emerging field. While there is scientific evidence to support the feasibility of developing covalent therapies, the significant complexity and potential safety and toxicity concerns associated with poorly designed covalent binders have historically discouraged drug developers from pursuing this drug class. In particular, a significant risk for toxicity is posed by these small molecule binders if they demonstrate a more promiscuous binding profile than intended, which can potentially cause unacceptable levels of off-target interactions. While we believe the significant expertise, foundational knowledge and capabilities that our management team members have accumulated over their extensive careers and that we have expanded and refined since our inception positions us to overcome such challenges, there can be no assurance that we will be successful. Even if we are able to limit off-target interaction, there can be no assurance that treatment with any of our novel small molecule product candidates will demonstrate the deep inactivation of their targets or offer greater therapeutic windows than conventional non-covalent drugs. It is possible that the targets we select, such as menin, could be effectively and safely treated by more frequent dosing of non-covalent drugs, which could limit the potential advantages or perceived benefits of our covalent and non-covalent product candidates.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lead product candidate, icovamenib, and our next-generation product candidate, BMF-650, are in clinical development. Our</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2" w:name="page33"/>
    <w:bookmarkEnd w:id="32"/>
    <w:p>
      <w:pPr>
        <w:ind w:right="160"/>
        <w:spacing w:after="0" w:line="258" w:lineRule="auto"/>
        <w:rPr>
          <w:sz w:val="20"/>
          <w:szCs w:val="20"/>
          <w:color w:val="auto"/>
        </w:rPr>
      </w:pPr>
      <w:r>
        <w:rPr>
          <w:rFonts w:ascii="Times New Roman" w:cs="Times New Roman" w:eastAsia="Times New Roman" w:hAnsi="Times New Roman"/>
          <w:sz w:val="18"/>
          <w:szCs w:val="18"/>
          <w:color w:val="auto"/>
        </w:rPr>
        <w:t>current data is primarily limited to clinical data in a relatively small patient population for icovamenib, as well as animal models and preclinical cell lines for icovamenib, BMF-500 and BMF-650. These results may not be replicated in larger clinical trials, or, in the case of preclinical data, translate into humans. As such, even if we are able to develop novel small molecule therapy candidates that demonstrate positive results in preclinical studies or early-stage clinical trials, there can be no assurance that such product candidates will subsequently demonstrate significant clinical benefit in vivo or in larger trials or will be well-tolerated.</w:t>
      </w:r>
    </w:p>
    <w:p>
      <w:pPr>
        <w:spacing w:after="0" w:line="71"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early in our development efforts and are substantially dependent on our product candidates, icovamenib and BMF-650. If we are unable to advance icovamenib, BMF-650 or any other product candidates through clinical development, obtain regulatory approval and ultimately commercialize icovamenib, BMF-650 or any other product candidates, or experience significant delays in doing so, our business, financial condition and results of operations will be materially adversely affected.</w:t>
      </w:r>
    </w:p>
    <w:p>
      <w:pPr>
        <w:spacing w:after="0" w:line="7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are early in our development efforts. We have not yet successfully completed clinical testing of our lead product candidate, icovamenib, in human subjects for various types of type 2 diabetes or type 1 diabetes, or our second product candidate, BMF-650, as a next-generation oral GLP-1 RA. Our ability to generate product revenue, which we do not expect will occur for many years, if ever, will depend heavily on the successful clinical development and eventual commercialization of icovamenib or BMF-650. The success of our product candidates will depend on several factors, including the following:</w:t>
      </w:r>
    </w:p>
    <w:p>
      <w:pPr>
        <w:spacing w:after="0" w:line="72" w:lineRule="exact"/>
        <w:rPr>
          <w:sz w:val="20"/>
          <w:szCs w:val="20"/>
          <w:color w:val="auto"/>
        </w:rPr>
      </w:pPr>
    </w:p>
    <w:p>
      <w:pPr>
        <w:ind w:left="260" w:right="20" w:hanging="252"/>
        <w:spacing w:after="0" w:line="266" w:lineRule="auto"/>
        <w:tabs>
          <w:tab w:leader="none" w:pos="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our business operations and product candidate research and development, and adapt to any changes in the regulatory approval process, manufacturing supply or clinical trial requirements, disruptions of staffing and operations at the FDA or other government agencies and timing due to any continued and prolonged public health emergencies;</w:t>
      </w:r>
    </w:p>
    <w:p>
      <w:pPr>
        <w:spacing w:after="0" w:line="6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preclinical studies, regulatory submissions and clinical trials;</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authorization to proceed under INDs for our planned clinical trials or future clinical trials;</w:t>
      </w:r>
    </w:p>
    <w:p>
      <w:pPr>
        <w:spacing w:after="0" w:line="117" w:lineRule="exact"/>
        <w:rPr>
          <w:rFonts w:ascii="Times New Roman" w:cs="Times New Roman" w:eastAsia="Times New Roman" w:hAnsi="Times New Roman"/>
          <w:sz w:val="18"/>
          <w:szCs w:val="18"/>
          <w:color w:val="auto"/>
        </w:rPr>
      </w:pPr>
    </w:p>
    <w:p>
      <w:pPr>
        <w:ind w:left="260" w:right="280" w:hanging="252"/>
        <w:spacing w:after="0" w:line="266" w:lineRule="auto"/>
        <w:tabs>
          <w:tab w:leader="none" w:pos="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initiation, patient enrollment in, and completion of current and future clinical trials, including our ongoing Phase II clinical trial of icovamenib in type 2 diabetes and our Phase II clinical trial of icovamenib in insulin-deficient type 2 diabetes as well as our Phase I clinical trial for BMF-650;</w:t>
      </w:r>
    </w:p>
    <w:p>
      <w:pPr>
        <w:spacing w:after="0" w:line="6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partnerships to further advance our oncology assets;</w:t>
      </w:r>
    </w:p>
    <w:p>
      <w:pPr>
        <w:spacing w:after="0" w:line="117" w:lineRule="exact"/>
        <w:rPr>
          <w:rFonts w:ascii="Times New Roman" w:cs="Times New Roman" w:eastAsia="Times New Roman" w:hAnsi="Times New Roman"/>
          <w:sz w:val="18"/>
          <w:szCs w:val="18"/>
          <w:color w:val="auto"/>
        </w:rPr>
      </w:pPr>
    </w:p>
    <w:p>
      <w:pPr>
        <w:ind w:left="260" w:right="460" w:hanging="252"/>
        <w:spacing w:after="0" w:line="282" w:lineRule="auto"/>
        <w:tabs>
          <w:tab w:leader="none" w:pos="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icovamenib, BMF-650 or any other product candidates that we may identify and pursue will demonstrate safety, tolerability and efficacy profiles that are satisfactory to the FDA or any foreign regulatory authority for marketing approval;</w:t>
      </w:r>
    </w:p>
    <w:p>
      <w:pPr>
        <w:spacing w:after="0" w:line="5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for our product candidates from applicable regulatory authorities;</w:t>
      </w:r>
    </w:p>
    <w:p>
      <w:pPr>
        <w:spacing w:after="0" w:line="117" w:lineRule="exact"/>
        <w:rPr>
          <w:rFonts w:ascii="Times New Roman" w:cs="Times New Roman" w:eastAsia="Times New Roman" w:hAnsi="Times New Roman"/>
          <w:sz w:val="18"/>
          <w:szCs w:val="18"/>
          <w:color w:val="auto"/>
        </w:rPr>
      </w:pPr>
    </w:p>
    <w:p>
      <w:pPr>
        <w:ind w:left="260" w:right="100" w:hanging="252"/>
        <w:spacing w:after="0" w:line="282" w:lineRule="auto"/>
        <w:tabs>
          <w:tab w:leader="none" w:pos="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any required post-marketing approval commitments to applicable regulatory authorities in order to maintain marketing authorization for any of our product candidates that receive regulatory approval;</w:t>
      </w:r>
    </w:p>
    <w:p>
      <w:pPr>
        <w:spacing w:after="0" w:line="5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and regulatory exclusivity for our product candidates;</w:t>
      </w:r>
    </w:p>
    <w:p>
      <w:pPr>
        <w:spacing w:after="0" w:line="117" w:lineRule="exact"/>
        <w:rPr>
          <w:rFonts w:ascii="Times New Roman" w:cs="Times New Roman" w:eastAsia="Times New Roman" w:hAnsi="Times New Roman"/>
          <w:sz w:val="18"/>
          <w:szCs w:val="18"/>
          <w:color w:val="auto"/>
        </w:rPr>
      </w:pPr>
    </w:p>
    <w:p>
      <w:pPr>
        <w:ind w:left="260" w:right="480" w:hanging="252"/>
        <w:spacing w:after="0" w:line="282" w:lineRule="auto"/>
        <w:tabs>
          <w:tab w:leader="none" w:pos="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arrangements with third-party manufacturers, or establishing manufacturing capabilities, for both clinical and commercial supplies of our product candidates, if any product candidates are approved;</w:t>
      </w:r>
    </w:p>
    <w:p>
      <w:pPr>
        <w:spacing w:after="0" w:line="53" w:lineRule="exact"/>
        <w:rPr>
          <w:rFonts w:ascii="Times New Roman" w:cs="Times New Roman" w:eastAsia="Times New Roman" w:hAnsi="Times New Roman"/>
          <w:sz w:val="18"/>
          <w:szCs w:val="18"/>
          <w:color w:val="auto"/>
        </w:rPr>
      </w:pPr>
    </w:p>
    <w:p>
      <w:pPr>
        <w:ind w:left="260" w:right="140" w:hanging="252"/>
        <w:spacing w:after="0" w:line="282" w:lineRule="auto"/>
        <w:tabs>
          <w:tab w:leader="none" w:pos="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marketing, and distribution capabilities and launching commercial sales of our products, if and when approved, whether alone or in collaboration with others;</w:t>
      </w:r>
    </w:p>
    <w:p>
      <w:pPr>
        <w:spacing w:after="0" w:line="5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products, if and when approved, by patients, the medical community and third-party payors;</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 for diabetes and obesity;</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third-party coverage and adequate reimbursement; and</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our products following approval.</w:t>
      </w:r>
    </w:p>
    <w:p>
      <w:pPr>
        <w:spacing w:after="0" w:line="11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Many of these factors are beyond our control, and it is possible that we may never obtain regulatory approval for our product candidates even if we expend substantial time and resources seeking their development and approval. If we do not achieve regulatory approval in a timely manner or at all, we could experience significant delays or an inability to commercialize our current or future product candidates, which could materially adversely affect our business. If we do not receive regulatory approvals for our current or future product candidates, we will not be able to continue our operations.</w:t>
      </w:r>
    </w:p>
    <w:p>
      <w:pPr>
        <w:spacing w:after="0" w:line="7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success of our business, including our ability to finance our company and generate revenue from products in the future, which we do not expect will occur for several years, if ever, will depend heavily on the successful development and eventual commercialization of the product candidates we develop, which may never occur. Our current product candidates, and any future product candidates we develop, will require additional preclinical and clinical development, management of clinical, preclinical and manufacturing activities, marketing approval in the United States and other markets, demonstrating cost-effectiveness to pricing and reimbursement authorities, obtaining sufficient manufacturing supply for both clinical development and commercial production in accordance with cGMP,</w:t>
      </w: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33" w:name="page34"/>
    <w:bookmarkEnd w:id="33"/>
    <w:p>
      <w:pPr>
        <w:ind w:right="40"/>
        <w:spacing w:after="0" w:line="256" w:lineRule="auto"/>
        <w:rPr>
          <w:sz w:val="20"/>
          <w:szCs w:val="20"/>
          <w:color w:val="auto"/>
        </w:rPr>
      </w:pPr>
      <w:r>
        <w:rPr>
          <w:rFonts w:ascii="Times New Roman" w:cs="Times New Roman" w:eastAsia="Times New Roman" w:hAnsi="Times New Roman"/>
          <w:sz w:val="18"/>
          <w:szCs w:val="18"/>
          <w:color w:val="auto"/>
        </w:rPr>
        <w:t>building of a commercial organization, and substantial investment and significant marketing efforts before we generate any revenue from product sales, if ever. We may also experience delays in developing a sustainable, reproducible and scalable manufacturing process or transferring that process to commercial partners, which may prevent us from completing our preclinical studies or clinical trials or commercializing our product candidates on a timely or profitable basis, if at all. Changes in the manufacturing process or facilities will require further comparability analysis and approval by FDA before implementation, which could delay our preclinical studies, clinical trials and product candidate development, and could require additional preclinical studies and clinical trials, including bridging studies, to demonstrate consistent and continued safety and efficacy.</w:t>
      </w:r>
    </w:p>
    <w:p>
      <w:pPr>
        <w:spacing w:after="0" w:line="7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have not previously submitted an NDA to the FDA or similar approval filings to a comparable foreign regulatory authority, for any product candidate. An NDA or other relevant regulatory filing must include extensive preclinical and clinical data and supporting information to establish that the product candidate is safe and effective for each desired indication. The NDA or other relevant regulatory filing must also include significant information regarding the chemistry, manufacturing and controls for the product. We cannot be certain that our current or future product candidates will be successful in clinical trials or receive regulatory approval. Further, even if they are successful in clinical trials, our product candidates or any future product candidates may not receive regulatory approval. If we do not receive regulatory approvals for current or future product candidates, we may not be able to continue our operations. Even if we successfully obtain regulatory approval to market a product candidate, our revenue will depend, in part, upon the size of the markets in the territories for which we gain regulatory approval and have commercial rights for each product candidate, as well as the availability of competitive products, whether there is sufficient third-party reimbursement and adoption by physicians.</w:t>
      </w:r>
    </w:p>
    <w:p>
      <w:pPr>
        <w:spacing w:after="0" w:line="76"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Preclinical and clinical drug development is a lengthy and expensive process, with an uncertain outcome. Our preclinical and clinical programs may experience delays or may never be initiated or completed, which would adversely affect our ability to obtain regulatory approvals or commercialize our product candidates on a timely basis or at all, which could have an adverse effect on our business.</w:t>
      </w:r>
    </w:p>
    <w:p>
      <w:pPr>
        <w:spacing w:after="0" w:line="6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order to obtain FDA approval to market a novel small molecule product, we must demonstrate the safety and efficacy of our product candidates in humans to meet the FDA requirements. To meet these requirements, we will have to conduct adequate and well-controlled clinical trials. Clinical testing is expensive, time-consuming, and subject to uncertainty. Before we can commence clinical trials for a product candidate, we must complete extensive preclinical studies that support our planned and future INDs in the United States. At present, we are advancing two product candidates, icovamenib and BMF-650. We cannot be certain of the timely completion or outcome of our preclinical studies and clinical trials and cannot predict if the FDA will allow our existing and proposed clinical programs to proceed or continue to proceed, or if the outcomes of our preclinical studies and clinical trials will ultimately support further development of our programs. Our lead product candidate, icovamenib, is in clinical development for type 2 diabetes and we recently concluded a Phase II clinical trial of icovamenib in type 1 diabetes, and we cannot be sure that we will be able to submit INDs or similar applications with respect to additional indications or other product candidates on the timelines we expect, if at all, and we cannot be sure that submission of IND or similar applications will result in the FDA or other regulatory authorities allowing clinical trials to begin.</w:t>
      </w:r>
    </w:p>
    <w:p>
      <w:pPr>
        <w:spacing w:after="0" w:line="86" w:lineRule="exact"/>
        <w:rPr>
          <w:sz w:val="20"/>
          <w:szCs w:val="20"/>
          <w:color w:val="auto"/>
        </w:rPr>
      </w:pPr>
    </w:p>
    <w:p>
      <w:pPr>
        <w:jc w:val="both"/>
        <w:ind w:right="280"/>
        <w:spacing w:after="0" w:line="261" w:lineRule="auto"/>
        <w:rPr>
          <w:sz w:val="20"/>
          <w:szCs w:val="20"/>
          <w:color w:val="auto"/>
        </w:rPr>
      </w:pPr>
      <w:r>
        <w:rPr>
          <w:rFonts w:ascii="Times New Roman" w:cs="Times New Roman" w:eastAsia="Times New Roman" w:hAnsi="Times New Roman"/>
          <w:sz w:val="18"/>
          <w:szCs w:val="18"/>
          <w:color w:val="auto"/>
        </w:rPr>
        <w:t>Conducting preclinical testing and clinical trials represents a lengthy, time-consuming and expensive process. The length of time may vary substantially according to the type, complexity and novelty of the program, and often can be several years or more per program. Delays associated with programs for which we are directly conducting preclinical studies may cause us to incur additional operating expenses. The commencement and rate of completion of preclinical studies and clinical trials for a product candidate may be delayed by many factors, including, for example:</w:t>
      </w:r>
    </w:p>
    <w:p>
      <w:pPr>
        <w:spacing w:after="0" w:line="70" w:lineRule="exact"/>
        <w:rPr>
          <w:sz w:val="20"/>
          <w:szCs w:val="20"/>
          <w:color w:val="auto"/>
        </w:rPr>
      </w:pPr>
    </w:p>
    <w:p>
      <w:pPr>
        <w:ind w:left="260" w:hanging="252"/>
        <w:spacing w:after="0"/>
        <w:tabs>
          <w:tab w:leader="none" w:pos="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inability to generate sufficient preclinical or other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data to support the initiation of clinical trials;</w:t>
      </w:r>
    </w:p>
    <w:p>
      <w:pPr>
        <w:spacing w:after="0" w:line="119" w:lineRule="exact"/>
        <w:rPr>
          <w:rFonts w:ascii="Times New Roman" w:cs="Times New Roman" w:eastAsia="Times New Roman" w:hAnsi="Times New Roman"/>
          <w:sz w:val="18"/>
          <w:szCs w:val="18"/>
          <w:color w:val="auto"/>
        </w:rPr>
      </w:pPr>
    </w:p>
    <w:p>
      <w:pPr>
        <w:ind w:left="260" w:right="360" w:hanging="252"/>
        <w:spacing w:after="0" w:line="282" w:lineRule="auto"/>
        <w:tabs>
          <w:tab w:leader="none" w:pos="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completion of preclinical laboratory tests, animal studies and formulation studies in accordance with the FDA’s GLP requirements and other applicable regulations;</w:t>
      </w:r>
    </w:p>
    <w:p>
      <w:pPr>
        <w:spacing w:after="0" w:line="5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IRB ethics committee at each clinical site before each trial may be initiated;</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 consensus with regulatory agencies on study design and obtaining regulatory authorization to commence clinical trials;</w:t>
      </w:r>
    </w:p>
    <w:p>
      <w:pPr>
        <w:spacing w:after="0" w:line="117" w:lineRule="exact"/>
        <w:rPr>
          <w:rFonts w:ascii="Times New Roman" w:cs="Times New Roman" w:eastAsia="Times New Roman" w:hAnsi="Times New Roman"/>
          <w:sz w:val="18"/>
          <w:szCs w:val="18"/>
          <w:color w:val="auto"/>
        </w:rPr>
      </w:pPr>
    </w:p>
    <w:p>
      <w:pPr>
        <w:ind w:left="260" w:right="640" w:hanging="252"/>
        <w:spacing w:after="0" w:line="282" w:lineRule="auto"/>
        <w:tabs>
          <w:tab w:leader="none" w:pos="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agreement on acceptable terms with prospective CROs, and clinical trial sites, the terms of which can be subject to extensive negotiation and may vary significantly among different CROs and clinical trial sites;</w:t>
      </w:r>
    </w:p>
    <w:p>
      <w:pPr>
        <w:spacing w:after="0" w:line="5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identifying, recruiting and training suitable clinical investigators;</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recruiting suitable participants to participate in our clinical trials;</w:t>
      </w:r>
    </w:p>
    <w:p>
      <w:pPr>
        <w:spacing w:after="0" w:line="117" w:lineRule="exact"/>
        <w:rPr>
          <w:rFonts w:ascii="Times New Roman" w:cs="Times New Roman" w:eastAsia="Times New Roman" w:hAnsi="Times New Roman"/>
          <w:sz w:val="18"/>
          <w:szCs w:val="18"/>
          <w:color w:val="auto"/>
        </w:rPr>
      </w:pPr>
    </w:p>
    <w:p>
      <w:pPr>
        <w:ind w:left="260" w:right="320" w:hanging="252"/>
        <w:spacing w:after="0" w:line="282" w:lineRule="auto"/>
        <w:tabs>
          <w:tab w:leader="none" w:pos="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manufacturing, testing, releasing, validating or importing/exporting sufficient stable quantities of our product candidates for use in clinical trials or the inability to do any of the foregoing;</w:t>
      </w:r>
    </w:p>
    <w:p>
      <w:pPr>
        <w:spacing w:after="0" w:line="5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or inadequate supply or quality of product candidates or other materials necessary for use in clinical trials, or delays in</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4" w:name="page35"/>
    <w:bookmarkEnd w:id="34"/>
    <w:p>
      <w:pPr>
        <w:ind w:left="260"/>
        <w:spacing w:after="0"/>
        <w:rPr>
          <w:sz w:val="20"/>
          <w:szCs w:val="20"/>
          <w:color w:val="auto"/>
        </w:rPr>
      </w:pPr>
      <w:r>
        <w:rPr>
          <w:rFonts w:ascii="Times New Roman" w:cs="Times New Roman" w:eastAsia="Times New Roman" w:hAnsi="Times New Roman"/>
          <w:sz w:val="18"/>
          <w:szCs w:val="18"/>
          <w:color w:val="auto"/>
        </w:rPr>
        <w:t>sufficiently developing, characterizing or controlling a manufacturing process suitable for clinical trials;</w:t>
      </w:r>
    </w:p>
    <w:p>
      <w:pPr>
        <w:spacing w:after="0" w:line="117" w:lineRule="exact"/>
        <w:rPr>
          <w:sz w:val="20"/>
          <w:szCs w:val="20"/>
          <w:color w:val="auto"/>
        </w:rPr>
      </w:pPr>
    </w:p>
    <w:p>
      <w:pPr>
        <w:ind w:left="260" w:hanging="252"/>
        <w:spacing w:after="0"/>
        <w:tabs>
          <w:tab w:leader="none" w:pos="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temporary or permanent clinical hold by regulatory authorities;</w:t>
      </w:r>
    </w:p>
    <w:p>
      <w:pPr>
        <w:spacing w:after="0" w:line="117" w:lineRule="exact"/>
        <w:rPr>
          <w:rFonts w:ascii="Times New Roman" w:cs="Times New Roman" w:eastAsia="Times New Roman" w:hAnsi="Times New Roman"/>
          <w:sz w:val="18"/>
          <w:szCs w:val="18"/>
          <w:color w:val="auto"/>
        </w:rPr>
      </w:pPr>
    </w:p>
    <w:p>
      <w:pPr>
        <w:ind w:left="260" w:right="120" w:hanging="252"/>
        <w:spacing w:after="0" w:line="266" w:lineRule="auto"/>
        <w:tabs>
          <w:tab w:leader="none" w:pos="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on trials conducted by competitors for related technology that raises FDA or foreign regulatory authority concerns about risk to patients of the technology broadly, or if the FDA or a foreign regulatory authority finds that the investigational protocol or plan is clearly deficient to meet its stated objectives;</w:t>
      </w:r>
    </w:p>
    <w:p>
      <w:pPr>
        <w:spacing w:after="0" w:line="67" w:lineRule="exact"/>
        <w:rPr>
          <w:rFonts w:ascii="Times New Roman" w:cs="Times New Roman" w:eastAsia="Times New Roman" w:hAnsi="Times New Roman"/>
          <w:sz w:val="18"/>
          <w:szCs w:val="18"/>
          <w:color w:val="auto"/>
        </w:rPr>
      </w:pPr>
    </w:p>
    <w:p>
      <w:pPr>
        <w:ind w:left="260" w:right="80" w:hanging="252"/>
        <w:spacing w:after="0" w:line="282" w:lineRule="auto"/>
        <w:tabs>
          <w:tab w:leader="none" w:pos="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recruiting, screening and enrolling participants and delays caused by participants withdrawing from clinical trials or failing to return for post-treatment follow-up;</w:t>
      </w:r>
    </w:p>
    <w:p>
      <w:pPr>
        <w:spacing w:after="0" w:line="5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collaborating with patient groups and investigators;</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our CROs, other third parties or us to adhere to clinical trial protocols;</w:t>
      </w:r>
    </w:p>
    <w:p>
      <w:pPr>
        <w:spacing w:after="0" w:line="117" w:lineRule="exact"/>
        <w:rPr>
          <w:rFonts w:ascii="Times New Roman" w:cs="Times New Roman" w:eastAsia="Times New Roman" w:hAnsi="Times New Roman"/>
          <w:sz w:val="18"/>
          <w:szCs w:val="18"/>
          <w:color w:val="auto"/>
        </w:rPr>
      </w:pPr>
    </w:p>
    <w:p>
      <w:pPr>
        <w:ind w:left="260" w:hanging="252"/>
        <w:spacing w:after="0" w:line="282" w:lineRule="auto"/>
        <w:tabs>
          <w:tab w:leader="none" w:pos="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in accordance with the FDA’s or any other regulatory authority’s Good Clinical Practices (GCPs), or applicable regulatory guidelines in other countries;</w:t>
      </w:r>
    </w:p>
    <w:p>
      <w:pPr>
        <w:spacing w:after="0" w:line="53" w:lineRule="exact"/>
        <w:rPr>
          <w:rFonts w:ascii="Times New Roman" w:cs="Times New Roman" w:eastAsia="Times New Roman" w:hAnsi="Times New Roman"/>
          <w:sz w:val="18"/>
          <w:szCs w:val="18"/>
          <w:color w:val="auto"/>
        </w:rPr>
      </w:pPr>
    </w:p>
    <w:p>
      <w:pPr>
        <w:ind w:left="260" w:right="20" w:hanging="252"/>
        <w:spacing w:after="0" w:line="282" w:lineRule="auto"/>
        <w:tabs>
          <w:tab w:leader="none" w:pos="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adverse events associated with the product candidate that are viewed to outweigh its potential benefits, or occurrence of adverse events in trial of the same class of agents conducted by other companies;</w:t>
      </w:r>
    </w:p>
    <w:p>
      <w:pPr>
        <w:spacing w:after="0" w:line="5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clinical trial protocols;</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deviating from trial protocol or dropping out of a trial;</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and guidance that require amending or submitting new clinical protocols;</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on which a clinical development plan was based, which may require new or additional trials;</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selection of clinical endpoints that require prolonged periods of observation or analyses of resulting data;</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being greater than we anticipate;</w:t>
      </w:r>
    </w:p>
    <w:p>
      <w:pPr>
        <w:spacing w:after="0" w:line="117" w:lineRule="exact"/>
        <w:rPr>
          <w:rFonts w:ascii="Times New Roman" w:cs="Times New Roman" w:eastAsia="Times New Roman" w:hAnsi="Times New Roman"/>
          <w:sz w:val="18"/>
          <w:szCs w:val="18"/>
          <w:color w:val="auto"/>
        </w:rPr>
      </w:pPr>
    </w:p>
    <w:p>
      <w:pPr>
        <w:ind w:left="260" w:right="420" w:hanging="252"/>
        <w:spacing w:after="0" w:line="282" w:lineRule="auto"/>
        <w:tabs>
          <w:tab w:leader="none" w:pos="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producing negative or inconclusive results, which may result in our deciding, or regulators requiring us, to conduct additional clinical trials or abandon development of such product candidates;</w:t>
      </w:r>
    </w:p>
    <w:p>
      <w:pPr>
        <w:spacing w:after="0" w:line="53" w:lineRule="exact"/>
        <w:rPr>
          <w:rFonts w:ascii="Times New Roman" w:cs="Times New Roman" w:eastAsia="Times New Roman" w:hAnsi="Times New Roman"/>
          <w:sz w:val="18"/>
          <w:szCs w:val="18"/>
          <w:color w:val="auto"/>
        </w:rPr>
      </w:pPr>
    </w:p>
    <w:p>
      <w:pPr>
        <w:ind w:left="260" w:right="500" w:hanging="252"/>
        <w:spacing w:after="0" w:line="282" w:lineRule="auto"/>
        <w:tabs>
          <w:tab w:leader="none" w:pos="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of manufacturing processes to larger-scale facilities operated by a CMO, and delays or failure by our CMOs or us to make any necessary changes to such manufacturing process; and</w:t>
      </w:r>
    </w:p>
    <w:p>
      <w:pPr>
        <w:spacing w:after="0" w:line="5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being unwilling or unable to satisfy their contractual obligations to us.</w:t>
      </w:r>
    </w:p>
    <w:p>
      <w:pPr>
        <w:spacing w:after="0" w:line="11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disruptions caused by continued and prolonged public health emergencies, may increase the likelihood that we encounter such difficulties or delays in initiating, enrolling, conducting or completing our planned and ongoing preclinical studies and clinical trials. Any inability to successfully initiate or complete preclinical studies or clinical trials could result in additional costs to us or impair our ability to generate revenue from product sales. In addition, if we make manufacturing or formulation changes to our product candidates, we may be required to or we may elect to conduct additional studies to bridge our modified product candidates to earlier versions. Clinical trial delays could also shorten any periods during which our products, if and when approved, have patent protection and may allow our competitors to bring products to market before we do, which could impair our ability to successfully commercialize our product candidates and may seriously harm our business.</w:t>
      </w:r>
    </w:p>
    <w:p>
      <w:pPr>
        <w:spacing w:after="0" w:line="8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8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Delays in the completion of any preclinical studies or clinical trials of our product candidates will increase our costs, slow down our product candidate development and approval process and delay or potentially jeopardize our ability to commence product sales and generate product revenue. In addition, many of the factors that cause, or lead to, a delay in the commencement or completion of clinical trials may also ultimately lead to the denial of regulatory approval of our product candidates. Any delays to our preclinical studies or clinical trials, such as the previous clinical hold imposed by the FDA on our INDs for icovamenib in type 1 and type 2 diabetes, which was lifted in September 2024, that occur as a result could shorten any period during which we may have the exclusive right to commercialize our product candidates and our competitors may be able to bring products to market before we do, and the commercial viability of our product candidates could be significantly reduced. Any of these occurrences may harm our business,</w:t>
      </w: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financial condition and prospects significantly.</w:t>
      </w:r>
    </w:p>
    <w:p>
      <w:pPr>
        <w:spacing w:after="0" w:line="113"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results of preclinical testing and early clinical trials may not be predictive of the success of later clinical trials, and the results of our clinical trials may not satisfy the requirements of the FDA or other comparable foreign regulatory authorities. Successful preclinical studies and clinical trials cannot provide assurance of successful commercialization.</w:t>
      </w:r>
    </w:p>
    <w:p>
      <w:pPr>
        <w:spacing w:after="0" w:line="6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will be required to demonstrate with substantial evidence through well-controlled clinical trials that our product candidates are safe and effective before we can seek regulatory and marketing approvals for their commercial sale. Success in preclinical studies does not mean that future clinical trials will be successful. For instance, we do not know whether icovamenib or BMF-650 will perform in clinical trials as they have performed in preclinical studies, nor can we predict how our future product candidates will perform in future preclinical studies or clinical trials. Product candidates in later-stage clinical trials may fail to demonstrate sufficient safety and efficacy to the satisfaction of the FDA and other comparable foreign regulatory authorities despite having progressed through preclinical studies and early-stage clinical trials. Regulatory authorities may also limit the scope of later-stage trials until we have demonstrated satisfactory safety, which could delay regulatory approval, limit the size of the patient population to which we may market our product candidates or prevent regulatory approval. 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dose and dosing regimen and other trial protocols and the rate of dropout among clinical trial participants. Patients treated with our product candidates may also be undergoing surgical, radiation and chemotherapy treatments and may be using other approved products or investigational product candidates, which can cause side effects or adverse events that are unrelated to our product candidates. As a result, assessments of efficacy can vary widely for a particular participant, and from patient to patient and site to site within a clinical trial. This subjectivity can increase the uncertainty of, and adversely impact, our clinical trial outcomes.</w:t>
      </w:r>
    </w:p>
    <w:p>
      <w:pPr>
        <w:spacing w:after="0" w:line="8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related to global health emergencies such as a pandemic, epidemic, or outbreak of an infectious disease, which could materially adversely impact our business, results of operations, and financial condition, including our preclinical studies and clinical trials.</w:t>
      </w:r>
    </w:p>
    <w:p>
      <w:pPr>
        <w:spacing w:after="0" w:line="5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Any global health emergency such as a pandemic, epidemic, or outbreak of an infectious disease, we have experienced, and may in the future experience disruptions that could severely impact our business, preclinical studies and clinical trials, including:</w:t>
      </w:r>
    </w:p>
    <w:p>
      <w:pPr>
        <w:spacing w:after="0" w:line="54" w:lineRule="exact"/>
        <w:rPr>
          <w:sz w:val="20"/>
          <w:szCs w:val="20"/>
          <w:color w:val="auto"/>
        </w:rPr>
      </w:pPr>
    </w:p>
    <w:p>
      <w:pPr>
        <w:ind w:left="300" w:right="360" w:hanging="292"/>
        <w:spacing w:after="0" w:line="282" w:lineRule="auto"/>
        <w:tabs>
          <w:tab w:leader="none" w:pos="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clinical site initiation, including difficulties in recruiting CROs for our preclinical studies and clinical site investigators and clinical site staff for our ongoing and planned clinical trials;</w:t>
      </w:r>
    </w:p>
    <w:p>
      <w:pPr>
        <w:spacing w:after="0" w:line="53"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enrolling and retaining participants in our ongoing and planned clinical trials;</w:t>
      </w:r>
    </w:p>
    <w:p>
      <w:pPr>
        <w:spacing w:after="0" w:line="117" w:lineRule="exact"/>
        <w:rPr>
          <w:rFonts w:ascii="Times New Roman" w:cs="Times New Roman" w:eastAsia="Times New Roman" w:hAnsi="Times New Roman"/>
          <w:sz w:val="18"/>
          <w:szCs w:val="18"/>
          <w:color w:val="auto"/>
        </w:rPr>
      </w:pPr>
    </w:p>
    <w:p>
      <w:pPr>
        <w:ind w:left="300" w:right="420" w:hanging="292"/>
        <w:spacing w:after="0" w:line="282" w:lineRule="auto"/>
        <w:tabs>
          <w:tab w:leader="none" w:pos="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53" w:lineRule="exact"/>
        <w:rPr>
          <w:rFonts w:ascii="Times New Roman" w:cs="Times New Roman" w:eastAsia="Times New Roman" w:hAnsi="Times New Roman"/>
          <w:sz w:val="18"/>
          <w:szCs w:val="18"/>
          <w:color w:val="auto"/>
        </w:rPr>
      </w:pPr>
    </w:p>
    <w:p>
      <w:pPr>
        <w:ind w:left="300" w:right="60" w:hanging="292"/>
        <w:spacing w:after="0" w:line="266" w:lineRule="auto"/>
        <w:tabs>
          <w:tab w:leader="none" w:pos="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key clinical trial activities, such as clinical trial site data monitoring, due to limitations on travel imposed or recommended by federal or state governments, employers and others or interruption of clinical trial participant visits and study procedures (such as endoscopies that are deemed non-essential), which may impact the integrity of participant data and clinical study endpoints;</w:t>
      </w:r>
    </w:p>
    <w:p>
      <w:pPr>
        <w:spacing w:after="0" w:line="67"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or delays in the operations of the FDA or other regulatory authorities, which may impact review and approval timelines;</w:t>
      </w:r>
    </w:p>
    <w:p>
      <w:pPr>
        <w:spacing w:after="0" w:line="117" w:lineRule="exact"/>
        <w:rPr>
          <w:rFonts w:ascii="Times New Roman" w:cs="Times New Roman" w:eastAsia="Times New Roman" w:hAnsi="Times New Roman"/>
          <w:sz w:val="18"/>
          <w:szCs w:val="18"/>
          <w:color w:val="auto"/>
        </w:rPr>
      </w:pPr>
    </w:p>
    <w:p>
      <w:pPr>
        <w:ind w:left="300" w:hanging="292"/>
        <w:spacing w:after="0" w:line="282" w:lineRule="auto"/>
        <w:tabs>
          <w:tab w:leader="none" w:pos="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or delays in receiving, supplies of our product candidates from our CMOs due to staffing shortages, production slowdowns or stoppages and disruptions in delivery systems;</w:t>
      </w:r>
    </w:p>
    <w:p>
      <w:pPr>
        <w:spacing w:after="0" w:line="53" w:lineRule="exact"/>
        <w:rPr>
          <w:rFonts w:ascii="Times New Roman" w:cs="Times New Roman" w:eastAsia="Times New Roman" w:hAnsi="Times New Roman"/>
          <w:sz w:val="18"/>
          <w:szCs w:val="18"/>
          <w:color w:val="auto"/>
        </w:rPr>
      </w:pPr>
    </w:p>
    <w:p>
      <w:pPr>
        <w:ind w:left="300" w:right="300" w:hanging="292"/>
        <w:spacing w:after="0" w:line="282" w:lineRule="auto"/>
        <w:tabs>
          <w:tab w:leader="none" w:pos="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employee resources that would otherwise be focused on the conduct of our preclinical studies and clinical trials, including because of sickness of employees or their families or the desire of employees to avoid contact with large groups of people;</w:t>
      </w:r>
    </w:p>
    <w:p>
      <w:pPr>
        <w:spacing w:after="0" w:line="53"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or delays to our sourced discovery and clinical activities; and</w:t>
      </w:r>
    </w:p>
    <w:p>
      <w:pPr>
        <w:spacing w:after="0" w:line="117" w:lineRule="exact"/>
        <w:rPr>
          <w:rFonts w:ascii="Times New Roman" w:cs="Times New Roman" w:eastAsia="Times New Roman" w:hAnsi="Times New Roman"/>
          <w:sz w:val="18"/>
          <w:szCs w:val="18"/>
          <w:color w:val="auto"/>
        </w:rPr>
      </w:pPr>
    </w:p>
    <w:p>
      <w:pPr>
        <w:ind w:left="300" w:right="780" w:hanging="292"/>
        <w:spacing w:after="0" w:line="282" w:lineRule="auto"/>
        <w:tabs>
          <w:tab w:leader="none" w:pos="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clinical site procedures and requirements as well as regulatory requirements for conducting clinical trials during any global health emergency.</w:t>
      </w:r>
    </w:p>
    <w:p>
      <w:pPr>
        <w:spacing w:after="0" w:line="50"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and/or retention of eligible participants in clinical trials, our regulatory submissions or receipt of necessary marketing approvals could be delayed or prevented.</w:t>
      </w:r>
    </w:p>
    <w:p>
      <w:pPr>
        <w:spacing w:after="0" w:line="5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may not be able to initiate or continue our ongoing and planned clinical trials on a timely basis or at all for our product candidates if we are unable to recruit and enroll a sufficient number of eligible participants to participate in these trials through completion of such trials as required by the FDA or other comparable foreign regulatory authorities. Participant enrollment is a significant factor in the timing of clinical trials. Our ability to enroll eligible participants may be limited or may result in slower enrollment than we anticipate.</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36" w:name="page37"/>
    <w:bookmarkEnd w:id="36"/>
    <w:p>
      <w:pPr>
        <w:ind w:right="60"/>
        <w:spacing w:after="0" w:line="254" w:lineRule="auto"/>
        <w:rPr>
          <w:sz w:val="20"/>
          <w:szCs w:val="20"/>
          <w:color w:val="auto"/>
        </w:rPr>
      </w:pPr>
      <w:r>
        <w:rPr>
          <w:rFonts w:ascii="Times New Roman" w:cs="Times New Roman" w:eastAsia="Times New Roman" w:hAnsi="Times New Roman"/>
          <w:sz w:val="18"/>
          <w:szCs w:val="18"/>
          <w:color w:val="auto"/>
        </w:rPr>
        <w:t>Our clinical trials will compete with other clinical trials that are in the same therapeutic areas as our product candidates, and this competition reduces the number and types of participants available to us, as some participants who might have opted to enroll in our trials may instead opt to enroll in a trial being conducted by one of our competitors. Because the number of qualified clinical investigators and clinical trial sites is limited, we expect to conduct some of our clinical trials at the same clinical trial sites that some of our competitors use, which will reduce the number of participants who are available for our clinical trials at such clinical trial sites. In addition, there may be limited participant pools from which to draw for clinical studies. In addition to the rarity of some diseases, the eligibility criteria of our clinical trials will further limit the pool of available study participants as we will require that participants have specific characteristics that we can measure or to assure their disease is either severe enough or not too advanced to include them in a study. Participant enrollment for our ongoing and planned clinical trials may be affected by other factors, including:</w:t>
      </w:r>
    </w:p>
    <w:p>
      <w:pPr>
        <w:spacing w:after="0" w:line="84" w:lineRule="exact"/>
        <w:rPr>
          <w:sz w:val="20"/>
          <w:szCs w:val="20"/>
          <w:color w:val="auto"/>
        </w:rPr>
      </w:pPr>
    </w:p>
    <w:p>
      <w:pPr>
        <w:ind w:left="260" w:hanging="252"/>
        <w:spacing w:after="0"/>
        <w:tabs>
          <w:tab w:leader="none" w:pos="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clinical trial sites and recruit clinical trial investigators with the appropriate capabilities, competencies and experiences;</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and nature of the participant population;</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severity of the disease under investigation;</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efficacy of approved drugs or other methods of treatment for the disease under investigation, or availability of competing clinical trials;</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clinical trials and whether the FDA or foreign regulatory agencies agree to the design and implementation of the trial;</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eligibility criteria for the trial in question as defined in the protocol;</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the product candidate under study;</w:t>
      </w:r>
    </w:p>
    <w:p>
      <w:pPr>
        <w:spacing w:after="0" w:line="117" w:lineRule="exact"/>
        <w:rPr>
          <w:rFonts w:ascii="Times New Roman" w:cs="Times New Roman" w:eastAsia="Times New Roman" w:hAnsi="Times New Roman"/>
          <w:sz w:val="18"/>
          <w:szCs w:val="18"/>
          <w:color w:val="auto"/>
        </w:rPr>
      </w:pPr>
    </w:p>
    <w:p>
      <w:pPr>
        <w:ind w:left="260" w:right="300" w:hanging="252"/>
        <w:spacing w:after="0" w:line="282" w:lineRule="auto"/>
        <w:tabs>
          <w:tab w:leader="none" w:pos="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participants’ perceptions as to the potential advantages of the product candidate being studied in relation to other available therapies, including any new products that may be approved or future product candidates being investigated for the indications we are pursuing;</w:t>
      </w:r>
    </w:p>
    <w:p>
      <w:pPr>
        <w:spacing w:after="0" w:line="5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willingness to screen their participants for biomarkers to indicate which participants may be eligible for enrollment in our clinical trials;</w:t>
      </w:r>
    </w:p>
    <w:p>
      <w:pPr>
        <w:spacing w:after="0" w:line="117" w:lineRule="exact"/>
        <w:rPr>
          <w:rFonts w:ascii="Times New Roman" w:cs="Times New Roman" w:eastAsia="Times New Roman" w:hAnsi="Times New Roman"/>
          <w:sz w:val="18"/>
          <w:szCs w:val="18"/>
          <w:color w:val="auto"/>
        </w:rPr>
      </w:pPr>
    </w:p>
    <w:p>
      <w:pPr>
        <w:ind w:left="260" w:right="460" w:hanging="252"/>
        <w:spacing w:after="0" w:line="282" w:lineRule="auto"/>
        <w:tabs>
          <w:tab w:leader="none" w:pos="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temporary suspension of the enrollment of participants in our planned clinical trials due to any continued and prolonged public health emergency;</w:t>
      </w:r>
    </w:p>
    <w:p>
      <w:pPr>
        <w:spacing w:after="0" w:line="5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obtain and maintain participant consents;</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referral practices of physicians;</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participants adequately during and after treatment; and</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proximity and availability of clinical trial sites for prospective participants.</w:t>
      </w:r>
    </w:p>
    <w:p>
      <w:pPr>
        <w:spacing w:after="0" w:line="11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These factors may make it difficult for us to enroll enough participants to complete our clinical trials in a timely and cost-effective manner. Our inability to enroll a sufficient number of eligible participants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product candidates. Furthermore, even if we are able to enroll a sufficient number of eligible participants for our clinical trials, we may have difficulty maintaining participation in our clinical trials through the treatment and any follow-up periods.</w:t>
      </w:r>
    </w:p>
    <w:p>
      <w:pPr>
        <w:spacing w:after="0" w:line="71"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opportunities for our product candidates may be relatively small as it will be limited to those patients who are ineligible for or have failed prior treatments and our estimates of the prevalence of our target patient populations may be inaccurate.</w:t>
      </w:r>
    </w:p>
    <w:p>
      <w:pPr>
        <w:spacing w:after="0" w:line="5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Type 2 diabetes is a highly heterogeneous disease, and there are over sixty approved therapies being utilized in treating diabetes at various stages of the disease progression, with early lines of therapies largely genericized. There is also a significant industry pipeline of potentially emerging new treatments all addressing patients either in front line or as a follow-on treatment either in monotherapy or in combination.</w:t>
      </w:r>
    </w:p>
    <w:p>
      <w:pPr>
        <w:spacing w:after="0" w:line="6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expect to initially seek approval of our product candidates in second or later lines of therapy. Subsequently, depending on the nature of the clinical data and experience with any approved products or product candidates, if any, we may pursue approval as an earlier line therapy and potentially as a first line therapy. There is no guarantee, however, that our product candidates that we may identify and pursue, even if approved as a second or subsequent line of therapy, would be approved for an earlier line of therapy, and, prior to seeking any such approvals, we may have to conduct additional clinical trials.</w:t>
      </w:r>
    </w:p>
    <w:p>
      <w:pPr>
        <w:spacing w:after="0" w:line="7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pharmaceutical industry is characterized by rapidly advancing technologies, intense competition, and a strong emphasis on proprietary products. While we believe that icovamenib and BMF-650, together with our knowledge and scientific resources, provide</w:t>
      </w: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37" w:name="page38"/>
    <w:bookmarkEnd w:id="37"/>
    <w:p>
      <w:pPr>
        <w:spacing w:after="0" w:line="255" w:lineRule="auto"/>
        <w:rPr>
          <w:sz w:val="20"/>
          <w:szCs w:val="20"/>
          <w:color w:val="auto"/>
        </w:rPr>
      </w:pPr>
      <w:r>
        <w:rPr>
          <w:rFonts w:ascii="Times New Roman" w:cs="Times New Roman" w:eastAsia="Times New Roman" w:hAnsi="Times New Roman"/>
          <w:sz w:val="18"/>
          <w:szCs w:val="18"/>
          <w:color w:val="auto"/>
        </w:rPr>
        <w:t>us with competitive advantages, we face potential competition from many different sources, including commercial biopharmaceutical enterprises, academic institutions, government agencies and private and public research institutions. Many of our competitors, either alone or with their collaborators, have significantly greater financial, technical, manufacturing, marketing, sales and supply resources or experience than we do. If we successfully obtain approval for any product candidate, we will face competition based on many different factors, including the safety and effectiveness of our products, the timing and scope of marketing approvals for these products, the availability and cost of manufacturing, marketing and sales capabilities, price, reimbursement coverage and patent position. Any drug candidates that we successfully develop and commercialize will likely compete with existing therapies and new therapies that may become available in the future.</w:t>
      </w:r>
    </w:p>
    <w:p>
      <w:pPr>
        <w:spacing w:after="0" w:line="77"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incidence and prevalence for target patient populations of icovamenib and BMF-650 are based on estimates and third-party sources. If the market opportunities for icovamenib and BMF-650 or any future product candidate we may develop, if and when approved, are smaller than we estimate or if any approval that we obtain is based on a narrower definition of the patient population, our revenue and ability to achieve profitability might be materially and adversely affected.</w:t>
      </w:r>
    </w:p>
    <w:p>
      <w:pPr>
        <w:spacing w:after="0" w:line="7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Periodically, we make estimates regarding the incidence and prevalence of target patient populations for particular diseases based on various third-party sources and internally generated analysis and use such estimates in making decisions regarding our drug development strategy and determining indications on which to focus in non-clinical or clinical trials.</w:t>
      </w:r>
    </w:p>
    <w:p>
      <w:pPr>
        <w:spacing w:after="0" w:line="6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incidence and prevalence for target patient populations of icovamenib and BMF-650 are based on estimates and third-party sources. These estimates may be inaccurate or based on imprecise data. For example, the total addressable market opportunity will depend on, among other things, acceptance of our drugs by the medical community and patient access, drug pricing and reimbursement. The number of patients in the addressable markets may turn out to be lower than expected, patients may not be otherwise amenable to treatment with our drugs, or new patients may become increasingly difficult to identify or gain access to. If the market opportunities for icovamenib, BMF-650 or any future product candidate we may develop, if and when approved, are smaller than we estimate or if any approval that we obtain is based on a narrower definition of the patient population, our revenue and ability to achieve profitability might be materially and adversely affected.</w:t>
      </w:r>
    </w:p>
    <w:p>
      <w:pPr>
        <w:spacing w:after="0" w:line="77"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products before or more successfully than we do.</w:t>
      </w:r>
    </w:p>
    <w:p>
      <w:pPr>
        <w:spacing w:after="0" w:line="51"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the rapid evolution of technologies and understanding of disease etiology, intense competition and a strong emphasis on intellectual property. We believe that our approach, strategy, scientific capabilities, know-how and experience provide us with competitive advantages. In addition, we believe we are currently the only company in the United States clinically developing small molecule inhibitor specifically against menin. We define ourselves as targeted drug developers focused on covalent small molecule therapeutics and as such expect substantial competition from multiple sources, including major pharmaceutical, specialty pharmaceutical, and existing or emerging biotechnology companies, academic research institutions and governmental agencies and public and private research institutions worldwide. Many of our competitors, either alone or through collaborations, have significantly greater financial resources and expertise in research and development, manufacturing, preclinical testing, conducting clinical trials, obtaining regulatory approvals and marketing approved products than we do.</w:t>
      </w:r>
    </w:p>
    <w:p>
      <w:pPr>
        <w:spacing w:after="0" w:line="8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Smaller or early-stage companies may also prove to be significant competitors, particularly through collaborative arrangements with large and established companies. These companies may be or may become interested in discovery and development of covalent binders that may compete with us against menin or related targets at scale and in an integrated way. Even if they do not advance programs with the same mechanism of action as ours, these companies could develop products or product candidates that are competitive with ours or that have a superior product profile, and may do so at a rapid pace. These competitors also compete with us in recruiting and retaining qualified scientific and management personnel and establishing clinical trial sites and participant enrollment in clinical trials, as well as in acquiring technologies complementary to, or necessary for, our programs. As a result, our competitors may discover, develop, license or commercialize products before or more successfully than we do. We face competition from segments of the pharmaceutical, biotechnology and other related markets that pursue the development of therapies that target binding against protein targets of interest to us.</w:t>
      </w:r>
    </w:p>
    <w:p>
      <w:pPr>
        <w:spacing w:after="0" w:line="8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To our knowledge, there are no clinical-stage programs that aim to specifically regenerate insulin-producing beta cells in the islets by targeting menin for diabetes. There are over 60 approved agents and therapies being utilized to address diabetes. Such approved agents and therapies are intended to provide specific benefits to patients; however, we are not aware of any successfully addressing the root cause of diabetes, a depleted pool of functional beta cells. Several programs are targeting beta cell proliferation, including DYRK1A inhibitors. However, in addition to specific safety challenges, studies have shown that this approach may not only proliferate beta cells but also other pancreatic cells, which would not necessarily improve the ratio of alpha to beta cells in the pancreas.</w:t>
      </w:r>
    </w:p>
    <w:p>
      <w:pPr>
        <w:spacing w:after="0" w:line="7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face competition with respect to our current product candidates and will face competition with respect to future product candidates, from segments of the pharmaceutical, biotechnology, and other related markets that pursue targeted therapies for patients with diabetes and obesity. Our competitors will also include companies that are or will be developing other targeted therapies, including small molecule, antibody, or protein degraders for the same indications that we are targeting. For example, the</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38" w:name="page39"/>
    <w:bookmarkEnd w:id="38"/>
    <w:p>
      <w:pPr>
        <w:ind w:right="120"/>
        <w:spacing w:after="0" w:line="261" w:lineRule="auto"/>
        <w:rPr>
          <w:sz w:val="20"/>
          <w:szCs w:val="20"/>
          <w:color w:val="auto"/>
        </w:rPr>
      </w:pPr>
      <w:r>
        <w:rPr>
          <w:rFonts w:ascii="Times New Roman" w:cs="Times New Roman" w:eastAsia="Times New Roman" w:hAnsi="Times New Roman"/>
          <w:sz w:val="18"/>
          <w:szCs w:val="18"/>
          <w:color w:val="auto"/>
        </w:rPr>
        <w:t>Wegovy® pill was approved in December 2025 and is indicated with a reduced calorie diet and increased physical activity for adults with obesity, or with overweight who also have weight-related medical problems, to help them lose weight and keep it off. If icovamenib, BMF-650 or our future product candidates do not offer sustainable advantages over competing products, we may otherwise not be able to successfully compete against current and future competitors.</w:t>
      </w:r>
    </w:p>
    <w:p>
      <w:pPr>
        <w:spacing w:after="0" w:line="7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competitors may obtain regulatory approval of their product candidates more rapidly than we may or may obtain patent protection or other intellectual property rights that limit our ability to develop or commercialize our product candidates. Our competitors may also develop drugs that are more effective, more convenient, more widely used and less costly or have a better safety profile than our products and these competitors may also be more successful than us in manufacturing and marketing their products.</w:t>
      </w:r>
    </w:p>
    <w:p>
      <w:pPr>
        <w:spacing w:after="0" w:line="7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Our competitors will also compete with us in recruiting and retaining qualified scientific, management and commercial personnel, establishing clinical trial sites and participant registration for clinical trials, as well as in acquiring technologies complementary to, or necessary for, our programs.</w:t>
      </w:r>
    </w:p>
    <w:p>
      <w:pPr>
        <w:spacing w:after="0" w:line="5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Product candidates that we may successfully develop and commercialize will compete with existing therapies and new therapies that may become available in the future. The key competitive factors affecting the success of all of our product candidates, if approved, are likely to be their potency, selectivity, inactivation of the target, therapeutic window, safety, convenience, price, the level of generic competition, our ability to market and commercialize the product candidate and the availability of reimbursement from government and other third-party payors. For additional information regarding our competition, see the section of our Annual Report on Form 10-K filed with the SEC on March 24, 2026 titled “Business—Competition.”</w:t>
      </w:r>
    </w:p>
    <w:p>
      <w:pPr>
        <w:spacing w:after="0" w:line="71"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novel small molecule product candidates may cause significant adverse events, toxicities or other undesirable side effects when used alone or in combination with other approved products or investigational product candidates that may result in a safety profile that could prevent regulatory approval, prevent market acceptance, limit their commercial potential or result in significant negative consequences.</w:t>
      </w:r>
    </w:p>
    <w:p>
      <w:pPr>
        <w:spacing w:after="0" w:line="6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If our product candidates are associated with undesirable side effects or have unexpected characteristics in preclinical studies or clinical trials when used alone or in combination with other approved products or investigational product candidates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participant recruitment or the ability of enrolled participants to complete the trial or result in potential product liability claims. Any of these occurrences may prevent us from achieving or maintaining market acceptance of the affected product candidate and may adversely affect our business, financial condition and prospects significantly.</w:t>
      </w:r>
    </w:p>
    <w:p>
      <w:pPr>
        <w:spacing w:after="0" w:line="7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Icovamenib, BMF-500, BMF-650 or future product candidates may be used in populations for which safety concerns may be reviewed by regulatory agencies. For example, if the administration of icovamenib leads to levels of menin inhibition that far exceed those achieved by well-studied non-covalent menin inhibitors, it is possible that participants' responses could be both unexpected and negative. In addition, we or our future collaborators may study icovamenib in combination with other therapies, which may exacerbate adverse events associated with the therapy.</w:t>
      </w:r>
    </w:p>
    <w:p>
      <w:pPr>
        <w:spacing w:after="0" w:line="72"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If further significant adverse events or other side effects are observed in any of our current or future clinical trials, we may have difficulty recruiting participants to the clinical trials, participants may drop out of our trials, or we may be required to abandon the trials or our development efforts of that product candidate altogether. We, the FDA, other comparable regulatory authorities or an IRB may suspend clinical trials of a product candidate at any time for various reasons, including a belief that participants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materially adversely affect our business, financial condition and prospects.</w:t>
      </w:r>
    </w:p>
    <w:p>
      <w:pPr>
        <w:spacing w:after="0" w:line="8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Further, if any of our product candidates obtains marketing approval, toxicities associated with such product candidates previously not seen during clinical testing may also develop after such approval and lead to a number of potentially significant negative consequences, including, but not limited to:</w:t>
      </w:r>
    </w:p>
    <w:p>
      <w:pPr>
        <w:spacing w:after="0" w:line="54" w:lineRule="exact"/>
        <w:rPr>
          <w:sz w:val="20"/>
          <w:szCs w:val="20"/>
          <w:color w:val="auto"/>
        </w:rPr>
      </w:pPr>
    </w:p>
    <w:p>
      <w:pPr>
        <w:ind w:left="260" w:hanging="252"/>
        <w:spacing w:after="0"/>
        <w:tabs>
          <w:tab w:leader="none" w:pos="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suspend, limit or withdraw approvals of such product, or seek an injunction against its manufacture or distribution;</w:t>
      </w:r>
    </w:p>
    <w:p>
      <w:pPr>
        <w:spacing w:after="0" w:line="117" w:lineRule="exact"/>
        <w:rPr>
          <w:rFonts w:ascii="Times New Roman" w:cs="Times New Roman" w:eastAsia="Times New Roman" w:hAnsi="Times New Roman"/>
          <w:sz w:val="18"/>
          <w:szCs w:val="18"/>
          <w:color w:val="auto"/>
        </w:rPr>
      </w:pPr>
    </w:p>
    <w:p>
      <w:pPr>
        <w:ind w:left="260" w:right="20" w:hanging="252"/>
        <w:spacing w:after="0" w:line="282" w:lineRule="auto"/>
        <w:tabs>
          <w:tab w:leader="none" w:pos="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 including “boxed” warnings, or issue safety alerts, Dear Healthcare Provider letters, press releases or other communications containing warnings or other safety information about the product;</w:t>
      </w:r>
    </w:p>
    <w:p>
      <w:pPr>
        <w:spacing w:after="0" w:line="5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the product is administered or conduct additional clinical trials or post-approval studies;</w:t>
      </w:r>
    </w:p>
    <w:p>
      <w:pPr>
        <w:spacing w:after="0" w:line="117" w:lineRule="exact"/>
        <w:rPr>
          <w:rFonts w:ascii="Times New Roman" w:cs="Times New Roman" w:eastAsia="Times New Roman" w:hAnsi="Times New Roman"/>
          <w:sz w:val="18"/>
          <w:szCs w:val="18"/>
          <w:color w:val="auto"/>
        </w:rPr>
      </w:pPr>
    </w:p>
    <w:p>
      <w:pPr>
        <w:ind w:left="260" w:right="60" w:hanging="252"/>
        <w:spacing w:after="0" w:line="282" w:lineRule="auto"/>
        <w:tabs>
          <w:tab w:leader="none" w:pos="2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risk evaluation and mitigation strategy (REMS), which could include a medication guide outlining the risks of such side effects for distribution to participants;</w:t>
      </w: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39" w:name="page40"/>
    <w:bookmarkEnd w:id="39"/>
    <w:p>
      <w:pPr>
        <w:ind w:left="260" w:hanging="252"/>
        <w:spacing w:after="0"/>
        <w:tabs>
          <w:tab w:leader="none" w:pos="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fines, injunctions or the imposition of criminal penalties;</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participants; and</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11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believe that any of these events could prevent us from achieving or maintaining market acceptance of the particular product candidate, if approved, and could seriously harm our business.</w:t>
      </w:r>
    </w:p>
    <w:p>
      <w:pPr>
        <w:spacing w:after="0" w:line="50"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participants data become available and are subject to audit and verification procedures that could result in material changes in the final data.</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From time to time, we have announced or published, and may continue to publicly disclose, interim,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8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From time to time, we may also disclose interim data from our preclinical studies and clinical trials. Interim data from clinical trials that we may complete are subject to the risk that one or more of the clinical outcomes may materially change as participant enrollment continues and more participant data become available or as participants from our clinical trials continue other treatments for their disease. Adverse differences between preliminary or interim data and final data could materially adversely affect our business prospects. Further, disclosure of interim data by us or by our competitors could result in volatility in the price of our common stock.</w:t>
      </w:r>
    </w:p>
    <w:p>
      <w:pPr>
        <w:spacing w:after="0" w:line="7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study population size, safety database size, interpretations of data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adversely affected, which could materially adversely affect our business, financial condition and results of operations.</w:t>
      </w:r>
    </w:p>
    <w:p>
      <w:pPr>
        <w:spacing w:after="0" w:line="80"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obtain regulatory approval of our product candidates, the products may not gain market acceptance among physicians, patients, hospitals, and others in the medical community.</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Various factors will influence whether our product candidates, if approved, are accepted in the market, including:</w:t>
      </w:r>
    </w:p>
    <w:p>
      <w:pPr>
        <w:spacing w:after="0" w:line="117" w:lineRule="exact"/>
        <w:rPr>
          <w:sz w:val="20"/>
          <w:szCs w:val="20"/>
          <w:color w:val="auto"/>
        </w:rPr>
      </w:pPr>
    </w:p>
    <w:p>
      <w:pPr>
        <w:ind w:left="260" w:hanging="252"/>
        <w:spacing w:after="0"/>
        <w:tabs>
          <w:tab w:leader="none" w:pos="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our product candidates are approved;</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physicians, hospitals, and patients considering our product candidates as a safe and effective treatment;</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our product candidates over alternative treatments;</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demonstrate the advantages of our product candidates over other available medicines;</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for other precision medicines and public perception of other precision medicines;</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or product insert requirements of the FDA or other regulatory authorities;</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labeling approved by the FDA;</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our product candidates as well as competitive products;</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 relation to alternative treatments;</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and the availability of adequate coverage and reimbursement by third-party payors and government authorities;</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pay out-of-pocket in the absence of coverage by third-party payors and government authorities;</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 including as compared to alternative treatments and competitive therapies; and</w:t>
      </w: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40" w:name="page41"/>
    <w:bookmarkEnd w:id="40"/>
    <w:p>
      <w:pPr>
        <w:ind w:left="260" w:hanging="252"/>
        <w:spacing w:after="0"/>
        <w:tabs>
          <w:tab w:leader="none" w:pos="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efforts.</w:t>
      </w:r>
    </w:p>
    <w:p>
      <w:pPr>
        <w:spacing w:after="0" w:line="11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If our product candidates are approved but fail to achieve market acceptance among physicians, patients, hospitals, or others in the medical community, we will not be able to generate significant revenue.</w:t>
      </w:r>
    </w:p>
    <w:p>
      <w:pPr>
        <w:spacing w:after="0" w:line="54"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addition, although our product candidates differ in certain ways from other precision medicine approaches, serious adverse events or deaths in other clinical trials involving precision medicines, even if not ultimately attributable to our product or product candidates, could result in increased government regulation, unfavorable public perception and publicity, potential regulatory delays in the testing or licensing of our product candidates, stricter labeling requirements for those product candidates that are licensed, and a decrease in demand for any such product candidates.</w:t>
      </w:r>
    </w:p>
    <w:p>
      <w:pPr>
        <w:spacing w:after="0" w:line="72"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Even if any products we develop achieve market acceptance, we may not be able to maintain that market acceptance over time if new products or technologies are introduced that are more favorably received than our products, are more cost effective or render our products obsolete.</w:t>
      </w:r>
    </w:p>
    <w:p>
      <w:pPr>
        <w:spacing w:after="0" w:line="50"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Coverage and reimbursement of newly-approved products from third-party payors is uncertain. Our product candidates may become subject to unfavorable pricing regulations and/or third-party coverage and reimbursement policies, either of which would adversely affect our business. Failure to obtain or maintain adequate coverage and reimbursement for our product candidates, if approved, could limit our ability to market those products and decrease our ability to generate revenue.</w:t>
      </w:r>
    </w:p>
    <w:p>
      <w:pPr>
        <w:spacing w:after="0" w:line="7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product candidates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The availability of coverage and extent of reimbursement by governmental and private payors is essential for most patients to be able to afford treatments such as gene therapy products. Sales of these or future product candidates that we may identify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coverage and adequate reimbursement are not available, or are available only to limited levels, we may not be able to successfully commercialize our product candidates. For additional information, see the section of our Annual Report on Form 10-K filed with the SEC on March 24, 2026 titled “Business—Government Regulation—Coverage and Reimbursement.”</w:t>
      </w:r>
    </w:p>
    <w:p>
      <w:pPr>
        <w:spacing w:after="0" w:line="8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regulations that govern marketing approvals, pricing, coverage and reimbursement for new drugs vary widely from country to country. In the United States, recently enacted legislation may materially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w:t>
      </w:r>
    </w:p>
    <w:p>
      <w:pPr>
        <w:spacing w:after="0" w:line="84"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18"/>
          <w:szCs w:val="18"/>
          <w:color w:val="auto"/>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reimbursement rates third-party payors for any approved products that we develop could have a material adverse effect on our business, financial condition and results of operations, our ability to raise capital needed to commercialize products and our overall financial condition.</w:t>
      </w:r>
    </w:p>
    <w:p>
      <w:pPr>
        <w:spacing w:after="0" w:line="7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Reimbursement may impact the demand for, or the price of, any product candidate for which we obtain marketing approval. In order to obtain reimbursement, physicians may need to show that patients have superior treatment outcomes with our products compared to standard of care drugs, including lower-priced generic versions of standard of care drugs.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80"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which may not be sufficiently covered by insurance, and may be required to limit commercialization of our product candidates.</w:t>
      </w: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1" w:name="page42"/>
    <w:bookmarkEnd w:id="41"/>
    <w:p>
      <w:pPr>
        <w:ind w:right="60"/>
        <w:spacing w:after="0" w:line="255"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planned clinical testing of our product candidates and will face an even greater risk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81" w:lineRule="exact"/>
        <w:rPr>
          <w:sz w:val="20"/>
          <w:szCs w:val="20"/>
          <w:color w:val="auto"/>
        </w:rPr>
      </w:pPr>
    </w:p>
    <w:p>
      <w:pPr>
        <w:ind w:left="260" w:hanging="252"/>
        <w:spacing w:after="0"/>
        <w:tabs>
          <w:tab w:leader="none" w:pos="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 candidates or products that we may develop;</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 restrictions on product development plans, or clinical holds;</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time and our resources;</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exhaustion of any available insurance and our capital resources;</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 candidate; and</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our share price.</w:t>
      </w:r>
    </w:p>
    <w:p>
      <w:pPr>
        <w:spacing w:after="0" w:line="11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Failure to obtain or retain sufficient product liability insurance at an acceptable cost to protect against potential product liability claims could prevent or inhibit the commercialization of products we develop, alone or with corporate collaborators. Although we have clinical trial insurance that we believe is appropriate for our stage of development, our insurance policies also have various exclusions, and we may be subject to a product liability claim for which we have no coverage and may need to obtain higher levels prior to marketing any of our product candidates if approved.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 and financial condition.</w:t>
      </w:r>
    </w:p>
    <w:p>
      <w:pPr>
        <w:spacing w:after="0" w:line="76" w:lineRule="exact"/>
        <w:rPr>
          <w:sz w:val="20"/>
          <w:szCs w:val="20"/>
          <w:color w:val="auto"/>
        </w:rPr>
      </w:pPr>
    </w:p>
    <w:p>
      <w:pPr>
        <w:ind w:right="1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never commercialized a product candidate before and may lack the necessary expertise, personnel and resources to successfully commercialize any products on our own or together with suitable collaborators.</w:t>
      </w:r>
    </w:p>
    <w:p>
      <w:pPr>
        <w:spacing w:after="0" w:line="51"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We have never commercialized a product candidate and we currently have no sales force, marketing or distribution capabilities. To achieve commercial success for the product candidates which we may license to others, we will rely on the assistance and guidance of those collaborators. For product candidates for which we retain commercialization rights and marketing approval, we will have to develop our own sales, marketing and supply organization or outsource these activities to a third party.</w:t>
      </w:r>
    </w:p>
    <w:p>
      <w:pPr>
        <w:spacing w:after="0" w:line="7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Factors that may affect our ability to commercialize our product candidates, if approved, on our own include recruiting and retaining adequate numbers of effective sales and marketing personnel, developing adequate educational and marketing programs to increase public acceptance of our product candidates, ensuring regulatory compliance of our future approved products, the company, employees and third parties under applicable healthcare laws and other unforeseen costs associated with creating an independent sales and marketing organization. Developing a sales and marketing organization will be expensive and time-consuming and could delay the launch of our product candidates upon approval. We may not be able to build an effective sales and marketing organization. If we are unable to build our own distribution and marketing capabilities or to find suitable partners for the commercialization of our product candidates, we may not generate revenue from them or be able to reach or sustain profitability.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Regulatory Process and Other Legal Compliance Matters</w:t>
      </w:r>
    </w:p>
    <w:p>
      <w:pPr>
        <w:spacing w:after="0" w:line="117"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other comparable foreign regulatory authorities are lengthy, time consuming and inherently unpredictable. If we are not able to obtain, or if there are delays in obtaining, required regulatory approvals for our product candidates, we will not be able to commercialize, or will be delayed in commercializing, our product candidates, and our</w:t>
      </w: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t>ability to generate revenue will be materially impaired.</w:t>
      </w:r>
    </w:p>
    <w:p>
      <w:pPr>
        <w:spacing w:after="0" w:line="12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cannot commercialize product candidates in the United States without first obtaining regulatory approval from the FDA. Similarly, we cannot commercialize product candidates outside of the United States without obtaining regulatory approval from comparable foreign regulatory authorities. Before obtaining regulatory approvals for the commercial sale of our product candidates, including our lead product candidate icovamenib, we must demonstrate through lengthy, complex and expensive preclinical studies and clinical trials that our product candidates are both safe and effective for each targeted indication.</w:t>
      </w:r>
    </w:p>
    <w:p>
      <w:pPr>
        <w:spacing w:after="0" w:line="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Securing regulatory approval also requires the submission of information about the drug manufacturing process to, and inspection of manufacturing facilities by, the relevant regulatory authority. Further, our product candidates may not be effective, may be only moderately effective or may prove to have undesirable or unintended side effects, toxicities or other characteristics that may preclude us obtaining marketing approval.</w:t>
      </w:r>
    </w:p>
    <w:p>
      <w:pPr>
        <w:spacing w:after="0" w:line="6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process of obtaining regulatory approvals, both in the United States and abroad, is unpredictable, expensive and typically takes many years following commencement of clinical trials,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IND, NDA or equivalent application types, may cause delays in the approval or rejection of an application. In February 2026, the FDA Commissioner publicly indicated that a single adequate and well-controlled pivotal clinical trial supported by confirmatory evidence will be the FDA’s default standard moving forward for novel products, rather than two such trials; this statement was not a formal agency action, and the scope, implementation and durability of this policy position remain uncertain. FDA retains broad discretion to require additional clinical data for any product candidate, including a second adequate and well-controlled clinical trial. Additionally, comparable authorities in other countries have substantial discretion in the approval process and may refuse to accept any application or may decide that our data are insufficient for approval and require additional preclinical, clinical or other data. Our product candidates could be delayed in receiving, or fail to receive, regulatory approval for many reasons, including the following:</w:t>
      </w:r>
    </w:p>
    <w:p>
      <w:pPr>
        <w:spacing w:after="0" w:line="84" w:lineRule="exact"/>
        <w:rPr>
          <w:sz w:val="20"/>
          <w:szCs w:val="20"/>
          <w:color w:val="auto"/>
        </w:rPr>
      </w:pPr>
    </w:p>
    <w:p>
      <w:pPr>
        <w:ind w:left="260" w:right="20" w:hanging="252"/>
        <w:spacing w:after="0" w:line="258" w:lineRule="auto"/>
        <w:tabs>
          <w:tab w:leader="none" w:pos="2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suspend or prohibit completion of our clinical trials, such as through the clinical hold placed on our INDs for the Phase I/II clinical trials of icovamenib in type 2 and type 1 diabetes, which was lifted in September 2024, or they may disagree with the design or implementation of our clinical trials or require us to modify the design of our clinical trials, including additional procedures and contingency measures in response to public health emergencies like a pandemic, or as required by clinical sites, IRBs, the FDA or other regulatory authorities;</w:t>
      </w:r>
    </w:p>
    <w:p>
      <w:pPr>
        <w:spacing w:after="0" w:line="75" w:lineRule="exact"/>
        <w:rPr>
          <w:rFonts w:ascii="Times New Roman" w:cs="Times New Roman" w:eastAsia="Times New Roman" w:hAnsi="Times New Roman"/>
          <w:sz w:val="18"/>
          <w:szCs w:val="18"/>
          <w:color w:val="auto"/>
        </w:rPr>
      </w:pPr>
    </w:p>
    <w:p>
      <w:pPr>
        <w:ind w:left="260" w:right="220" w:hanging="252"/>
        <w:spacing w:after="0" w:line="282" w:lineRule="auto"/>
        <w:tabs>
          <w:tab w:leader="none" w:pos="2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population studied in the clinical trial may not be sufficiently broad or representative to assure efficacy and safety in the full population for which we seek approval;</w:t>
      </w:r>
    </w:p>
    <w:p>
      <w:pPr>
        <w:spacing w:after="0" w:line="53" w:lineRule="exact"/>
        <w:rPr>
          <w:rFonts w:ascii="Times New Roman" w:cs="Times New Roman" w:eastAsia="Times New Roman" w:hAnsi="Times New Roman"/>
          <w:sz w:val="18"/>
          <w:szCs w:val="18"/>
          <w:color w:val="auto"/>
        </w:rPr>
      </w:pPr>
    </w:p>
    <w:p>
      <w:pPr>
        <w:ind w:left="260" w:right="580" w:hanging="252"/>
        <w:spacing w:after="0" w:line="282" w:lineRule="auto"/>
        <w:tabs>
          <w:tab w:leader="none" w:pos="2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product candidate is safe and effective for its proposed indication;</w:t>
      </w:r>
    </w:p>
    <w:p>
      <w:pPr>
        <w:spacing w:after="0" w:line="53" w:lineRule="exact"/>
        <w:rPr>
          <w:rFonts w:ascii="Times New Roman" w:cs="Times New Roman" w:eastAsia="Times New Roman" w:hAnsi="Times New Roman"/>
          <w:sz w:val="18"/>
          <w:szCs w:val="18"/>
          <w:color w:val="auto"/>
        </w:rPr>
      </w:pPr>
    </w:p>
    <w:p>
      <w:pPr>
        <w:ind w:left="260" w:right="520" w:hanging="252"/>
        <w:spacing w:after="0" w:line="282" w:lineRule="auto"/>
        <w:tabs>
          <w:tab w:leader="none" w:pos="2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spacing w:after="0" w:line="53" w:lineRule="exact"/>
        <w:rPr>
          <w:rFonts w:ascii="Times New Roman" w:cs="Times New Roman" w:eastAsia="Times New Roman" w:hAnsi="Times New Roman"/>
          <w:sz w:val="18"/>
          <w:szCs w:val="18"/>
          <w:color w:val="auto"/>
        </w:rPr>
      </w:pPr>
    </w:p>
    <w:p>
      <w:pPr>
        <w:ind w:left="260" w:right="460" w:hanging="252"/>
        <w:spacing w:after="0" w:line="282" w:lineRule="auto"/>
        <w:tabs>
          <w:tab w:leader="none" w:pos="2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 or that a product candidate has an acceptable benefit-risk ratio for its proposed indication;</w:t>
      </w:r>
    </w:p>
    <w:p>
      <w:pPr>
        <w:spacing w:after="0" w:line="5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preclinical studies or clinical trials;</w:t>
      </w:r>
    </w:p>
    <w:p>
      <w:pPr>
        <w:spacing w:after="0" w:line="117" w:lineRule="exact"/>
        <w:rPr>
          <w:rFonts w:ascii="Times New Roman" w:cs="Times New Roman" w:eastAsia="Times New Roman" w:hAnsi="Times New Roman"/>
          <w:sz w:val="18"/>
          <w:szCs w:val="18"/>
          <w:color w:val="auto"/>
        </w:rPr>
      </w:pPr>
    </w:p>
    <w:p>
      <w:pPr>
        <w:ind w:left="260" w:right="320" w:hanging="252"/>
        <w:spacing w:after="0" w:line="282" w:lineRule="auto"/>
        <w:tabs>
          <w:tab w:leader="none" w:pos="2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of an NDA or other submission or to obtain regulatory approval in the United States or elsewhere;</w:t>
      </w:r>
    </w:p>
    <w:p>
      <w:pPr>
        <w:spacing w:after="0" w:line="53" w:lineRule="exact"/>
        <w:rPr>
          <w:rFonts w:ascii="Times New Roman" w:cs="Times New Roman" w:eastAsia="Times New Roman" w:hAnsi="Times New Roman"/>
          <w:sz w:val="18"/>
          <w:szCs w:val="18"/>
          <w:color w:val="auto"/>
        </w:rPr>
      </w:pPr>
    </w:p>
    <w:p>
      <w:pPr>
        <w:ind w:left="260" w:right="120" w:hanging="252"/>
        <w:spacing w:after="0" w:line="282" w:lineRule="auto"/>
        <w:tabs>
          <w:tab w:leader="none" w:pos="2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staffing changes and backlogs at the FDA, or other comparable foreign regulatory authorities may create unexpected delays in the review and approval of any applications we may submit;</w:t>
      </w:r>
    </w:p>
    <w:p>
      <w:pPr>
        <w:spacing w:after="0" w:line="53" w:lineRule="exact"/>
        <w:rPr>
          <w:rFonts w:ascii="Times New Roman" w:cs="Times New Roman" w:eastAsia="Times New Roman" w:hAnsi="Times New Roman"/>
          <w:sz w:val="18"/>
          <w:szCs w:val="18"/>
          <w:color w:val="auto"/>
        </w:rPr>
      </w:pPr>
    </w:p>
    <w:p>
      <w:pPr>
        <w:ind w:left="260" w:right="220" w:hanging="252"/>
        <w:spacing w:after="0" w:line="282" w:lineRule="auto"/>
        <w:tabs>
          <w:tab w:leader="none" w:pos="2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fail to approve the manufacturing processes, test procedures, specifications, or facilities of third-party manufacturers with which we contract for clinical and commercial supplies;</w:t>
      </w:r>
    </w:p>
    <w:p>
      <w:pPr>
        <w:spacing w:after="0" w:line="53" w:lineRule="exact"/>
        <w:rPr>
          <w:rFonts w:ascii="Times New Roman" w:cs="Times New Roman" w:eastAsia="Times New Roman" w:hAnsi="Times New Roman"/>
          <w:sz w:val="18"/>
          <w:szCs w:val="18"/>
          <w:color w:val="auto"/>
        </w:rPr>
      </w:pPr>
    </w:p>
    <w:p>
      <w:pPr>
        <w:ind w:left="260" w:right="340" w:hanging="252"/>
        <w:spacing w:after="0" w:line="282" w:lineRule="auto"/>
        <w:tabs>
          <w:tab w:leader="none" w:pos="2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or otherwise fail or be unable to adequately perform their obligations to allow for the conduct of our planned or future clinical studies; and</w:t>
      </w:r>
    </w:p>
    <w:p>
      <w:pPr>
        <w:spacing w:after="0" w:line="53" w:lineRule="exact"/>
        <w:rPr>
          <w:rFonts w:ascii="Times New Roman" w:cs="Times New Roman" w:eastAsia="Times New Roman" w:hAnsi="Times New Roman"/>
          <w:sz w:val="18"/>
          <w:szCs w:val="18"/>
          <w:color w:val="auto"/>
        </w:rPr>
      </w:pPr>
    </w:p>
    <w:p>
      <w:pPr>
        <w:ind w:left="260" w:hanging="252"/>
        <w:spacing w:after="0" w:line="282" w:lineRule="auto"/>
        <w:tabs>
          <w:tab w:leader="none" w:pos="2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clinical data insufficient for approval.</w:t>
      </w:r>
    </w:p>
    <w:p>
      <w:pPr>
        <w:spacing w:after="0" w:line="54"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Of the large number of drugs in development, only a small percentage successfully complete the FDA or foreign regulatory approval processes and are commercialized. The lengthy approval process as well as the unpredictability of future clinical trial results may result in our failing to obtain regulatory approval to market our product candidates, which would materially adversely affect our</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business, results of operations and prospects.</w:t>
      </w:r>
    </w:p>
    <w:p>
      <w:pPr>
        <w:spacing w:after="0" w:line="11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FDA or a comparable foreign regulatory authority may require more information, including additional preclinical or clinical data to support approval, which may delay or prevent approval and our commercialization plans, or we may decide to abandon the development program. If we were to obtain approval, regulatory authorities may approve any of our product candidates for fewer or more limited indications than we request (including failing to approve the most commercially promising indications), may grant approval contingent on the performance of costly post-marketing clinical studies, or may approve a product candidate with a label that does not include the labeling claims necessary or desirable for the successful commercialization of that product candidate.</w:t>
      </w:r>
    </w:p>
    <w:p>
      <w:pPr>
        <w:spacing w:after="0" w:line="75"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 condition or disease we are conducting or plan to conduct clinical trials for may not be a rare disease or condition that is eligible for orphan drug designation or we may not be able to obtain orphan drug designation or obtain or maintain the benefits associated with orphan drug designation, such as orphan drug exclusivity and, even if we do, that exclusivity may not prevent the FDA or other comparable foreign regulatory authorities, from approving competing products.</w:t>
      </w:r>
    </w:p>
    <w:p>
      <w:pPr>
        <w:spacing w:after="0" w:line="72"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As part of our business strategy, we may seek orphan drug designation (ODD) for any eligible product candidates we develop, and we may be unsuccessful. Regulatory authorities in some jurisdictions, including the United States,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annually in the United States, or a patient population of 200,000 or more in the United States where there is no reasonable expectation that the cost of developing and making available the drug will be recovered from sales in the United States. Our target indications may include diseases with large patient populations or may include orphan indications. However, there can be no assurances that we will be able to obtain orphan designations for our product candidates.</w:t>
      </w:r>
    </w:p>
    <w:p>
      <w:pPr>
        <w:spacing w:after="0" w:line="8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the United States, ODD entitles a party to financial incentives such as opportunities for grant funding towards clinical trial costs, tax advantages, and user-fee waivers. In addition, if a product that has ODD subsequently receives the first FDA approval for the use or indication for which it has such designation, the product is entitled to orphan drug exclusivity. Orphan drug exclusivity in the United States provides that the FDA may not approve any other applications, including a full NDA, to market the same drug for the same approved use or indication for seven years, except in circumstances such as a showing of clinical superiority to the product with orphan product exclusivity in instances of supply issues.</w:t>
      </w:r>
    </w:p>
    <w:p>
      <w:pPr>
        <w:spacing w:after="0" w:line="7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Even if we obtain ODD for a product candidate, we may not be able to obtain or maintain orphan drug exclusivity for that product candidate. We may not be the first to obtain marketing approval of any product candidate for which we have obtained ODD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designation was materially defective or if we are unable to ensure that we will be able to manufacture sufficient quantities of the product to meet the needs of patients with the rare disease or condition. Further, even if we obtain orphan drug exclusivity for a product, that exclusivity may not effectively protect the product from competition because different drugs may be approved for the same approved use or indication. Even after an orphan drug is approved, the FDA can subsequently approve the same drug with the same active moiety for the same approved use or indication if the FDA concludes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time or regulatory review time of a drug nor gives the product candidate any advantage in the regulatory review or approval process.</w:t>
      </w:r>
    </w:p>
    <w:p>
      <w:pPr>
        <w:spacing w:after="0" w:line="80"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Breakthrough Therapy designation or Fast Track designation by the FDA, even if granted for any of our product candidates, may not lead to a faster development, regulatory review or approval process, and each designation does not increase the likelihood that any of our product candidates will receive regulatory approval in the United States.</w:t>
      </w:r>
    </w:p>
    <w:p>
      <w:pPr>
        <w:spacing w:after="0" w:line="6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may seek Breakthrough Therapy designation for some of our product candidates.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Products designated as Breakthrough Therapies by the FDA may also be eligible for priority review and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 or decide that the time period for FDA review or approval will not be shortened.</w:t>
      </w: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4" w:name="page45"/>
    <w:bookmarkEnd w:id="44"/>
    <w:p>
      <w:pPr>
        <w:ind w:right="40"/>
        <w:spacing w:after="0" w:line="255" w:lineRule="auto"/>
        <w:rPr>
          <w:sz w:val="20"/>
          <w:szCs w:val="20"/>
          <w:color w:val="auto"/>
        </w:rPr>
      </w:pPr>
      <w:r>
        <w:rPr>
          <w:rFonts w:ascii="Times New Roman" w:cs="Times New Roman" w:eastAsia="Times New Roman" w:hAnsi="Times New Roman"/>
          <w:sz w:val="18"/>
          <w:szCs w:val="18"/>
          <w:color w:val="auto"/>
        </w:rPr>
        <w:t>We may seek Fast Track designations for some of our product candidates. If a drug or biologic is intended for the treatment of a serious or life-threatening condition and the drug or biologic demonstrates the potential to address unmet medical needs for this condition, the sponsor may apply for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77"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Accelerated approval by the FDA, even if granted for our current or any other future product candidates, may not lead to a faster development or regulatory review or approval process and it does not increase the likelihood that our product candidates will receive regulatory approval.</w:t>
      </w:r>
    </w:p>
    <w:p>
      <w:pPr>
        <w:spacing w:after="0" w:line="51"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We may seek accelerated approval of our current or future product candidates using the FDA’s accelerated approval pathway. A product may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or IMM, that is reasonably likely to predict an effect on IMM or other clinical benefit. As a condition of approval, the FDA requires that a sponsor of a drug or biologic receiving accelerated approval perform adequate and well-controlled post-marketing clinical trials. These confirmatory trials must be completed with due diligence. Under FDORA, the FDA is permitted to require, as appropriate, that a post-approval confirmatory study or studies be underway prior to approval or within a specified time period after the date of approval for a product granted accelerated approval. FDORA also requires sponsors to send updates to the FDA every 180 days on the status of such studies, including progress toward enrollment targets, and the FDA must promptly post this information publicly. FDORA also gives the FDA increased authority to withdraw approval of a drug granted accelerated approval on an expedited basis if the sponsor fails to conduct such studies in a timely manner, send the necessary updates to the FDA, or if such post-approval studies fail to verify the drug’s predicted clinical benefit. Under FDORA, the FDA is empowered to take action, such as issuing fines, against companies that fail to conduct with due diligence any post-approval confirmatory study or submit timely reports to the agency on their progress. In addition, the FDA currently requires, unless otherwise informed by the agency, pre-approval of promotional materials for products receiving accelerated approval, which could adversely impact the timing of the commercial launch of the product. Thus, even if we seek to utilize the accelerated approval pathway, we may not be able to obtain accelerated approval and, even if we do, we may not experience a faster development, regulatory review or approval process for that product. In addition, receiving accelerated approval does not assure that the product's accelerated approval will eventually be converted to a traditional approval.</w:t>
      </w:r>
    </w:p>
    <w:p>
      <w:pPr>
        <w:spacing w:after="0" w:line="8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priority review designation for one or more of our other product candidates, but we might not receive such designation, and even if we do, such designation may not lead to a faster regulatory review or approval process.</w:t>
      </w:r>
    </w:p>
    <w:p>
      <w:pPr>
        <w:spacing w:after="0" w:line="5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If the FDA determines that a product candidate offers a treatment for a serious condition and, if approved, the product would provide a significant improvement in safety or effectiveness, the FDA may designate the product candidate for priority review. A priority review designation means that the goal for the FDA to review an application is six months, rather than the standard review period of ten months. We may request priority review for our product candidates. The FDA has broad discretion with respect to whether or not to grant priority review status to a product candidate, so even if we believe a particular product candidate is eligible for such designation or status, the FDA may decide not to grant it. Moreover, a priority review designation does not necessarily result in an expedited regulatory review or approval process or necessarily confer any advantage with respect to approval compared to conventional FDA procedures. Receiving priority review from the FDA does not guarantee approval within the six-month review cycle or at all.</w:t>
      </w:r>
    </w:p>
    <w:p>
      <w:pPr>
        <w:spacing w:after="0" w:line="77"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5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Obtaining and maintaining regulatory approval of our product candidates in one jurisdiction does not guarantee that we will be able to obtain or maintain regulatory approval in any other jurisdiction. For example, even if the FDA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any products we develop is also subject to approval.</w:t>
      </w:r>
    </w:p>
    <w:p>
      <w:pPr>
        <w:spacing w:after="0" w:line="84"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establishing and maintaining compliance with foreign regulatory requirements could result in</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45" w:name="page46"/>
    <w:bookmarkEnd w:id="45"/>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significant delays, difficulties and costs for us and could delay or prevent the introduction of any products we develop in certain countries. If we or any future collaborator fail to comply with the regulatory requirements in international markets or fail to receive applicable marketing approvals, our target market will be reduced and our ability to realize the full market potential of our potential product candidates will be adversely affected.</w:t>
      </w:r>
    </w:p>
    <w:p>
      <w:pPr>
        <w:spacing w:after="0" w:line="64" w:lineRule="exact"/>
        <w:rPr>
          <w:sz w:val="20"/>
          <w:szCs w:val="20"/>
          <w:color w:val="auto"/>
        </w:rPr>
      </w:pPr>
    </w:p>
    <w:p>
      <w:pPr>
        <w:ind w:right="2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Changes in funding or disruptions at the FDA, the SEC and other government agencies caused by reduction in staffing, funding shortages or global health concerns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p>
    <w:p>
      <w:pPr>
        <w:spacing w:after="0" w:line="72"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Federal agencies in the U.S., including the FDA and the SEC, operate pursuant to annual appropriations and other political and budgetary processes, and may from time to time be subject to continuing resolutions, funding lapses, or other fiscal constraints. The FDA is currently funded through September 30, 2026. Without appropriation of sufficient funding to federal agencies, our business operations related to our product development activities for the U.S. market could be impacted. Inadequate funding for the FDA, the SEC, the United States Patent and Trademark Office (USPTO) and other government agencies, including from government shut 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 For example, the Trump administration has issued executive orders seeking to greatly reduce the size of the federal workforce, including through layoffs and severance packages offered to employees of federal agencies within the executive branch and independent agencies, including the FDA. Any such reduction in personnel may result in longer review times by the FDA and other agencies. In addition, with the change in the U.S. presidential administration in 2025, there is substantial uncertainty as to the extent and manner in which the U.S. government will seek to modify or revise the requirements and policies of the FDA and other regulatory agencies with jurisdiction over our product candidates and any products for which we obtain approval. This uncertainty could present new challenges and/or opportunities as we navigate development and approval of our product candidates. Additionally, the current administration could issue or promulgate executive orders, regulations, policies or guidance that adversely affect us or create a more challenging or costly environment to pursue the development of new therapeutic candidates. Also, state governments may seek to address or react to changes at the federal level with changes to their regulatory frameworks in a manner that could impact our operations.</w:t>
      </w:r>
    </w:p>
    <w:p>
      <w:pPr>
        <w:spacing w:after="0" w:line="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leadership and policy changes and other events that may otherwise affect the FDA’s ability to perform routine functions. Average review times at the FDA have fluctuated in recent years and may continue to fluctuate as a result of these factors. Disruptions at the FDA, the SEC, the USPTO and other agencies, including substantial leadership departures, personnel cuts and policy changes, may also slow the time necessary for new drugs to be reviewed and/or approved by necessary government agencies, which would adversely affect our business. Changes and cuts in FDA staffing have been reported as resulting in delays in the FDA’s responsiveness or in its ability to review IND submissions or applications, issue regulations or guidance, or implement or enforce regulatory requirements in a timely fashion or at all. Moreover, disruptions at the NIH or changes to the NIH’s budget may negatively impact our operations and ongoing clinical trials.</w:t>
      </w:r>
    </w:p>
    <w:p>
      <w:pPr>
        <w:spacing w:after="0" w:line="8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For example, the U.S. government has shut down several times. Most recently, from October 1, 2025 through November 12, 2025, the government experienced a full shutdown and from January 31, 2026 through February 3, 2026, the government experienced a partial shutdown, and certain regulatory agencies, such as the FDA and the SEC, had to furlough critical employees and stop critical activities. As of February 2026, most government agencies have been funded through September 2026, however if a future prolonged government shutdown occurs again, it could result in significant delays in the of FDA's ability to timely review and process any submissions we have filed or may file or cause other regulatory delays, which could have a material adverse effect on our business.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8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Further, in our operations as a public company, future government shutdowns or delays could impact our ability to access the public markets and obtain necessary capital in order to properly capitalize and continue our operations.</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46" w:name="page47"/>
    <w:bookmarkEnd w:id="46"/>
    <w:p>
      <w:pPr>
        <w:ind w:right="7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of our product candidates, we will be subject to extensive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6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Our product candidates and the activities associated with their development and potential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authorities in other countries.</w:t>
      </w:r>
    </w:p>
    <w:p>
      <w:pPr>
        <w:spacing w:after="0" w:line="6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Following potential approval of any of our current or future product candidates, the FDA or other comparable regulatory authorities may impose significant restrictions on a product’s indicated uses or marketing or impose ongoing requirements for potentially costly and time-consuming post-approval studies, post-market surveillance or clinical trials to monitor the safety and efficacy of the product. The FDA may also require a REMS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 requirements, tracking and tracing requirements, GLP requirements, and GCP requirements, for any clinical trials that we conduct post-approval. Additionally, under FDORA, sponsors of approved drugs and biologics must provide six months’ notice to the FDA of any changes in marketing status, such as the withdrawal of a drug. Failure to do so could result in the FDA sending a noncompliance letter, or placing the product on a list of discontinued products. Later discovery of previously unknown problems with our product candidates, including adverse events of unanticipated severity or frequency, or with our third-party manufacturers or manufacturing processes, or failure to comply with regulatory requirements, may result in, among other things:</w:t>
      </w:r>
    </w:p>
    <w:p>
      <w:pPr>
        <w:spacing w:after="0" w:line="79" w:lineRule="exact"/>
        <w:rPr>
          <w:sz w:val="20"/>
          <w:szCs w:val="20"/>
          <w:color w:val="auto"/>
        </w:rPr>
      </w:pPr>
    </w:p>
    <w:p>
      <w:pPr>
        <w:ind w:left="260" w:right="60" w:hanging="252"/>
        <w:spacing w:after="0" w:line="282" w:lineRule="auto"/>
        <w:tabs>
          <w:tab w:leader="none" w:pos="2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our product candidates, withdrawal of the product from the market or voluntary or mandatory product recalls;</w:t>
      </w:r>
    </w:p>
    <w:p>
      <w:pPr>
        <w:spacing w:after="0" w:line="5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delays and supply disruptions where regulatory inspections identify observations of noncompliance requiring remediation;</w:t>
      </w:r>
    </w:p>
    <w:p>
      <w:pPr>
        <w:spacing w:after="0" w:line="117" w:lineRule="exact"/>
        <w:rPr>
          <w:rFonts w:ascii="Times New Roman" w:cs="Times New Roman" w:eastAsia="Times New Roman" w:hAnsi="Times New Roman"/>
          <w:sz w:val="18"/>
          <w:szCs w:val="18"/>
          <w:color w:val="auto"/>
        </w:rPr>
      </w:pPr>
    </w:p>
    <w:p>
      <w:pPr>
        <w:ind w:left="260" w:right="340" w:hanging="252"/>
        <w:spacing w:after="0" w:line="282" w:lineRule="auto"/>
        <w:tabs>
          <w:tab w:leader="none" w:pos="2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revisions to the labeling, including limitation on approved uses or the addition of additional warnings, contraindications or other safety information, including boxed warnings;</w:t>
      </w:r>
    </w:p>
    <w:p>
      <w:pPr>
        <w:spacing w:after="0" w:line="5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REMS, which may include distribution or use restrictions;</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additional post-market clinical trials to assess the safety of the product;</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FDA Form 483s, warning or untitled letters or holds on clinical trials;</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suspension or revocation of approvals;</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our product candidates; and</w:t>
      </w:r>
    </w:p>
    <w:p>
      <w:pPr>
        <w:spacing w:after="0" w:line="117" w:lineRule="exact"/>
        <w:rPr>
          <w:rFonts w:ascii="Times New Roman" w:cs="Times New Roman" w:eastAsia="Times New Roman" w:hAnsi="Times New Roman"/>
          <w:sz w:val="18"/>
          <w:szCs w:val="18"/>
          <w:color w:val="auto"/>
        </w:rPr>
      </w:pPr>
    </w:p>
    <w:p>
      <w:pPr>
        <w:ind w:left="260" w:right="600" w:hanging="252"/>
        <w:spacing w:after="0" w:line="266" w:lineRule="auto"/>
        <w:tabs>
          <w:tab w:leader="none" w:pos="2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The occurrence of any event or penalty described above may inhibit our ability to commercialize our product candidates and generate revenue and could require us to expend significant time and resources in response and could generate negative publicity.</w:t>
      </w:r>
    </w:p>
    <w:p>
      <w:pPr>
        <w:spacing w:after="0" w:line="68"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In addition, the FDA’s and other regulatory authorities’ policies may change and additional government regulations may be enacted that could prevent, limit or delay regulatory approval of our product candidates. We also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measures aimed at reducing healthcare costs may have a material adverse effect on our business and results of operations.</w:t>
      </w:r>
    </w:p>
    <w:p>
      <w:pPr>
        <w:spacing w:after="0" w:line="121"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The United States and many foreign jurisdictions have enacted or proposed legislative and regulatory changes affecting the healthcare system that could prevent or delay marketing approval of our product candidates or any future product candidates, restrict or regulate post-approval activities and affect our ability to profitably sell a product for which we obtain marketing approval. 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 For additional information, see the section of our Annual Report on Form 10-K filed with the SEC on</w:t>
      </w: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auto"/>
        </w:rPr>
        <w:t>March 24, 2026 titled “Business—Government Regulation —Healthcare Reform.”</w:t>
      </w:r>
    </w:p>
    <w:p>
      <w:pPr>
        <w:spacing w:after="0" w:line="11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continuing efforts of the government, insurance companies, managed care organizations and other payers of healthcare services to contain or reduce costs of healthcare may adversely affect:</w:t>
      </w:r>
    </w:p>
    <w:p>
      <w:pPr>
        <w:spacing w:after="0" w:line="54" w:lineRule="exact"/>
        <w:rPr>
          <w:sz w:val="20"/>
          <w:szCs w:val="20"/>
          <w:color w:val="auto"/>
        </w:rPr>
      </w:pPr>
    </w:p>
    <w:p>
      <w:pPr>
        <w:ind w:left="260" w:hanging="252"/>
        <w:spacing w:after="0"/>
        <w:tabs>
          <w:tab w:leader="none" w:pos="2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any of our product candidates, if approved;</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set a price that we believe is fair for any of our product candidates, if approved;</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revenues and achieve or maintain profitability;</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 and</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11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 Any reduction in reimbursement from Medicare or other government programs may result in a similar reduction in payments from private payors, which may adversely affect our future profitability.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FDA and other regulatory agencies actively enforce the laws and regulations prohibiting the promotion of off-label uses.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if approved. Further, FDA’s Office of Prescription Drug Promotion (OPDP) actively scrutinizes promotional communications, including digital and social media; any materials that are false, misleading or promote unapproved uses can lead to enforcement actions and could necessitate corrective communications. In particular, while the FDA permits the dissemination of truthful and non-misleading information about an approved product, a manufacturer may not promote a product for uses that are not approved by the FDA or such other regulatory agencies as reflected in the product’s approved labeling. Although physicians may prescribe products for “off-label” uses in the exercise of their independent professional judgment, if we are found to have promoted such off-label uses, we may become subject to significant liability. The federal government has levied large civil and criminal fines against companies for alleged improper promotion of off-label use and has enjoined several companies from engaging in off-label promotion. The government has also imposed consent decrees, corporate integrity agreements or permanent injunctions under which specified promotional conduct must be changed or curtailed. If we cannot successfully manage the promotion of our product candidates, if approved, we could become subject to significant liability, which would materially adversely affect our business and financial condition. In the current administration, the FDA has increased its enforcement scrutiny over prescription drug advertising, particularly direct-to-consumer product promotion and advertising. If the FDA finds any of our promotional communications or advertising to be violative, we may receive an untitled or warning letter, requests for corrective advertising, or fines, amongst other enforcement tools available to the FDA.</w:t>
      </w:r>
    </w:p>
    <w:p>
      <w:pPr>
        <w:spacing w:after="0" w:line="84"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principal investigators, CROs, suppliers, and vendors may engage in misconduct or other improper activities, including noncompliance with regulatory standards and requirements.</w:t>
      </w:r>
    </w:p>
    <w:p>
      <w:pPr>
        <w:spacing w:after="0" w:line="5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consultants, principal investigators, CROs, suppliers, and vendors acting for or on our behalf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research,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material adversely affect to our reputation.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w:t>
      </w:r>
    </w:p>
    <w:p>
      <w:pPr>
        <w:spacing w:after="0" w:line="8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48" w:name="page49"/>
    <w:bookmarkEnd w:id="48"/>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operations and current and future relationships with investigators, healthcare professionals, consultants, third-party payors, patient organizations, and customers will be subject to applicable healthcare regulatory laws, which could expose us to penalties.</w:t>
      </w:r>
    </w:p>
    <w:p>
      <w:pPr>
        <w:spacing w:after="0" w:line="5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Pharmaceutical companies are subject to additional healthcare regulation and enforcement by the federal government and by authorities in the states and foreign jurisdictions in which they conduct their business and may constrain the financial arrangements and relationships through which we research, as well as sell, market and distribute any products for which we obtain marketing approval. Such laws include, without limitation, federal and state anti-kickback, fraud and abuse, false claims, data privacy and security and physician and other healthcare provider payment transparency laws and regulations. If their operations are found to be in violation of any such laws or any other governmental regulations that apply, they may be subject to significant penalties, including, without limitation, administrative, civil and criminal penalties, damages, fines, disgorgement, the curtailment or restructuring of operations, integrity oversight and reporting obligations, exclusion from participation in federal and state healthcare programs and imprisonment. For additional information, see the section of our Annual Report on Form 10-K filed with the SEC on March 24, 2026 titled “Business—Government Regulation—Other Healthcare Laws.”</w:t>
      </w:r>
    </w:p>
    <w:p>
      <w:pPr>
        <w:spacing w:after="0" w:line="8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Ensuring that our internal operations and future business arrangements with third parties comply with applicable healthcare laws and regulations will involve substantial costs. It is possible that governmental authorities will conclude that our business practices, including our relationships with physicians and other healthcare providers, some of whom may be compensated in the form of stock or stock options for services provided to us and may be in the position to influence the ordering of or use of our product candidates, if approved, may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such as Medicare and Medicaid or similar programs in other countries or jurisdictions, integrity oversight and reporting obligations to resolve allegations of non-compliance, disgorgement, individual imprisonment, contractual damages, reputational harm, diminished profits and the curtailment or restructuring of our operations. If any of the physicians or other providers or entities with whom we expect to do business are found to not be in compliance with applicable laws, they may be subject to significant criminal, civil or administrative sanctions, including exclusions from government funded healthcare programs and imprisonment, which could affect our ability to operate our business. Further, defending against any such actions can be costly, time-consuming and may require significant personnel resources. Therefore, even if we are successful in defending against any such actions that may be brought against us, our business may be impaired.</w:t>
      </w:r>
    </w:p>
    <w:p>
      <w:pPr>
        <w:spacing w:after="0" w:line="8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or may become subject to stringent and changing laws, regulations, contractual obligations, and other obligations relating to privacy, data protection, and information security. The actual or perceived failure by us or our partners, customers, vendors, third-party payors or other related third parties to comply with such obligations could harm our reputation, subject us to significant fines and liability, or otherwise adversely affect our business.</w:t>
      </w:r>
    </w:p>
    <w:p>
      <w:pPr>
        <w:spacing w:after="0" w:line="72"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There are numerous domestic and foreign laws, regulations, and other legal obligations regarding privacy, data protection, and information security, the scope of which are changing and subject to differing applications and interpretations, and which may be inconsistent among jurisdictions or conflict with each other. Privacy, data protection, and information security laws and regulations worldwide are, and are likely to remain, uncertain for the foreseeable future, and the actual or perceived failure to address or comply with them by us or our partners, customers, vendors, or other related third-parties could increase our compliance and operational costs, expose us to regulatory scrutiny, actions, fines and penalties, result in reputational harm, lead to a loss of customers; reduce the use of our products, result in litigation and liability, cause a material adverse impact to business operations or financial results, or otherwise result in material harm to our business.</w:t>
      </w:r>
    </w:p>
    <w:p>
      <w:pPr>
        <w:spacing w:after="0" w:line="8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the U.S., numerous states have in recent years introduced and enacted more and more comprehensive privacy, data protection, and information security laws, adding complexity, variation in requirements, restrictions and potential legal risk requiring additional investment of resources in compliance programs. By way of example, the California Consumer Privacy Act (CCPA), which went into effect on January 1, 2020, affords consumers expanded privacy protections, including expanded rights to access and require deletion of their personal information, opt-out of certain personal information sharing, and receive detailed information about how their personal information is used. Similar privacy laws have been proposed at the federal level and in other states, creating a complicated national patchwork. Furthermore, some states have proposed or enacted legislation specifically focused on health privacy, such as Washington’s My Health My Data Act, with similar statutes in Nevada and Connecticut. The effects of state privacy laws are significant and may require us to modify our data processing practices and policies and to incur substantial costs and potential liability in an effort to comply with such legislation.</w:t>
      </w:r>
    </w:p>
    <w:p>
      <w:pPr>
        <w:spacing w:after="0" w:line="8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Additionally, we are or may become subject to the terms of internal and external policies, representations, standards, contractual obligations, and other obligations to third parties related to privacy, data protection, and information security. Our actual or perceived failure to comply with them may cause us to suffer a material adverse impact to our business operations or financial results, or otherwise result in material harm to our business.</w:t>
      </w: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49" w:name="page50"/>
    <w:bookmarkEnd w:id="49"/>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Moreover, in the United States, most healthcare providers, including research institutions from which we obtain participant health information, are subject to privacy and security regulations promulgated under HIPAA, as amended by HITECH, and their respective implementing regulations. Compliance with HIPAA and HITECH may require us to modify our data processing policies and to incur substantial costs and expenses.</w:t>
      </w:r>
    </w:p>
    <w:p>
      <w:pPr>
        <w:spacing w:after="0" w:line="6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Regulators and legislators in the U.S. are increasingly scrutinizing and restricting certain personal data transfers and transactions involving foreign countries. For example, the Department of Justice’s January 8, 2025, rule on “Preventing Access to U.S. Sensitive Personal Data and Government-Related Data by Countries of Concern or Covered Persons,” prohibits data brokerage transactions involving certain sensitive personal data categories, including health data, genetic data, and biospecimens, to countries of concern, including China. The regulations also restrict certain investment agreements, employment agreements and vendor agreements involving such data and countries of concern, absent specified cybersecurity controls. Actual or alleged violations of these regulations may be punishable by criminal and/or civil sanctions and may result in exclusion from participation in federal and state programs.</w:t>
      </w:r>
    </w:p>
    <w:p>
      <w:pPr>
        <w:spacing w:after="0" w:line="81"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Additionally, we may use and integrate artificial intelligence into our business processes, both in our own development and implementation of artificial intelligence through the adoption of commercially available tools. Use of this technology could pose cybersecurity, data privacy, information technology, intellectual property, regulatory, legal, operational, competitive, reputational, and other risks and challenges that could affect our business. Specifically, risks related to accuracy, bias, artificial intelligence hallucinations, discrimination, harmful content, misinformation, fraud, scams, targeted attacks (including model poisoning or data poisoning), surveillance, data leakage, inequality, environmental harms, and other harms may flow from our development, use, or deployment of artificial intelligence technologies. A growing number of legislators and regulators are adopting laws and regulations and have focused enforcement efforts on the adoption of artificial intelligence, and use of such technologies in compliance with ethical standards and societal expectations. These developments may increase our compliance burden and costs in connection with use of artificial intelligence and lead to legal liability if we fail to meet evolving legal standards or if use of such technologies results in harms or other causes of action we did not predict.</w:t>
      </w:r>
    </w:p>
    <w:p>
      <w:pPr>
        <w:spacing w:after="0" w:line="80"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may in the future receive inquiries or be subject to investigations, proceedings, or actions by governmental entities, or litigation by private parties, regarding our privacy, data protection, and information security practices, which could result in a cause a material adverse impact to our business operations or financial results, or otherwise result in material harm to our business, including without limitation, interruptions of or requirements to make changes to our business practices, the diversion of resources and the attention of management from our business, regulatory oversights and audits, discontinuance of necessary data processing, or other remedies that adversely affect our business.</w:t>
      </w:r>
    </w:p>
    <w:p>
      <w:pPr>
        <w:spacing w:after="0" w:line="71"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6"/>
          <w:szCs w:val="16"/>
          <w:b w:val="1"/>
          <w:bCs w:val="1"/>
          <w:i w:val="1"/>
          <w:iCs w:val="1"/>
          <w:color w:val="auto"/>
        </w:rPr>
        <w:t xml:space="preserve">The use of new and evolving technologies, such as artificial intelligence, in our business may result in spending material resources and presents </w:t>
      </w:r>
      <w:r>
        <w:rPr>
          <w:rFonts w:ascii="Times New Roman" w:cs="Times New Roman" w:eastAsia="Times New Roman" w:hAnsi="Times New Roman"/>
          <w:sz w:val="17"/>
          <w:szCs w:val="17"/>
          <w:b w:val="1"/>
          <w:bCs w:val="1"/>
          <w:i w:val="1"/>
          <w:iCs w:val="1"/>
          <w:color w:val="auto"/>
        </w:rPr>
        <w:t>risks and challenges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7"/>
          <w:szCs w:val="17"/>
          <w:b w:val="1"/>
          <w:bCs w:val="1"/>
          <w:i w:val="1"/>
          <w:iCs w:val="1"/>
          <w:color w:val="auto"/>
        </w:rPr>
        <w:t>that can impact our business, including by posing security and other risks to our confidential and/or proprietary information, including personal information, and, as a result, we may be exposed to reputational harm and liability.</w:t>
      </w:r>
    </w:p>
    <w:p>
      <w:pPr>
        <w:spacing w:after="0" w:line="4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may use and integrate artificial intelligence into our business processes, and this innovation presents risks and challenges that could affect its adoption and, therefore, our business. The use of certain artificial intelligence technology can give rise to intellectual property risks, including compromises to proprietary intellectual property and intellectual property infringement. Additionally, we expect to see increasing government and supranational regulation related to artificial intelligence use and ethics, which may also significantly increase the burden and cost of research, development, and compliance in this area. For example, the EU’s Artificial Intelligence Act (the EU AI Act)—the world’s first comprehensive artificial intelligence law—entered into force in June 2024 and, with some exceptions, becomes effective 24 months thereafter. This legislation imposes significant obligations on providers and deployers of high risk artificial intelligence systems, and encourages providers and deployers of artificial intelligence systems to account for EU ethical principles in their development and use of these systems. Likewise, in the United States, the regulatory environment is complex and uncertain. President Trump's Executive Order "Ensuring a National Policy Framework for Artificial Intelligence," effective December 11, 2025 (the Executive Order), tasks the U.S. Department of Justice with reviewing state laws regulating artificial intelligence, and instructs the Department of Commerce to develop a national artificial intelligence strategy. At the same time, several states, including Colorado and California, passed laws that regulate various facets of artificial intelligence, some of which have taken effect and will continue to take effect through 2026 and beyond. These laws address a wide range of artificial intelligence-related topics, including consequential decisions, transparency, training data, among others, and it remains unclear which requirements, if any, will be superseded by the Executive Order. In addition, there continues to be uncertainty regarding the application of existing federal and state legal frameworks to uses and development of artificial intelligence, and legal norms and market standards regarding artificial intelligence continue to evolve. For example, various federal and state regulators have issued guidance and focused enforcement efforts on the use of artificial intelligence in regulated sectors. The FDA, for example, issued draft guidance on the use of artificial intelligence in regulatory decision-making for drug and biological products that centers on the context of use while establishing a credibility assessment framework for establishing and evaluating artificial intelligence model outputs intended to support regulatory decision-making. In the future, if we develop or use artificial intelligence systems that are governed by the EU AI Act or any other artificial intelligence legislation in effect, and further informed by regulatory guidance, it may necessitate ensuring higher standards of data quality, transparency, and human oversight, as well as adhering to specific and potentially burdensome and costly ethical, accountability, and administrative requirements. We may also be subject to significant enforcement or litigation in the event of any perceived non-compliance.</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0" w:name="page51"/>
    <w:bookmarkEnd w:id="50"/>
    <w:p>
      <w:pPr>
        <w:ind w:right="160"/>
        <w:spacing w:after="0" w:line="258" w:lineRule="auto"/>
        <w:rPr>
          <w:sz w:val="20"/>
          <w:szCs w:val="20"/>
          <w:color w:val="auto"/>
        </w:rPr>
      </w:pPr>
      <w:r>
        <w:rPr>
          <w:rFonts w:ascii="Times New Roman" w:cs="Times New Roman" w:eastAsia="Times New Roman" w:hAnsi="Times New Roman"/>
          <w:sz w:val="18"/>
          <w:szCs w:val="18"/>
          <w:color w:val="auto"/>
        </w:rPr>
        <w:t>Our vendors may in turn incorporate artificial intelligence tools into their offerings, and the providers of these artificial intelligence tools may not meet existing or rapidly evolving regulatory or industry standards, including with respect to privacy and data security. Further, bad actors around the world use increasingly sophisticated methods, including the use of artificial intelligence, to engage in illegal activities involving the theft and misuse of personal information, confidential information, and intellectual property. Any of these effects could damage our reputation, result in the loss of valuable property and information, cause us to breach applicable laws and regulations, and adversely impact our business.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research and development activities could be affected or delayed as a result of possible restrictions on animal testing.</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Certain laws and regulations require us to test our product candidates on animals 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delayed or become more expensive.</w:t>
      </w:r>
    </w:p>
    <w:p>
      <w:pPr>
        <w:spacing w:after="0" w:line="6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51"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Such Trade Laws also govern export controls, as well as economic sanctions and embargoes on certain countries and persons.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 Violations of Trade Laws can result in substantial criminal fines and civil penalties, imprisonment, the loss of trade privileges, debarment, tax reassessments, breach of contract and fraud litigation, reputational harm and other consequences.</w:t>
      </w:r>
    </w:p>
    <w:p>
      <w:pPr>
        <w:spacing w:after="0" w:line="82"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Existing regulatory policies may change, and additional government regulations may be enacted that could prevent, limit or delay regulatory approval of our product candidates.</w:t>
      </w:r>
    </w:p>
    <w:p>
      <w:pPr>
        <w:spacing w:after="0" w:line="5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United States Supreme Court’s June 2024 decision in Loper Bright Enterprises v. Raimondo overturned the longstanding Chevron doctrine, under which courts were required to give deference to regulatory agencies’ reasonable interpretations of ambiguous federal statutes. The Loper decision could result in additional legal challenges to regulations and guidance issued by federal agencies, including the FDA, on which we rely. Any such legal challenges, if successful, could have a material impact on our business. Additionally, the Loper decision may result in increased regulatory uncertainty, inconsistent judicial interpretations, and other impacts to the agency rulemaking process, any of which could adversely impact our business and operations. We cannot predict the likelihood, nature or extent of government regulation that may arise from future legislation or administrative action or as a result of legal challenges, either in the United States or abroad. If we are slow or unable to adapt to changes in existing requirements or adoption of new requirements or policies, or if we are not able to maintain regulatory compliance, our business could be materially harmed.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Managing Our Growth and Other Risks Related to Our Business</w:t>
      </w:r>
    </w:p>
    <w:p>
      <w:pPr>
        <w:spacing w:after="0" w:line="117"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our key personnel and anticipate hiring new key personnel. If we are not successful in attracting and retaining highly qualified personnel, we may not be able to successfully implement our business strategy.</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ability to compete in the highly competitive biotechnology and pharmaceutical industries depends upon our ability to attract and retain highly qualified managerial, scientific and medical personnel. We are highly dependent on our management, scientific and medical personnel, including our Chief Operating Officer and President, Ramses Erdtmann. The departure of key leadership personnel, such as the departures of our former Chief Executive Officer and Chief Financial Officer in 2025, may result in loss of significant knowledge and experience from the company. This loss of knowledge and experience can be mitigated through successful hiring and transition, but there can be no assurance that we will be successful in such efforts. Attracting and retaining qualified senior leadership may be more challenging under adverse business conditions. We will need to hire additional personnel as we initiate and expand our clinical development and if we initiate commercial activities. If we do not succeed in attracting and retaining qualified personnel, particularly at the management level, it could materially adversely affect our business, financial condition and results of operations. We could in the future have difficulty attracting and retaining experienced personnel and may be required to expend significant financial resources in our employee recruitment and retention efforts.</w:t>
      </w:r>
    </w:p>
    <w:p>
      <w:pPr>
        <w:spacing w:after="0" w:line="8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Many of the other biotechnology companies that we compete against for qualified personnel have greater financial and other resources, different risk profiles and a longer history in the industry than we do. They also may provide higher compensation, more diverse opportunities and better prospects for career advancement. Some of these characteristics may be more appealing to</w:t>
      </w: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51" w:name="page52"/>
    <w:bookmarkEnd w:id="51"/>
    <w:p>
      <w:pPr>
        <w:ind w:right="200"/>
        <w:spacing w:after="0" w:line="266" w:lineRule="auto"/>
        <w:rPr>
          <w:sz w:val="20"/>
          <w:szCs w:val="20"/>
          <w:color w:val="auto"/>
        </w:rPr>
      </w:pPr>
      <w:r>
        <w:rPr>
          <w:rFonts w:ascii="Times New Roman" w:cs="Times New Roman" w:eastAsia="Times New Roman" w:hAnsi="Times New Roman"/>
          <w:sz w:val="18"/>
          <w:szCs w:val="18"/>
          <w:color w:val="auto"/>
        </w:rPr>
        <w:t>high-quality candidates than what we have to offer. If we are unable to continue to attract and retain high-quality personnel, the rate and success at which we can discover, develop and commercialize our product candidates will be limited and the potential for successfully growing our business will be adversely affected.</w:t>
      </w:r>
    </w:p>
    <w:p>
      <w:pPr>
        <w:spacing w:after="0" w:line="68"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Additionally, we rely on our scientific and clinical advisors and consultants to assist us in formulating our research, development and clinical strategies. These advisors and consultants are not our employees and may have commitments to, or consulting or advisory contracts with, other entities that may limit their availability to us. In addition, these advisors and consultants typically will not enter into non-compete agreements with us. If a conflict of interest arises between their work for us and their work for another entity, we may lose their services. Furthermore, our advisors may have arrangements with other companies to assist those companies in developing products or technologies that may compete with ours. In particular, if we are unable to maintain consulting relationships with our scientific founders or if they provide services to our competitors, our development and commercialization efforts will be impaired and our business will be materially adversely affected.</w:t>
      </w:r>
    </w:p>
    <w:p>
      <w:pPr>
        <w:spacing w:after="0" w:line="77"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order to successfully implement our plans and strategies, we will need to grow the size of our organization, and we may experience difficulties in achieving and managing this growth.</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2026, we had 40 full-time employees, including 27 employees engaged in research and development activities.</w:t>
      </w:r>
    </w:p>
    <w:p>
      <w:pPr>
        <w:spacing w:after="0" w:line="117"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 order to successfully implement our development and commercialization plans and strategies, and as we continue to operate as a public company, we expect to need additional managerial clinical, regulatory, operational, sales, marketing, financial and other personnel. Future growth would impose significant added responsibilities on members of management, including:</w:t>
      </w:r>
    </w:p>
    <w:p>
      <w:pPr>
        <w:spacing w:after="0" w:line="68" w:lineRule="exact"/>
        <w:rPr>
          <w:sz w:val="20"/>
          <w:szCs w:val="20"/>
          <w:color w:val="auto"/>
        </w:rPr>
      </w:pPr>
    </w:p>
    <w:p>
      <w:pPr>
        <w:ind w:left="260" w:hanging="252"/>
        <w:spacing w:after="0"/>
        <w:tabs>
          <w:tab w:leader="none" w:pos="2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recruiting, integrating, maintaining, retaining, and motivating additional employees;</w:t>
      </w:r>
    </w:p>
    <w:p>
      <w:pPr>
        <w:spacing w:after="0" w:line="117" w:lineRule="exact"/>
        <w:rPr>
          <w:rFonts w:ascii="Times New Roman" w:cs="Times New Roman" w:eastAsia="Times New Roman" w:hAnsi="Times New Roman"/>
          <w:sz w:val="18"/>
          <w:szCs w:val="18"/>
          <w:color w:val="auto"/>
        </w:rPr>
      </w:pPr>
    </w:p>
    <w:p>
      <w:pPr>
        <w:ind w:left="260" w:hanging="252"/>
        <w:spacing w:after="0" w:line="266" w:lineRule="auto"/>
        <w:tabs>
          <w:tab w:leader="none" w:pos="2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internal development efforts effectively, including the clinical, FDA, and other comparable foreign regulatory agencies’ review process for icovamenib, BMF-500, BMF-650 and any future product candidates, while complying with any contractual obligations to contractors and other third parties we may have; and</w:t>
      </w:r>
    </w:p>
    <w:p>
      <w:pPr>
        <w:spacing w:after="0" w:line="6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and maintaining our operational, financial and management controls, reporting systems and procedures.</w:t>
      </w:r>
    </w:p>
    <w:p>
      <w:pPr>
        <w:spacing w:after="0" w:line="11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Our future financial performance and our ability to successfully develop and, if approved, commercialize icovamenib, BMF-500, BMF-650 and future product candidates will depend, in part, on our ability to effectively achieve and manage any future growth in company headcount. Our management may also have to divert a disproportionate amount of its attention away from day-to-day activities in order to devote a substantial amount of time to managing these growth activities.</w:t>
      </w:r>
    </w:p>
    <w:p>
      <w:pPr>
        <w:spacing w:after="0" w:line="7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currently rely, and for the foreseeable future will continue to rely, in substantial part on certain independent organizations, advisors and consultants to provide certain services, including key aspects of clinical development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preclinical studies and clinical trials may be extended, delayed or terminated, and we may not be able to obtain marketing approval of icovamenib, BMF-500, BMF-650 or any future product candidates or otherwise advance our business. We cannot assure you that we will be able to manage our existing third-party service providers or find other competent outside contractors and consultants on economically reasonable terms, or at all.</w:t>
      </w:r>
    </w:p>
    <w:p>
      <w:pPr>
        <w:spacing w:after="0" w:line="8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If we are not able to effectively expand our organization by hiring new employees and/or engaging additional third-party service providers, we may not be able to successfully implement the tasks necessary to further develop and commercialize icovamenib, BMF-650, BMF-500 or any future product candidates and, accordingly, may not achieve our research, development and commercialization goals.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disruptions could materially adversely affect our future revenue and financial condition and increase our costs and expenses.</w:t>
      </w:r>
    </w:p>
    <w:p>
      <w:pPr>
        <w:spacing w:after="0" w:line="121"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Our operations, and those of our CROs, CMOs and other contractors and consultants, could be subject to earthquakes, power shortages, telecommunications failures, water shortages, floods, hurricanes, typhoons, fires, extreme weather conditions, pandemics, and other natural or man-made disasters or business interruptions, for which we are predominantly self-insured. The occurrence of any of these business disruptions could seriously adversely affect our operations and financial condition and increase our costs and expenses. We rely on third-party manufacturers to produce our product candidates. Our ability to obtain clinical supplies of our product candidates could be disrupted if the operations of these suppliers are affected by a man-made or natural disaster or other business interruption.</w:t>
      </w:r>
    </w:p>
    <w:p>
      <w:pPr>
        <w:spacing w:after="0" w:line="79"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Our ability to develop icovamenib, BMF-500, BMF-650 or any future product candidates we may develop could be disrupted if our operations or those of our suppliers are affected by man-made or natural disasters or other business interruptions. Our corporate headquarters are located in California near major earthquake faults and fire zones. The ultimate impact on us, our significant suppliers and our general infrastructure of being located near major earthquake faults and fire zones and being consolidated in certain</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color w:val="auto"/>
        </w:rPr>
        <w:t>geographical areas is unknown, but our operations and business could suffer in the event of a major earthquake, fire or other natural disaster.</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NOLs carryforwards and certain other tax attributes to offset future taxable income may be limited.</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NOL carryforwards that we generate in the future may be unavailable to offset future taxable income because of restrictions under U.S. tax law. Under current U.S. tax law, our federal NOLs generated in taxable years beginning after December 31, 2020 may be carried forward indefinitely, but such deductibility is limited to 80% of current year taxable income.</w:t>
      </w:r>
    </w:p>
    <w:p>
      <w:pPr>
        <w:spacing w:after="0" w:line="6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under Sections 382 and 383 of the Internal Revenue Code of 1986, as amended (the Code), if a corporation undergoes an “ownership change” (generally defined as a cumulative change (by value) in the corporation’s ownership by “5-percent shareholders” that exceeds 50 percentage points over a rolling three-year period), the corporation’s ability to use its pre-change NOLs and certain other pre-change tax attributes to offset its post-change taxable income or tax liabilities may be limited. Similar rules may apply under state tax laws. We may have experienced such ownership changes in the past, and we may experience ownership changes in the future as a result of shifts in our stock ownership, some of which are outside our control. We have performed a Section 382 study and concluded that our ability to utilize our NOLs and certain other tax attributes could be limited by an ownership change as described above and consequently, we may not be able to utilize a material portion of our NOLs and certain other tax attributes, which could have a material adverse effect on our cash flows and results of operations. In addition, at the state level, there may be periods during which the use of NOL carryforwards is suspended or otherwise limited, which could accelerate or permanently increase state taxes owed.</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 may adversely affect us or our investors.</w:t>
      </w:r>
    </w:p>
    <w:p>
      <w:pPr>
        <w:spacing w:after="0" w:line="12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The rules dealing with U.S. federal, state and local income taxation are constantly under review by persons involved in the legislative process and by the Internal Revenue Service and the U.S. Treasury Department. In recent years, many changes to tax laws have been made, and changes are likely to continue to occur in the future. For example, the OBBBA was signed into law on July 4, 2025 and made significant changes to U.S. federal tax law. Changes to tax laws (which changes may have retroactive application) could adversely affect us or holders of our common stock. For example, under Section 174 of the Code, in taxable years beginning after December 31, 2021, expenses that are incurred for research and development performed outside the U.S. will be capitalized and amortized, which may have an adverse effect on our cash flow. The OBBBA provides that for taxable years beginning after December 31, 2024, expenses that are incurred for research and development performed in the U.S. may, at the taxpayer’s election, be immediately deducted or capitalized and amortized. In addition, the OBBBA provides that for taxable years beginning after December 31, 2021 and before January 1, 2025, certain eligible taxpayers generally may elect to retroactively deduct expenses for research and development performed in the U.S. in such taxable years by filing amended tax returns for such taxable years, and all other taxpayers that are not eligible to make such an election and that amortized expenses for research and development performed in the U.S. in such taxable years generally may elect to accelerate and deduct the remaining unamortized amounts of such research and development expenses (i) in the first taxable year beginning after December 31, 2024, or (ii) ratably over the two-taxable year period beginning with the first taxable year beginning after December 31, 2024. Although the OBBBA has not materially impacted our effective tax rate or cash flows in the current fiscal year, it cannot be predicted whether, when, in what form or with what effective dates tax laws, regulations and rulings may be enacted, promulgated or issued, which could result in an increase in our or our shareholders’ tax liability or require changes in the manner in which we operate in order to minimize or mitigate any adverse effects of changes in tax law.</w:t>
      </w:r>
    </w:p>
    <w:p>
      <w:pPr>
        <w:spacing w:after="0" w:line="83"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portion of our chemistry-based product development and sourcing of certain manufacturing raw materials for our product candidates takes place outside the United States through third-party manufacturers. A significant disruption in the operation of those manufacturers, a trade war or political unrest in China could materially adversely affect our business, financial condition and results of operations.</w:t>
      </w:r>
    </w:p>
    <w:p>
      <w:pPr>
        <w:spacing w:after="0" w:line="6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currently contract certain product development and manufacturing operations to third parties outside the United States, including in China, and we expect to continue to use such third-party manufacturers to support the development of our product candidates. Any disruption in production or inability of our manufacturers outside the United States to produce adequate quantities to meet our needs, whether as a result of a natural disaster or other causes, could impair our ability to operate our business on a day-to-day basis and to continue our development of our product candidates. Furthermore, since these manufacturers are located outside the United States, we are exposed to the possibility of product supply disruption and increased costs in the event of changes in the policies of the United States or other foreign governments, political unrest or unstable economic conditions in these jurisdictions. For example, on September 25, 2025, the current U.S. administration announced a 100% tariff on brand-name or patented drugs unless pharmaceutical companies expand their manufacturing operations in the U.S., and may impose more restrictions on goods. While pharmaceutical products are currently excluded from the baseline and “reciprocal” tariffs imposed by the U.S., such tariffs still apply to the raw materials and other products necessary for the manufacture and formulation of our product candidates. As such, a trade war or other trade restrictions could lead to additional tariffs on the chemical intermediates we use that are manufactured in China.</w:t>
      </w:r>
    </w:p>
    <w:p>
      <w:pPr>
        <w:spacing w:after="0" w:line="8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 addition, U.S. legislation, referred to as the BIOSECURE ACT, went into effect on December 18, 2025 as part of the National Defense Authorization Act of 2026, may have the effect of restricting the ability of U.S. biopharmaceutical companies to purchase</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3" w:name="page54"/>
    <w:bookmarkEnd w:id="53"/>
    <w:p>
      <w:pPr>
        <w:spacing w:after="0" w:line="254" w:lineRule="auto"/>
        <w:rPr>
          <w:sz w:val="20"/>
          <w:szCs w:val="20"/>
          <w:color w:val="auto"/>
        </w:rPr>
      </w:pPr>
      <w:r>
        <w:rPr>
          <w:rFonts w:ascii="Times New Roman" w:cs="Times New Roman" w:eastAsia="Times New Roman" w:hAnsi="Times New Roman"/>
          <w:sz w:val="18"/>
          <w:szCs w:val="18"/>
          <w:color w:val="auto"/>
        </w:rPr>
        <w:t>services or products from, or otherwise collaborate with, certain Chinese biotechnology companies of concern without losing the ability to contract with, or otherwise receive funding from, the U.S. government. Any of these matters could materially adversely affect our business, financial condition and results of operations. Any recall of the manufacturing lots or similar action regarding our product candidates used in clinical trials could delay the trials or detract from the integrity of the trial data and its potential use in future regulatory filings. In addition, manufacturing interruptions or failure to comply with regulatory requirements by any of these manufacturers could significantly delay clinical development of potential products and reduce third-party or clinical researcher interest and support of proposed trials. These interruptions or failures could also impede commercialization of our product candidates and impair our competitive position. Further, we may be exposed to foreign currency fluctuations in the value of the local currency as future appreciation of the local currency could increase our costs. In addition, our labor costs could continue to rise as wage rates increase due to increased demand for skilled laborers and the availability of skilled labor declines outside the United States, including in China.</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Reliance on Third Parties</w:t>
      </w:r>
    </w:p>
    <w:p>
      <w:pPr>
        <w:spacing w:after="0" w:line="117"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rely, and plan to rely in the future, on third parties to conduct and support our preclinical studies and clinical trials. If these third parties do not properly and successfully carry out their contractual duties or meet expected deadlines, we may not be able to obtain regulatory approval of or commercialize our product candidates.</w:t>
      </w:r>
    </w:p>
    <w:p>
      <w:pPr>
        <w:spacing w:after="0" w:line="6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have utilized and plan to continue to utilize and depend upon independent investigators and collaborators, such as medical institutions, CROs, CMOs, and strategic partners to conduct and support our preclinical studies and clinical trials under agreements with us. We are continuing to build our internal chemistry, manufacturing and controls, biology and preclinical development capabilities to supplement activities conducted by third parties on our behalf. As part of this personnel build out, we may incur additional costs or experience delays in engaging directly with other third-party CROs and CMOs.</w:t>
      </w:r>
    </w:p>
    <w:p>
      <w:pPr>
        <w:spacing w:after="0" w:line="72"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We expect to have to negotiate budgets and contracts with CROs, trial sites and CMOs and we may not be able to do so on favorable terms, which may result in delays to our development timelines and increased costs. If any CMO with whom we contract fails to perform its obligations, we may be forced to manufacture the materials ourselves, for which we may not have the capabilities or resources, or enter into an agreement with a different CMO, which we may not be able to do on reasonable terms, if at all. In either scenario, our clinical trials supply could be delayed significantly as we establish alternative supply sources. In some cases, the technical skills required to manufacture our products or product candidates may be unique or proprietary to the original CMO and we may have difficulty, or there may be contractual restrictions prohibiting us from, transferring such skills to a back-up or alternate supplier, or we may be unable to transfer such skills at all. In addition, if we are required to change CMOs for any reason, we will be required to verify that the new CMO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The delays associated with the verification of a new CMO could negatively affect our ability to develop product candidates or commercialize our products in a timely manner or within budget. Furthermore, a CMO may possess technology related to the manufacture of our product candidate that such CMO owns independently. This would increase our reliance on such CMO or require us to obtain a license from such CMO in order to have another CMO manufacture our product candidates.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p>
    <w:p>
      <w:pPr>
        <w:spacing w:after="0" w:line="8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 xml:space="preserve">We will rely heavily on these third parties over the course of our preclinical studies and clinical trials, and we control only certain aspects of their activities. As a result, we will have less direct control over the conduct, timing and completion of these preclinical studies and clinical trials and the management of data developed through preclinical studies and clinical trials than would be the case if we were relying entirely upon our own staff. Nevertheless, we are responsible for ensuring that each of our studies is conducted in accordance with applicable protocol, legal and regulatory requirements and scientific standards, and our reliance on third parties does not relieve us of our regulatory responsibilities. We and these third parties are required to comply with GCP requirements, which are regulations and guidelines enforced by the FDA and comparable foreign regulatory authorities for product candidates in clinical development. Regulatory authorities enforce these GCP requirements through periodic inspections of trial sponsors, principal investigators and trial sites. If we or any of these third parties fail to comply with applicable GCP regulations, the clinical data generated in our clinical trials may be deemed unreliable and the FDA or comparable foreign regulatory authorities may require us to perform additional clinical trials before approving our marketing applications. We cannot assure you that, upon inspection, such regulatory authorities will determine that any of our clinical trials comply with the GCP regulations. In addition, our clinical trials must be conducted with pharmaceutical product produced under current Good Manufacturing Practices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cGMP) regulations and will require a large number of test participants. Our failure or any failure by these third parties to comply with these regulations or to recruit a sufficient number of participants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third parties conducting our preclinical studies or clinical trials will not be our employees and, except for remedies available to us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4" w:name="page55"/>
    <w:bookmarkEnd w:id="54"/>
    <w:p>
      <w:pPr>
        <w:ind w:right="80"/>
        <w:spacing w:after="0" w:line="254" w:lineRule="auto"/>
        <w:rPr>
          <w:sz w:val="20"/>
          <w:szCs w:val="20"/>
          <w:color w:val="auto"/>
        </w:rPr>
      </w:pPr>
      <w:r>
        <w:rPr>
          <w:rFonts w:ascii="Times New Roman" w:cs="Times New Roman" w:eastAsia="Times New Roman" w:hAnsi="Times New Roman"/>
          <w:sz w:val="18"/>
          <w:szCs w:val="18"/>
          <w:color w:val="auto"/>
        </w:rPr>
        <w:t>under our agreements with such third parties, we cannot control whether or not they devote sufficient time and resources to our product candidates. These third parties may also have relationships with other commercial entities, including our competitors, for whom they may also be conducting preclinical studies, clinical trials or other product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preclinical or clinical protocols or regulatory requirements or for other reasons, our preclinical studies or clinical trials may be extended, delayed or terminated and we may not be able to complete development of, obtain regulatory approval of or successfully commercialize our product candidates. As a result, our financial results and the commercial prospects for our product candidates would be adversely affected, our costs could increase and our ability to generate revenue could be delayed.</w:t>
      </w:r>
    </w:p>
    <w:p>
      <w:pPr>
        <w:spacing w:after="0" w:line="8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Switching or adding third parties to conduct our preclinical studies and clinical trials involves substantial cost and requires extensive management time and focus. In addition, there is a natural transition period when a new third party commences work. As a result, delays occur, which can materially impact our ability to meet our desired clinical development timelines.</w:t>
      </w:r>
    </w:p>
    <w:p>
      <w:pPr>
        <w:spacing w:after="0" w:line="64"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currently rely and expect to rely in the future on the use of dedicated manufacturing suites in third-party facilities or on third parties general manufacturing facilities to manufacture our product candidates, and we may rely on third parties to develop processes and testing methods for our products, if approved. Our business could be adversely affected if we are unable to use third-party manufacturing suites or if the third-party manufacturers fail to develop appropriate processes and testing methods to provide us with sufficient quantities of our product candidates or fail to do so at acceptable quality levels or prices.</w:t>
      </w:r>
    </w:p>
    <w:p>
      <w:pPr>
        <w:spacing w:after="0" w:line="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do not currently own any facility that may be used as our clinical-scale manufacturing and processing facility and must currently rely on outside vendors to manufacture our product candidates. We have not yet caused our product candidates to be manufactured on a commercial scale and may not be able to do so for any of our product candidates, if approved. We will need to negotiate and maintain contractual arrangements with these outside vendors for the supply of our product candidates and we may not be able to do so on favorable terms.</w:t>
      </w:r>
    </w:p>
    <w:p>
      <w:pPr>
        <w:spacing w:after="0" w:line="7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facilities used by our contract manufacturers to manufacture our product candidates must be approved by the FDA or other comparable foreign regulatory authorities following inspections that will be conducted after we submit an application to the FDA or other comparable foreign regulatory authorities. We may not control the manufacturing process of, and may be completely dependent on, our contract manufacturing partners for compliance with cGMP requirements and any other regulatory requirements of the FDA or other regulatory authorities for the manufacture of our product candidates. Beyond periodic audits, we have limited control over the ability of our contract manufacturers to maintain adequate quality control, quality assurance, qualified personnel, their equipment and facilities and any applicable licenses or approvals. If the FDA or a comparable foreign regulatory authority does not approve these facilities for the manufacture of our product candidates or if it withdraws any such approval in the future, we may need to find alternative manufacturing facilities, which would require the incurrence of significant additional costs and delays, and materially adversely affect our ability to develop, obtain regulatory approval for or market our product candidates, if approved. Similarly, if any third-party manufacturers on which we will rely fail to manufacture quantities of our product candidates at quality levels necessary to meet regulatory requirements and at a scale sufficient to meet anticipated demand at a cost that allows us to achieve profitability, our business, financial condition and prospects could be materially and adversely affected.</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anticipated reliance on a limited number of third-party manufacturers exposes us to a number of risks, including the following:</w:t>
      </w:r>
    </w:p>
    <w:p>
      <w:pPr>
        <w:spacing w:after="0" w:line="117" w:lineRule="exact"/>
        <w:rPr>
          <w:sz w:val="20"/>
          <w:szCs w:val="20"/>
          <w:color w:val="auto"/>
        </w:rPr>
      </w:pPr>
    </w:p>
    <w:p>
      <w:pPr>
        <w:ind w:left="260" w:hanging="252"/>
        <w:spacing w:after="0" w:line="282" w:lineRule="auto"/>
        <w:tabs>
          <w:tab w:leader="none" w:pos="2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identify manufacturers on acceptable terms or at all because the number of potential manufacturers is limited and the FDA or other comparable foreign regulatory authority must inspect any manufacturers for cGMP compliance as part of our marketing application;</w:t>
      </w:r>
    </w:p>
    <w:p>
      <w:pPr>
        <w:spacing w:after="0" w:line="53" w:lineRule="exact"/>
        <w:rPr>
          <w:rFonts w:ascii="Times New Roman" w:cs="Times New Roman" w:eastAsia="Times New Roman" w:hAnsi="Times New Roman"/>
          <w:sz w:val="18"/>
          <w:szCs w:val="18"/>
          <w:color w:val="auto"/>
        </w:rPr>
      </w:pPr>
    </w:p>
    <w:p>
      <w:pPr>
        <w:ind w:left="260" w:right="340" w:hanging="252"/>
        <w:spacing w:after="0" w:line="282" w:lineRule="auto"/>
        <w:tabs>
          <w:tab w:leader="none" w:pos="2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processes and testing methods may need to be transferred to a new manufacturer, or we or others on our behalf may need to develop substantially equivalent processes and testing methods for, the production of our product candidates;</w:t>
      </w:r>
    </w:p>
    <w:p>
      <w:pPr>
        <w:spacing w:after="0" w:line="53" w:lineRule="exact"/>
        <w:rPr>
          <w:rFonts w:ascii="Times New Roman" w:cs="Times New Roman" w:eastAsia="Times New Roman" w:hAnsi="Times New Roman"/>
          <w:sz w:val="18"/>
          <w:szCs w:val="18"/>
          <w:color w:val="auto"/>
        </w:rPr>
      </w:pPr>
    </w:p>
    <w:p>
      <w:pPr>
        <w:ind w:left="260" w:right="220" w:hanging="252"/>
        <w:spacing w:after="0" w:line="282" w:lineRule="auto"/>
        <w:tabs>
          <w:tab w:leader="none" w:pos="2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manufacturers might be unable to timely manufacture our product candidates or produce the quantity and quality required to meet our clinical and commercial needs, if any;</w:t>
      </w:r>
    </w:p>
    <w:p>
      <w:pPr>
        <w:spacing w:after="0" w:line="5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manufacturers may not be able to execute our manufacturing procedures and other logistical support requirements appropriately;</w:t>
      </w:r>
    </w:p>
    <w:p>
      <w:pPr>
        <w:spacing w:after="0" w:line="117" w:lineRule="exact"/>
        <w:rPr>
          <w:rFonts w:ascii="Times New Roman" w:cs="Times New Roman" w:eastAsia="Times New Roman" w:hAnsi="Times New Roman"/>
          <w:sz w:val="18"/>
          <w:szCs w:val="18"/>
          <w:color w:val="auto"/>
        </w:rPr>
      </w:pPr>
    </w:p>
    <w:p>
      <w:pPr>
        <w:jc w:val="both"/>
        <w:ind w:left="260" w:right="220" w:hanging="252"/>
        <w:spacing w:after="0" w:line="282" w:lineRule="auto"/>
        <w:tabs>
          <w:tab w:leader="none" w:pos="2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contract manufacturers may not perform as agreed, may not devote sufficient resources to our product candidates or may not remain in the contract manufacturing business for the time required to supply our clinical trials or to successfully produce, store and distribute our products, if any;</w:t>
      </w:r>
    </w:p>
    <w:p>
      <w:pPr>
        <w:spacing w:after="0" w:line="53" w:lineRule="exact"/>
        <w:rPr>
          <w:rFonts w:ascii="Times New Roman" w:cs="Times New Roman" w:eastAsia="Times New Roman" w:hAnsi="Times New Roman"/>
          <w:sz w:val="18"/>
          <w:szCs w:val="18"/>
          <w:color w:val="auto"/>
        </w:rPr>
      </w:pPr>
    </w:p>
    <w:p>
      <w:pPr>
        <w:ind w:left="260" w:right="340" w:hanging="252"/>
        <w:spacing w:after="0" w:line="266" w:lineRule="auto"/>
        <w:tabs>
          <w:tab w:leader="none" w:pos="2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manufacturers are subject to ongoing periodic unannounced inspection by the FDA or other comparable foreign regulatory authority and corresponding state agencies to ensure strict compliance with cGMP and other government regulations and corresponding foreign standards and we have no control over third-party manufacturers’ compliance with these changing and tightening regulations and standards;</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55" w:name="page56"/>
    <w:bookmarkEnd w:id="55"/>
    <w:p>
      <w:pPr>
        <w:ind w:left="260" w:right="1080" w:hanging="252"/>
        <w:spacing w:after="0" w:line="282" w:lineRule="auto"/>
        <w:tabs>
          <w:tab w:leader="none" w:pos="2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own, or may have to share, the intellectual property rights to any improvements made by our third-party manufacturers in the manufacturing process for our product candidates;</w:t>
      </w:r>
    </w:p>
    <w:p>
      <w:pPr>
        <w:spacing w:after="0" w:line="5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manufacturers could breach or terminate their agreements with us;</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manufacturers may experience change of control of their ownership including ownership by a competitor,</w:t>
      </w:r>
    </w:p>
    <w:p>
      <w:pPr>
        <w:spacing w:after="0" w:line="117" w:lineRule="exact"/>
        <w:rPr>
          <w:rFonts w:ascii="Times New Roman" w:cs="Times New Roman" w:eastAsia="Times New Roman" w:hAnsi="Times New Roman"/>
          <w:sz w:val="18"/>
          <w:szCs w:val="18"/>
          <w:color w:val="auto"/>
        </w:rPr>
      </w:pPr>
    </w:p>
    <w:p>
      <w:pPr>
        <w:ind w:left="260" w:hanging="252"/>
        <w:spacing w:after="0" w:line="282" w:lineRule="auto"/>
        <w:tabs>
          <w:tab w:leader="none" w:pos="2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raw materials and components used in the manufacturing process, particularly those for which we have no other source or supplier, may not be available at acceptable prices, or at all, or may not be suitable or acceptable for use due to material or component defects;</w:t>
      </w:r>
    </w:p>
    <w:p>
      <w:pPr>
        <w:spacing w:after="0" w:line="5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 manufacturers and critical reagent suppliers may be subject to inclement weather, as well as natural or man-made disasters; and</w:t>
      </w:r>
    </w:p>
    <w:p>
      <w:pPr>
        <w:spacing w:after="0" w:line="117" w:lineRule="exact"/>
        <w:rPr>
          <w:rFonts w:ascii="Times New Roman" w:cs="Times New Roman" w:eastAsia="Times New Roman" w:hAnsi="Times New Roman"/>
          <w:sz w:val="18"/>
          <w:szCs w:val="18"/>
          <w:color w:val="auto"/>
        </w:rPr>
      </w:pPr>
    </w:p>
    <w:p>
      <w:pPr>
        <w:jc w:val="both"/>
        <w:ind w:left="260" w:right="460" w:hanging="252"/>
        <w:spacing w:after="0" w:line="266" w:lineRule="auto"/>
        <w:tabs>
          <w:tab w:leader="none" w:pos="2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 manufacturers may have unacceptable or inconsistent product quality success rates and yields, and we have no direct control over our contract manufacturers’ ability to maintain adequate quality control, quality assurance, qualified personnel, their equipment and facilities and any applicable licenses or approvals.</w:t>
      </w:r>
    </w:p>
    <w:p>
      <w:pPr>
        <w:spacing w:after="0" w:line="6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addition, from time to time we have relied upon, and may continue to rely upon, third-party contract manufacturers that are based in jurisdictions outside the United States. Legislation was proposed that, if enacted, could have negatively impact U.S. funding for certain biotechnology providers having relationships with foreign adversaries or which pose a threat to national security. If any of our third-party manufacturers are impacted by these legislative proposals, the potential downstream adverse impacts on us are unknown but may include supply chain disruptions or delays.</w:t>
      </w:r>
    </w:p>
    <w:p>
      <w:pPr>
        <w:spacing w:after="0" w:line="7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Our business could be materially adversely affected by any business disruptions to our third-party providers that could materially adversely affect our potential future revenue and financial condition and increase our costs and expenses. Each of these risks could delay or prevent the initiation or completion of any clinical trials or the approval of any of our product candidates by the FDA or other comparable foreign regulatory authority, result in higher costs or adversely impact commercialization of our product candidates. In addition, we will rely on third parties to perform certain specification tests on our product candidates prior to delivery to patients. If these tests are not appropriately done and test data are not reliable, patients could be put at risk of serious harm and the FDA or other comparable foreign regulatory authority could place significant restrictions on our company until deficiencies are remedied.</w:t>
      </w:r>
    </w:p>
    <w:p>
      <w:pPr>
        <w:spacing w:after="0" w:line="75" w:lineRule="exact"/>
        <w:rPr>
          <w:sz w:val="20"/>
          <w:szCs w:val="20"/>
          <w:color w:val="auto"/>
        </w:rPr>
      </w:pPr>
    </w:p>
    <w:p>
      <w:pPr>
        <w:ind w:right="660"/>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We currently, and may in the future, depend on single-source suppliers for some of the ingredients, components and materials used in, and the manufacturing processes required to develop, our product candidates.</w:t>
      </w:r>
    </w:p>
    <w:p>
      <w:pPr>
        <w:spacing w:after="0" w:line="3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currently, and may in the future, depend on single-source suppliers for some of the ingredients, raw materials, components and materials used in, and development activities required to manufacture our product candidates. There are, for certain of these components, relatively few alternative sources of supply and there is limited need for multiple suppliers at this stage of our business. We cannot ensure that these suppliers or service providers will remain in business, have sufficient capacity or supply to meet our needs, be able to supply materials or services to us at cost that are acceptable to us, or that they will not be purchased by one of our competitors or another company that is not interested in continuing to work with us. Our use of single-source suppliers of raw materials, ingredients, components, key processes and finished goods exposes us to several risks, including disruptions in supply, price increases or late deliveries. These suppliers may be unable or unwilling to meet our future demands for our clinical trials or commercial sale. Establishing additional or replacement suppliers for these components, materials and processes could take a substantial amount of time and it may be difficult to establish replacement suppliers who meet regulatory requirements. Any disruption in supply from any single-source supplier or service provider could lead to supply delays or interruptions which would materially adversely affect our business, financial condition and results of operations.</w:t>
      </w:r>
    </w:p>
    <w:p>
      <w:pPr>
        <w:spacing w:after="0" w:line="86"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If we have to switch to a replacement supplier, the manufacture and delivery of our product candidates may be interrupted for an extended period, which could materially adversely affect our business. Establishing additional or replacement suppliers for any of the components or processes used in or for our product candidates, if required, may not be accomplished quickly and would create increased cost, or adversely impact the quality of our product candidates. If we are able to find a replacement supplier, the replacement supplier would need to be qualified, would need to process our technology transfer and may require additional regulatory authority approval, which could result in further delay. While we seek to maintain adequate inventory of the single-source ingredients, components and materials used in our product candidates, any interruption or delay in the supply of ingredients, components or materials or our inability to obtain ingredients, components or materials from alternate sources at acceptable prices in a timely manner, could impair our ability to meet the demand for our product candidates.</w:t>
      </w:r>
    </w:p>
    <w:p>
      <w:pPr>
        <w:spacing w:after="0" w:line="8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third-party manufacturers use hazardous and biological materials in a manner that causes injury or violates applicable law, we may be liable for damages.</w:t>
      </w:r>
    </w:p>
    <w:p>
      <w:pPr>
        <w:spacing w:after="0" w:line="5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research and development activities involve the controlled use of potentially hazardous substances, including chemical and biological materials, by our third-party manufacturers. Our manufacturers may use highly flammable reagents at high reaction temperature, are subject to federal, state and local laws and regulations in the United States and their country governing the use,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6" w:name="page57"/>
    <w:bookmarkEnd w:id="56"/>
    <w:p>
      <w:pPr>
        <w:ind w:right="20"/>
        <w:spacing w:after="0" w:line="255" w:lineRule="auto"/>
        <w:rPr>
          <w:sz w:val="20"/>
          <w:szCs w:val="20"/>
          <w:color w:val="auto"/>
        </w:rPr>
      </w:pPr>
      <w:r>
        <w:rPr>
          <w:rFonts w:ascii="Times New Roman" w:cs="Times New Roman" w:eastAsia="Times New Roman" w:hAnsi="Times New Roman"/>
          <w:sz w:val="18"/>
          <w:szCs w:val="18"/>
          <w:color w:val="auto"/>
        </w:rPr>
        <w:t>manufacture, storage, handling and disposal of medical and hazardous materials. Although we believe that our manufacturers’ procedures for using, handling, storing and disposing of these materials comply with legally prescribed standards and regulations,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spacing w:after="0" w:line="77"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 the future, form or seek collaborations or strategic alliances or enter into licensing arrangements, and we may not realize the benefits of such collaborations, alliances or licensing arrangements.</w:t>
      </w:r>
    </w:p>
    <w:p>
      <w:pPr>
        <w:spacing w:after="0" w:line="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may, in the future, form or seek strategic alliances, create joint ventures or collaborations, or enter into licensing arrangements with third parties that we believe will complement or augment our development and commercialization efforts with respect to our product candidates and any future product candidates that we may develop. Any of these relationships may require us to incur non-recurring and other charges, increase our near and long-term expenditures, issue securities that dilute our existing stockholders or disrupt our management and business.</w:t>
      </w:r>
    </w:p>
    <w:p>
      <w:pPr>
        <w:spacing w:after="0" w:line="7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addition, we face significant competition in seeking appropriate strategic partners and the negotiation process is time-consuming and complex. Moreover,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and efficacy and obtain marketing approval.</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collaborations involving our product candidates are subject to numerous risks, which may include the following:</w:t>
      </w:r>
    </w:p>
    <w:p>
      <w:pPr>
        <w:spacing w:after="0" w:line="117" w:lineRule="exact"/>
        <w:rPr>
          <w:sz w:val="20"/>
          <w:szCs w:val="20"/>
          <w:color w:val="auto"/>
        </w:rPr>
      </w:pPr>
    </w:p>
    <w:p>
      <w:pPr>
        <w:ind w:left="260" w:hanging="252"/>
        <w:spacing w:after="0"/>
        <w:tabs>
          <w:tab w:leader="none" w:pos="2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a collaboration;</w:t>
      </w:r>
    </w:p>
    <w:p>
      <w:pPr>
        <w:spacing w:after="0" w:line="117" w:lineRule="exact"/>
        <w:rPr>
          <w:rFonts w:ascii="Times New Roman" w:cs="Times New Roman" w:eastAsia="Times New Roman" w:hAnsi="Times New Roman"/>
          <w:sz w:val="18"/>
          <w:szCs w:val="18"/>
          <w:color w:val="auto"/>
        </w:rPr>
      </w:pPr>
    </w:p>
    <w:p>
      <w:pPr>
        <w:ind w:left="260" w:right="440" w:hanging="252"/>
        <w:spacing w:after="0" w:line="266" w:lineRule="auto"/>
        <w:tabs>
          <w:tab w:leader="none" w:pos="2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our product candidates or may elect not to continue or renew development or commercialization of our product candidates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67" w:lineRule="exact"/>
        <w:rPr>
          <w:rFonts w:ascii="Times New Roman" w:cs="Times New Roman" w:eastAsia="Times New Roman" w:hAnsi="Times New Roman"/>
          <w:sz w:val="18"/>
          <w:szCs w:val="18"/>
          <w:color w:val="auto"/>
        </w:rPr>
      </w:pPr>
    </w:p>
    <w:p>
      <w:pPr>
        <w:ind w:left="260" w:right="580" w:hanging="252"/>
        <w:spacing w:after="0" w:line="282" w:lineRule="auto"/>
        <w:tabs>
          <w:tab w:leader="none" w:pos="2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stop a clinical trial, abandon a product candidate, repeat or conduct new clinical trials or require a new formulation of a product candidate for clinical testing;</w:t>
      </w:r>
    </w:p>
    <w:p>
      <w:pPr>
        <w:spacing w:after="0" w:line="5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products may not commit sufficient resources to their marketing and distribution;</w:t>
      </w:r>
    </w:p>
    <w:p>
      <w:pPr>
        <w:spacing w:after="0" w:line="117" w:lineRule="exact"/>
        <w:rPr>
          <w:rFonts w:ascii="Times New Roman" w:cs="Times New Roman" w:eastAsia="Times New Roman" w:hAnsi="Times New Roman"/>
          <w:sz w:val="18"/>
          <w:szCs w:val="18"/>
          <w:color w:val="auto"/>
        </w:rPr>
      </w:pPr>
    </w:p>
    <w:p>
      <w:pPr>
        <w:ind w:left="260" w:right="120" w:hanging="252"/>
        <w:spacing w:after="0" w:line="266" w:lineRule="auto"/>
        <w:tabs>
          <w:tab w:leader="none" w:pos="2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67" w:lineRule="exact"/>
        <w:rPr>
          <w:rFonts w:ascii="Times New Roman" w:cs="Times New Roman" w:eastAsia="Times New Roman" w:hAnsi="Times New Roman"/>
          <w:sz w:val="18"/>
          <w:szCs w:val="18"/>
          <w:color w:val="auto"/>
        </w:rPr>
      </w:pPr>
    </w:p>
    <w:p>
      <w:pPr>
        <w:ind w:left="260" w:right="160" w:hanging="252"/>
        <w:spacing w:after="0" w:line="282" w:lineRule="auto"/>
        <w:tabs>
          <w:tab w:leader="none" w:pos="2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us and a collaborator that cause the delay or termination of the research, development or commercialization of our product candidates, or that result in costly litigation or arbitration that diverts management attention and resources;</w:t>
      </w:r>
    </w:p>
    <w:p>
      <w:pPr>
        <w:spacing w:after="0" w:line="53" w:lineRule="exact"/>
        <w:rPr>
          <w:rFonts w:ascii="Times New Roman" w:cs="Times New Roman" w:eastAsia="Times New Roman" w:hAnsi="Times New Roman"/>
          <w:sz w:val="18"/>
          <w:szCs w:val="18"/>
          <w:color w:val="auto"/>
        </w:rPr>
      </w:pPr>
    </w:p>
    <w:p>
      <w:pPr>
        <w:ind w:left="260" w:right="180" w:hanging="252"/>
        <w:spacing w:after="0" w:line="282" w:lineRule="auto"/>
        <w:tabs>
          <w:tab w:leader="none" w:pos="2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product candidates; and</w:t>
      </w:r>
    </w:p>
    <w:p>
      <w:pPr>
        <w:spacing w:after="0" w:line="53" w:lineRule="exact"/>
        <w:rPr>
          <w:rFonts w:ascii="Times New Roman" w:cs="Times New Roman" w:eastAsia="Times New Roman" w:hAnsi="Times New Roman"/>
          <w:sz w:val="18"/>
          <w:szCs w:val="18"/>
          <w:color w:val="auto"/>
        </w:rPr>
      </w:pPr>
    </w:p>
    <w:p>
      <w:pPr>
        <w:ind w:left="260" w:right="40" w:hanging="252"/>
        <w:spacing w:after="0" w:line="282" w:lineRule="auto"/>
        <w:tabs>
          <w:tab w:leader="none" w:pos="2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own or co-own intellectual property covering our product candidates that results from our collaborating with them, and in such cases, we would not have the exclusive right to commercialize such intellectual property.</w:t>
      </w:r>
    </w:p>
    <w:p>
      <w:pPr>
        <w:spacing w:after="0" w:line="5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a result, if we enter into future collaboration agreements and strategic partnerships or license our product candidates, we may not be able to realize the benefit of such transactions if we are unable to successfully integrate them with our existing operations and company culture, which could delay our timelines or otherwise adversely affect our business. We also cannot be certain that, following a strategic transaction or license, we will achieve the revenue or specific net income that justifies such transaction. Furthermore, if conflicts arise between our future corporate or academic collaborators or strategic partners and us, the other party may act in a manner adverse to us and could limit our ability to implement our strategies. Any delays in entering into future collaborations or strategic partnership agreements related to our product candidates could delay the development and commercialization of our product candidates in certain geographies for certain indications, which would harm our business prospects, financial condition and</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color w:val="auto"/>
        </w:rPr>
        <w:t>results of operations.</w:t>
      </w:r>
    </w:p>
    <w:p>
      <w:pPr>
        <w:spacing w:after="0" w:line="11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5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From time to time, we evaluate various acquisition opportunities and strategic partnerships, including licensing or acquiring complementary products, intellectual property rights, technologies or businesses. Any potential acquisition or strategic partnership may entail numerous risks, including:</w:t>
      </w:r>
    </w:p>
    <w:p>
      <w:pPr>
        <w:spacing w:after="0" w:line="54" w:lineRule="exact"/>
        <w:rPr>
          <w:sz w:val="20"/>
          <w:szCs w:val="20"/>
          <w:color w:val="auto"/>
        </w:rPr>
      </w:pPr>
    </w:p>
    <w:p>
      <w:pPr>
        <w:ind w:left="260" w:hanging="252"/>
        <w:spacing w:after="0"/>
        <w:tabs>
          <w:tab w:leader="none" w:pos="2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operating expenses and cash requirements;</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additional indebtedness or contingent liabilities;</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our equity securities;</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assimilation of operations, intellectual property and products of an acquired company, including difficulties associated with integrating new personnel;</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our management’s attention from our existing programs and initiatives in pursuing such a strategic merger or acquisition;</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 the loss of key personnel and uncertainties in our ability to maintain key business relationships;</w:t>
      </w:r>
    </w:p>
    <w:p>
      <w:pPr>
        <w:spacing w:after="0" w:line="117" w:lineRule="exact"/>
        <w:rPr>
          <w:rFonts w:ascii="Times New Roman" w:cs="Times New Roman" w:eastAsia="Times New Roman" w:hAnsi="Times New Roman"/>
          <w:sz w:val="18"/>
          <w:szCs w:val="18"/>
          <w:color w:val="auto"/>
        </w:rPr>
      </w:pPr>
    </w:p>
    <w:p>
      <w:pPr>
        <w:ind w:left="260" w:right="140" w:hanging="252"/>
        <w:spacing w:after="0" w:line="282" w:lineRule="auto"/>
        <w:tabs>
          <w:tab w:leader="none" w:pos="2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associated with the other party to such a transaction, including the prospects of that party and their existing products or product candidates and marketing approvals; and</w:t>
      </w:r>
    </w:p>
    <w:p>
      <w:pPr>
        <w:spacing w:after="0" w:line="53" w:lineRule="exact"/>
        <w:rPr>
          <w:rFonts w:ascii="Times New Roman" w:cs="Times New Roman" w:eastAsia="Times New Roman" w:hAnsi="Times New Roman"/>
          <w:sz w:val="18"/>
          <w:szCs w:val="18"/>
          <w:color w:val="auto"/>
        </w:rPr>
      </w:pPr>
    </w:p>
    <w:p>
      <w:pPr>
        <w:ind w:left="260" w:right="200" w:hanging="252"/>
        <w:spacing w:after="0" w:line="282" w:lineRule="auto"/>
        <w:tabs>
          <w:tab w:leader="none" w:pos="2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generate revenue from acquired technology and/or products sufficient to meet our objectives in undertaking the acquisition or even to offset the associated acquisition and maintenance costs.</w:t>
      </w:r>
    </w:p>
    <w:p>
      <w:pPr>
        <w:spacing w:after="0" w:line="5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 addition, if we undertake acquisitions or pursue partnerships in the future, we may issue dilutive securities, assume or incur debt obligations, incur large one-time expenses and/or acquire intangible assets that could result in significant future amortization expense.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17"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maintain, enforce and adequately protect our patents and other intellectual property rights with respect to our technology and product candidates, or if the scope of our patents or other intellectual property rights are not sufficiently broad, our competitors could develop and commercialize technology and products similar or identical to ours, and our ability to successfully develop and commercialize our technology or product candidates may be adversely affected.</w:t>
      </w:r>
    </w:p>
    <w:p>
      <w:pPr>
        <w:spacing w:after="0" w:line="7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rely on a combination of patent applications, trade secret protection and confidentiality agreements to protect the intellectual property related to our technology and product candidates, and our success depends in large part on our ability to obtain and maintain patent protection in the United States and other countries with respect to such technology and product candidates. We will only be able to protect our product candidates, proprietary technologies and their uses from unauthorized use by third parties to the extent that valid and enforceable patents or trade secret protections cover them. Any disclosure to or misappropriation by third parties of our confidential proprietary information could enable competitors to quickly duplicate or surpass our technological achievements, thus eroding our competitive position in our market.</w:t>
      </w:r>
    </w:p>
    <w:p>
      <w:pPr>
        <w:spacing w:after="0" w:line="7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strength of patents in the biotechnology and pharmaceutical field involves complex legal, factual and scientific questions and can be uncertain. In recent years, patent rights have been the subject of significant litigation. As a result, the issuance, scope, validity, enforceability and commercial value of our patent rights are highly uncertain. Our pending and future patent applications may not result in patents being issued in the United States or in other jurisdictions which protect our technology or products or which effectively prevent others from commercializing competitive technologies and products.</w:t>
      </w:r>
    </w:p>
    <w:p>
      <w:pPr>
        <w:spacing w:after="0" w:line="7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patent applications that we own may fail to result in issued patents with claims that cover our technology or product candidates in the United States or in other foreign countries. There is no assurance that all of the potentially relevant prior art relating to our patents and patent applications has been found, which can invalidate a patent or prevent a patent from issuing from a pending patent application. Even if patents do successfully issue and even if such patents cover our technology or product candidates, third parties may challenge the inventorship, ownership, validity, enforceability or scope of such patents, which may result in such patents being narrowed or invalidated, or being held unenforceable. Our pending and future patent applications may not issue to protect our technology or product candidates or which effectively prevent others from developing, manufacturing or commercializing competitive technologies and product candidates. Since patent applications in the United States and most other countries are confidential for a period of time after filing, we cannot be certain that we were the first to file any patent application related to our product candidates. This will require us to be cognizant of the time from invention to filing of a patent application, and beyond.</w:t>
      </w:r>
    </w:p>
    <w:p>
      <w:pPr>
        <w:spacing w:after="0" w:line="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If the breadth or strength of protection provided or potentially provided by the patents and patent applications we hold with respect to our technology or product candidates is threatened, it could dissuade companies from collaborating with us to develop, and threaten our ability to commercialize, our product candidates. Furthermore, even if our patents and patent applications are unchallenged, they</w:t>
      </w: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58" w:name="page59"/>
    <w:bookmarkEnd w:id="58"/>
    <w:p>
      <w:pPr>
        <w:spacing w:after="0" w:line="261" w:lineRule="auto"/>
        <w:rPr>
          <w:sz w:val="20"/>
          <w:szCs w:val="20"/>
          <w:color w:val="auto"/>
        </w:rPr>
      </w:pPr>
      <w:r>
        <w:rPr>
          <w:rFonts w:ascii="Times New Roman" w:cs="Times New Roman" w:eastAsia="Times New Roman" w:hAnsi="Times New Roman"/>
          <w:sz w:val="18"/>
          <w:szCs w:val="18"/>
          <w:color w:val="auto"/>
        </w:rPr>
        <w:t>may not adequately protect our intellectual property, provide exclusivity for our technology and product candidates or prevent others from designing around our claims. In addition, no assurances can be given that third parties will not create similar or alternative technologies, products or methods that achieve similar results without infringing upon our patents. Any of these outcomes could impair our ability to prevent competition from third parties, which may have an adverse impact on our business.</w:t>
      </w:r>
    </w:p>
    <w:p>
      <w:pPr>
        <w:spacing w:after="0" w:line="7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ownership, scope, validity or enforceability, and our patents may be challenged in courts or patent offices in the United States and abroad. In addition, the issuance of a patent does not give us the right to practice the patented invention, as third parties may have blocking patents that could prevent us from marketing our product candidate, if approved, or practicing our own patented technology.</w:t>
      </w:r>
    </w:p>
    <w:p>
      <w:pPr>
        <w:spacing w:after="0" w:line="6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Even if our patent applications issue as patents, they may not issue in a form that will provide us with any meaningful protection, prevent competitors from competing with us or otherwise provide us with any competitive advantage. Our competitors may be able to circumvent our owned or licensed patents by developing similar or alternative technologies or products in a non-infringing manner. The issuance of a patent is not conclusive as to its scope, validity or enforceability, and our owned and in-licensed patents may be challenged in the courts or patent offices in the United States and abroad. For example, we may become involved in litigation, opposition, interference, derivation, post 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other proceedings challenging our patent rights, and the outcome of any proceedings are highly uncertain. Such challenges may result in the patent claims of our owned or in-licensed patents being narrowed, invalidated or held unenforceable, which could limit our ability to stop or prevent us from stopping others from using or commercializing similar or identical technology and products, or limit the duration of the patent protection of our technology and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 or otherwise provide us with a competitive advantage.</w:t>
      </w:r>
    </w:p>
    <w:p>
      <w:pPr>
        <w:spacing w:after="0" w:line="84"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If any of our patents are found to be invalid or unenforceable, or if we are otherwise unable to adequately protect our rights, it could have a material adverse impact on our business and our ability to commercialize or license our technology and product candidates.</w:t>
      </w:r>
    </w:p>
    <w:p>
      <w:pPr>
        <w:spacing w:after="0" w:line="5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Filing, prosecuting and defending patents in all countries throughout the world would be prohibitively expensive, and our intellectual property rights in some countries outside the United States can be less extensive than those in the United States. In addition, the laws of some countries do not protect intellectual property rights to the same extent as laws in the United States. Consequently, we may not be able to prevent third parties from practicing our inventions in all countries outside the United States, or from selling or importing products made using our inventions in and into the United States or other countries. Competitors may use our technologies in countries where we have not obtained patent protection to develop their own products and further, may infringe our patents in territories where we have patent protection, but enforcement is not as strong as in the United States. These products may compete with our products and our patents or other intellectual property rights may not be effective or sufficient to prevent them from competing.</w:t>
      </w:r>
    </w:p>
    <w:p>
      <w:pPr>
        <w:spacing w:after="0" w:line="8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However, trade secrets can be difficult to protect and trade secret protection will not protect us from innovations that a competitor develops independently of our proprietary know how. If a competitor independently develops a technology that we protect as a trade secret and files a patent application on that technology, then we may not be able to patent that technology in the future, may require a license from the competitor to use our own know-how, and even then, the license may not be available on commercially reasonable terms. Further, we cannot provide any assurances that competitors or other third parties will not otherwise gain access to our trade secrets and other confidential proprietary information or independently discover or develop substantially equivalent technology and processes. If we are unable to prevent disclosure of the trade secrets and other non-patented intellectual property related to our product candidates and technologies to third parties, there is no guarantee that we will have any such enforceable trade secret protection and we may not be able to establish or maintain a competitive advantage in our market, which could materially adversely affect our business, results of operations and financial condition.</w:t>
      </w:r>
    </w:p>
    <w:p>
      <w:pPr>
        <w:spacing w:after="0" w:line="8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seek to protect our proprietary technology and processes, in part, by entering into confidentiality agreements with parties who have access to them, such as our employees, consultants, scientific advisors and other contractors. We cannot guarantee that we have entered into such agreements with each party that may have or have had access to our trade secrets or proprietary technology and processes.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our trade secrets could be disclosed, and we may not have adequate remedies for any such breach.</w:t>
      </w:r>
    </w:p>
    <w:p>
      <w:pPr>
        <w:spacing w:after="0" w:line="7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we will not be able to establish or maintain a competitive advantage in our market, and this scenario could materially adversely affect our business, financial condition and results of operations.</w:t>
      </w:r>
    </w:p>
    <w:p>
      <w:pPr>
        <w:spacing w:after="0" w:line="68"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in part on our ability to protect our intellectual property rights. It is difficult and costly to protect our proprietary rights and technology, and we may not be able to protect our intellectual property rights throughout the world.</w:t>
      </w: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59" w:name="page60"/>
    <w:bookmarkEnd w:id="59"/>
    <w:p>
      <w:pPr>
        <w:ind w:right="100"/>
        <w:spacing w:after="0" w:line="277" w:lineRule="auto"/>
        <w:rPr>
          <w:sz w:val="20"/>
          <w:szCs w:val="20"/>
          <w:color w:val="auto"/>
        </w:rPr>
      </w:pPr>
      <w:r>
        <w:rPr>
          <w:rFonts w:ascii="Times New Roman" w:cs="Times New Roman" w:eastAsia="Times New Roman" w:hAnsi="Times New Roman"/>
          <w:sz w:val="17"/>
          <w:szCs w:val="17"/>
          <w:color w:val="auto"/>
        </w:rPr>
        <w:t>Our commercial success will depend in large part on obtaining and maintaining patent, trademark and trade secret protection of our proprietary technologies and product candidates and any future products. These candidates include icovamenib and others, their respective components, formulations, methods used to manufacture them and methods of treatment. Our commercial success will also depend on successfully defending these patents against third-party challenges. Our ability to stop unauthorized third parties from making, using, selling, offering to sell or importing our technology, product and product candidates is dependent upon the extent to which we have rights under valid and enforceable patents or trade secrets that cover these activities.</w:t>
      </w:r>
    </w:p>
    <w:p>
      <w:pPr>
        <w:spacing w:after="0" w:line="6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patent prosecution process is expensive and time-consuming, and we may not be able to file and prosecute all necessary or desirable patent applications at a reasonable cost or in a timely manner. In addition, we may not pursue or obtain patent protection in all relevant markets. It is also possible that we will fail to identify patentable aspects of our research and development output before it is too late to obtain patent protection. Our pending and future patent applications may not result in issued patents that protect our technology or products, in whole or in part. In addition, our existing patents and any future patents we obtain may not be sufficiently broad to prevent others from using our technology or from developing competing products and technologies.</w:t>
      </w:r>
    </w:p>
    <w:p>
      <w:pPr>
        <w:spacing w:after="0" w:line="7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If we delay in filing a patent application, and a competitor files a patent application on the same or a similar technology before we do, we may face a limited ability to secure patent rights or we may not be able to patent the technology at all. Even if we can patent the technology, we may be able to patent only a limited scope of the technology, and the limited scope may be inadequate to protect our products, or to block competitor products that are similar or adjacent to ours. Our earliest patent filings have been published. A competitor may review our published patents and arrive at the same or similar technology advances for our products as we developed.</w:t>
      </w:r>
    </w:p>
    <w:p>
      <w:pPr>
        <w:spacing w:after="0" w:line="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If the competitor files a patent application on such an advance before we do, then we may no longer be able to protect the technology or product, we may require a license from the competitor, and if then the license may not be available on commercially reasonable terms.</w:t>
      </w:r>
    </w:p>
    <w:p>
      <w:pPr>
        <w:spacing w:after="0" w:line="50" w:lineRule="exact"/>
        <w:rPr>
          <w:sz w:val="20"/>
          <w:szCs w:val="20"/>
          <w:color w:val="auto"/>
        </w:rPr>
      </w:pPr>
    </w:p>
    <w:p>
      <w:pPr>
        <w:jc w:val="both"/>
        <w:ind w:right="5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if we fail to comply with these requirements.</w:t>
      </w:r>
    </w:p>
    <w:p>
      <w:pPr>
        <w:spacing w:after="0" w:line="6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Periodic maintenance fees on any issued patent are due to be paid to the USPTO and foreign patent agencies in several stages over the lifetime of the patent. The USPTO and various foreign governmental patent agencies also require compliance with a number of procedural, documentary, fee payment (such as annuities)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80"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issued patents we may own covering our product candidates could be narrowed or found invalid or unenforceable if challenged in court or before administrative bodies in the United States or abroad, including the USPTO.</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Any of our intellectual property rights could be challenged or invalidated despite measures we take to obtain patent and other intellectual property protection with respect to our product candidates and proprietary technology. For example, if we were to initiate legal proceedings against a third party to enforce a patent covering one of our product candidates, the defendant could counterclaim that our patent is invalid and/or unenforceable. In patent litigation in the U.S.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material information from the USPTO or the applicable foreign counterpart, or made a misleading statement, during prosecution. A litigant or the USPTO itself could challenge our patents on this basis even if we believe that we have conducted our patent prosecution in accordance with the duty of candor and in good faith. The outcome following such a challenge is unpredictable.</w:t>
      </w:r>
    </w:p>
    <w:p>
      <w:pPr>
        <w:spacing w:after="0" w:line="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With respect to challenges to the validity of our patents, there might be invalidating prior art, of which we and the patent examiner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The cost of defending such a challenge, particularly in a foreign jurisdiction, and any resulting loss of patent protection could have a material adverse impact on one or more of our product candidates and our business. Enforcing our intellectual property rights against third parties may also cause such third parties to file other counterclaims against us, which could be costly to defend, particularly in a foreign jurisdiction, and could require us to pay substantial damages, cease the sale of certain products or enter into a license agreement and pay royalties (which may not be possible on commercially-reasonable terms or at all). Any efforts to enforce our intellectual property rights are also likely to be costly and may divert the efforts of our scientific and management personnel.</w:t>
      </w: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60" w:name="page61"/>
    <w:bookmarkEnd w:id="60"/>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or litigation at the USPTO to protect or enforce our patents or other intellectual property, which could be expensive, time consuming and unsuccessful.</w:t>
      </w:r>
    </w:p>
    <w:p>
      <w:pPr>
        <w:spacing w:after="0" w:line="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Competitors and other third parties may infringe or otherwise violate our or our future licensor’s patents, trademarks, copyrights or other intellectual property. To counter infringement or other violations, we may be required to file infringement, misappropriation or other intellectual property-related claims against such parties, which can be expensive and time consuming. To counter infringement or other unauthorized use, we may be required to file claims on a country-by-country basis, which can be expensive and time-consuming and divert the time and attention of our management and scientific personnel. There can be no assurance that we will have sufficient financial or other resources to file and pursue such claims, which often last for years before they are concluded. Any such claims could provoke these parties to assert counterclaims against us, including claims alleging that we infringe their patents or other intellectual property rights. In addition, in a patent infringement proceeding, a court may decide that one or more of the patents we assert is invalid or unenforceable, in whole or in part, construe the patent’s claims narrowly or refuse to prevent the other party from using the technology at issue on the grounds that our patents do not cover the technology. Similarly, if we assert trademark infringement claims, a court may determine that the marks we have asserted are invalid or unenforceable or that the party against whom we have asserted trademark infringement has superior rights to the marks in question.</w:t>
      </w:r>
    </w:p>
    <w:p>
      <w:pPr>
        <w:spacing w:after="0" w:line="84"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In such a case, we could ultimately be forced to cease use of such marks. In any intellectual property litigation, even if we are successful, any award of monetary damages or other remedy we receive may not be commercially valuable. The outcome following legal assertions of invalidity and unenforceability is unpredictable.</w:t>
      </w:r>
    </w:p>
    <w:p>
      <w:pPr>
        <w:spacing w:after="0" w:line="6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If a defendant were to prevail on a legal assertion of invalidity and/or unenforceability, we would lose at least part, and perhaps all, of the patent protection on such product candidate. In addition, if the breadth or strength of protection provided by our patents and patent applications or those of our future licensors is threatened, it could dissuade other companies from collaborating with us to license, develop or commercialize current or future product candidates. Such a loss of patent protection would have a material adverse impact on our business.</w:t>
      </w:r>
    </w:p>
    <w:p>
      <w:pPr>
        <w:spacing w:after="0" w:line="7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our intellectual property rights may cause us to incur significant expenses and could distract our technical and management personnel from their normal responsibilities.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7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Even if we establish infringement, misappropriation or other violation of our intellectual property, the court may decide not to grant an injunction against further such activity and instead award only monetary damages, which may or may not be an adequate remedy. 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7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We may be required to protect our patents through procedures created to attack the validity of a patent at the USPTO. The USPTO hears post-grant proceedings, including post grant review (PGR),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(IPR), and derivation proceedings. An adverse determination in any such submission or proceeding could reduce the scope or enforceability of, or invalidate, our patent rights, which could adversely affect our competitive position.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82"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patent law, or laws in other countries, could diminish the value of patents in general, thereby impairing our ability to protect our technology, products and product candidates.</w:t>
      </w:r>
    </w:p>
    <w:p>
      <w:pPr>
        <w:spacing w:after="0" w:line="51"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 a high degree of technological and legal complexity. Therefore, obtaining and enforcing biopharmaceutical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or future licensor’s patents or in third-party patents. In addition, Congress or other foreign legislative bodies may pass patent reform legislation that is unfavorable to us. United States Congress has in recent years considered legislation to reduce the term of certain drug patents in</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1" w:name="page62"/>
    <w:bookmarkEnd w:id="61"/>
    <w:p>
      <w:pPr>
        <w:ind w:right="80"/>
        <w:spacing w:after="0" w:line="256" w:lineRule="auto"/>
        <w:rPr>
          <w:sz w:val="20"/>
          <w:szCs w:val="20"/>
          <w:color w:val="auto"/>
        </w:rPr>
      </w:pPr>
      <w:r>
        <w:rPr>
          <w:rFonts w:ascii="Times New Roman" w:cs="Times New Roman" w:eastAsia="Times New Roman" w:hAnsi="Times New Roman"/>
          <w:sz w:val="18"/>
          <w:szCs w:val="18"/>
          <w:color w:val="auto"/>
        </w:rPr>
        <w:t>order to ease generic entry and increase competition. Evolving judicial interpretation of patent law could also adversely affect our business. 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patents and patents we might obtain in the future.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of our patents and other intellectual property.</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may be subject to claims that former employees, collaborators or other third parties have an interest in our patents, trade secrets, or other intellectual property as an inventor or co-inventor. For example, we may have inventorship disputes arise from conflicting obligations of employees, consultants or others who are involved in developing our technology or product candidates. Also, former employees may become employed by competitors who develop similar technology or product candidates, and could assist the competitor in designing around our patents or trade secrets. While it is our policy to require our employees and contractors who may be involved in the development of our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litigation may be necessary to defend against these and other claims challenging inventorship or our ownership of our patents, trade secrets or other intellectual property. If we fail in defending any such claims, in addition to paying monetary damages, we may lose valuable intellectual property rights, such as exclusive ownership of, or right to use, intellectual property that is important to our technology or product candidates. Even if we are successful in defending against such claims, litigation could result in substantial costs and be a distraction to management and other employees.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 foregoing could have a material adverse effect on our business, financial condition, results of operations and prospects.</w:t>
      </w:r>
    </w:p>
    <w:p>
      <w:pPr>
        <w:spacing w:after="0" w:line="113"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5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use and will continue to use registered and/or unregistered trademarks or trade names to brand and market ourselves and any products that we develop.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and could adversely affect our financial condition or results of operations.</w:t>
      </w:r>
    </w:p>
    <w:p>
      <w:pPr>
        <w:spacing w:after="0" w:line="78"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misappropriating or otherwise violating their intellectual property rights, the outcome of which would be uncertain. Defending against such lawsuits will be costly and time consuming, and an unfavorable outcome in that litigation would have a material adverse effect on our business.</w:t>
      </w:r>
    </w:p>
    <w:p>
      <w:pPr>
        <w:spacing w:after="0" w:line="6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commercial success depends upon our ability to develop, manufacture, market and sell our technology, product candidates and products and use our proprietary technologies without infringing the proprietary rights of third parties. U.S. and foreign issued patents and pending patent applications, which are owned by third parties, exist in the fields relating to our technology, product candidates and products. As the biotechnology and pharmaceutical industries expand and more patents are issued, the risk increases that others may assert our technology, product candidates or products infringe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technology, product candidates and products.</w:t>
      </w:r>
    </w:p>
    <w:p>
      <w:pPr>
        <w:spacing w:after="0" w:line="8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issued patents or our pending applications, or that we were the first to invent the technology. Our competitors may have filed, and may in the future file, patent applications covering our products or technology similar to ours. Any such patent application may have priority over our patent applications or patents, which could require us to obtain</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color w:val="auto"/>
        </w:rPr>
        <w:t>rights to issued patents covering such technologies.</w:t>
      </w:r>
    </w:p>
    <w:p>
      <w:pPr>
        <w:spacing w:after="0" w:line="11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There is a substantial amount of litigation involving patent and other intellectual property rights in the biotechnology and pharmaceutical industries generally. We may be exposed to, or threatened with, future litigation by third parties having patent or other intellectual property rights alleging that our technology, product candidates and/or products infringe or misappropriate their intellectual property rights.</w:t>
      </w:r>
    </w:p>
    <w:p>
      <w:pPr>
        <w:spacing w:after="0" w:line="68"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7"/>
          <w:szCs w:val="17"/>
          <w:color w:val="auto"/>
        </w:rPr>
        <w:t>If a third party claims that we infringe or misappropriate its intellectual property rights, we may face a number of issues, including, but not limited to: infringement, misappropriation and other intellectual property related claims, which, regardless of merit, may be expensive and time-consuming to litigate and may divert our management’s attention from our core business; substantial damages for infringement, which we may have to pay if a court decides that the product candidate or technology at issue infringes on or violates the third party’s rights, and, if the court finds that the infringement or misappropriation was willful, we could be ordered to pay treble damages and the patent owner’s attorneys’ fees; a court prohibiting us from developing, manufacturing, marketing or selling our products or product candidates, or from using our proprietary technologies, unless the third party licenses its product rights to us; however, the third party is not required to grant the license; if a license is available from a third party, we may have to pay substantial royalties, upfront fees and other amounts, and/or grant cross-licenses to intellectual property rights for our products; and redesigning our technology, product candidates or products so they do not infringe such third party patents; redesign may not be possible or may require substantial monetary expenditures and time.</w:t>
      </w:r>
    </w:p>
    <w:p>
      <w:pPr>
        <w:spacing w:after="0" w:line="6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w:t>
      </w:r>
    </w:p>
    <w:p>
      <w:pPr>
        <w:spacing w:after="0" w:line="70"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 xml:space="preserve">We may choose to challenge the patentability of claims in a third party’s U.S. patent by requesting that the USPTO review the patent claims in </w:t>
      </w:r>
      <w:r>
        <w:rPr>
          <w:rFonts w:ascii="Times New Roman" w:cs="Times New Roman" w:eastAsia="Times New Roman" w:hAnsi="Times New Roman"/>
          <w:sz w:val="18"/>
          <w:szCs w:val="18"/>
          <w:i w:val="1"/>
          <w:iCs w:val="1"/>
          <w:color w:val="auto"/>
        </w:rPr>
        <w:t>ex-parte</w:t>
      </w:r>
      <w:r>
        <w:rPr>
          <w:rFonts w:ascii="Times New Roman" w:cs="Times New Roman" w:eastAsia="Times New Roman" w:hAnsi="Times New Roman"/>
          <w:sz w:val="18"/>
          <w:szCs w:val="18"/>
          <w:color w:val="auto"/>
        </w:rPr>
        <w:t xml:space="preserve"> re-exam,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post-grant review proceedings. These proceedings are expensive and may consume our time or other resources. We may choose to challenge a third party’s patent in patent opposition proceedings in the European Patent Office (EPO), or other foreign patent office.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technology, product candidates or products.</w:t>
      </w:r>
    </w:p>
    <w:p>
      <w:pPr>
        <w:spacing w:after="0" w:line="72"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may lead to unfavorable publicity that harms our reputation and causes the market price of our common stock to decline.</w:t>
      </w:r>
    </w:p>
    <w:p>
      <w:pPr>
        <w:spacing w:after="0" w:line="5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spacing w:after="0" w:line="71"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confidential information or alleged trade secrets of third parties or competitors or are in breach of non-competition or non-solicitation agreements with our competitors or their former employers.</w:t>
      </w:r>
    </w:p>
    <w:p>
      <w:pPr>
        <w:spacing w:after="0" w:line="6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As is common in the biotechnology and pharmaceutical industries, we employ individuals and engage the services of consultants who previously worked for other biotechnology or pharmaceutical companies, including our competitors or potential competitors. Although no claims against us are currently pending, we may be subject to claims that these employees have inadvertently or otherwise used or disclosed trade secrets or other proprietary information of their former employers, or that our consultants have used or disclosed trade secrets or other proprietary information of their former or current clients.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intellectual property related proceedings could adversely affect our ability to compete in the marketplace.</w:t>
      </w: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63" w:name="page64"/>
    <w:bookmarkEnd w:id="63"/>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any future agreements under which we license intellectual property rights from third parties or otherwise experience disruptions to our business relationships with any licensors, we could lose license rights that are important to our business.</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growth of our business may depend in part on our ability to acquire or in-license additional proprietary rights from third parties in the future. For example, our programs may involve additional product candidates that may require the use of proprietary rights held by third parties. Our product candidates may also require specific formulations to work effectively and efficiently. These formulations may be covered by intellectual property rights held by others. We may develop products containing our compounds and pre-existing pharmaceutical compounds. These pharmaceutical compounds may be covered by intellectual property rights held by others. Thus, we may in the future enter into license agreements with third parties under which we receive rights to intellectual property that are important to our business. These intellectual property license agreements may impose on us various development, regulatory and/or commercial diligence obligations, payment of milestones and/or royalties and other obligations. If we fail to comply with our obligations under these agreements, or we are subject to bankruptcy-related proceedings, the licensor may have the right to terminate the license, in which event we would not be able to market products covered by the license.</w:t>
      </w:r>
    </w:p>
    <w:p>
      <w:pPr>
        <w:spacing w:after="0" w:line="8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may also in the future enter into license agreements with third parties under which we are a sublicensee. If our sublicensor fails to comply with its obligations under its upstream license agreement with its licensor, the licensor may have the right to terminate the upstream license, which may terminate our sublicense. If this were to occur, we would no longer have rights to the applicable intellectual property unless we are able to secure our own direct license with the owner of the relevant rights, which we may not be able to do on reasonable terms, or at all, which may impact our ability to continue to develop and commercialize our product candidates incorporating the relevant intellectual property.</w:t>
      </w:r>
    </w:p>
    <w:p>
      <w:pPr>
        <w:spacing w:after="0" w:line="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may need to obtain licenses in the future from third parties to advance our research or allow commercialization of our technology, product candidates or products, and we cannot provide any assurances that there are no third-party patents which might be enforced against our technology, product candidates or products in the absence of such a license. We may fail to obtain any of these licenses on commercially reasonable terms, if at all. Even if we are able to obtain a license, it may be non-exclusive, thereby giving our competitors access to the same technologies licensed to us. In that event, we may be required to expend significant time and resources to develop or license replacement technology. If we are unable to do so, we may be unable to develop or commercialize the affected technology, product candidates or products, which could materially harm our business and the third parties owning such intellectual property rights could seek either an injunction prohibiting our sales, or, with respect to our sales, an obligation on our part to pay royalties and/or other forms of compensation.</w:t>
      </w:r>
    </w:p>
    <w:p>
      <w:pPr>
        <w:spacing w:after="0" w:line="84"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Licensing of intellectual property from third parties may become of critical importance to our business, which involves complex legal, business and scientific issues. Disputes may arise between us and our future licensors regarding intellectual property subject to a license agreement, including:</w:t>
      </w:r>
    </w:p>
    <w:p>
      <w:pPr>
        <w:spacing w:after="0" w:line="54" w:lineRule="exact"/>
        <w:rPr>
          <w:sz w:val="20"/>
          <w:szCs w:val="20"/>
          <w:color w:val="auto"/>
        </w:rPr>
      </w:pPr>
    </w:p>
    <w:p>
      <w:pPr>
        <w:ind w:left="260" w:hanging="252"/>
        <w:spacing w:after="0"/>
        <w:tabs>
          <w:tab w:leader="none" w:pos="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interpretation-related issues;</w:t>
      </w:r>
    </w:p>
    <w:p>
      <w:pPr>
        <w:spacing w:after="0" w:line="117" w:lineRule="exact"/>
        <w:rPr>
          <w:rFonts w:ascii="Times New Roman" w:cs="Times New Roman" w:eastAsia="Times New Roman" w:hAnsi="Times New Roman"/>
          <w:sz w:val="18"/>
          <w:szCs w:val="18"/>
          <w:color w:val="auto"/>
        </w:rPr>
      </w:pPr>
    </w:p>
    <w:p>
      <w:pPr>
        <w:ind w:left="260" w:right="640" w:hanging="252"/>
        <w:spacing w:after="0" w:line="282" w:lineRule="auto"/>
        <w:tabs>
          <w:tab w:leader="none" w:pos="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infringe on intellectual property of the licensor that is not subject to the licensing agreement;</w:t>
      </w:r>
    </w:p>
    <w:p>
      <w:pPr>
        <w:spacing w:after="0" w:line="5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patents and other rights to third parties;</w:t>
      </w:r>
    </w:p>
    <w:p>
      <w:pPr>
        <w:spacing w:after="0" w:line="117" w:lineRule="exact"/>
        <w:rPr>
          <w:rFonts w:ascii="Times New Roman" w:cs="Times New Roman" w:eastAsia="Times New Roman" w:hAnsi="Times New Roman"/>
          <w:sz w:val="18"/>
          <w:szCs w:val="18"/>
          <w:color w:val="auto"/>
        </w:rPr>
      </w:pPr>
    </w:p>
    <w:p>
      <w:pPr>
        <w:ind w:left="260" w:right="600" w:hanging="252"/>
        <w:spacing w:after="0" w:line="282" w:lineRule="auto"/>
        <w:tabs>
          <w:tab w:leader="none" w:pos="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with respect to the use of the licensed technology in relation to our development and commercialization of our product candidates, and what activities satisfy those diligence obligations;</w:t>
      </w:r>
    </w:p>
    <w:p>
      <w:pPr>
        <w:spacing w:after="0" w:line="5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transfer or assign the license; and</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licensors and us and our partners.</w:t>
      </w:r>
    </w:p>
    <w:p>
      <w:pPr>
        <w:spacing w:after="0" w:line="117"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If disputes over intellectual property that we license in the future prevent or impair our ability to maintain our licensing arrangements on commercially reasonable terms, we may not be able to successfully develop and commercialize the affected technology, product candidates or products, which would have a material adverse effect on our business.</w:t>
      </w:r>
    </w:p>
    <w:p>
      <w:pPr>
        <w:spacing w:after="0" w:line="6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addition, certain of our future agreements with third parties may limit or delay our ability to consummate certain transactions, may impact the value of those transactions, or may limit our ability to pursue certain activities. For example, we may in the future enter into license agreements that are not assignable or transferable, or that require the licensor’s express consent in order for an assignment or transfer to take place.</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54" w:lineRule="exact"/>
        <w:rPr>
          <w:sz w:val="20"/>
          <w:szCs w:val="20"/>
          <w:color w:val="auto"/>
        </w:rPr>
      </w:pPr>
    </w:p>
    <w:p>
      <w:pPr>
        <w:ind w:left="260" w:hanging="252"/>
        <w:spacing w:after="0"/>
        <w:tabs>
          <w:tab w:leader="none" w:pos="2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 candidates that are similar to ours but that are not covered by the claims of the patents that we own;</w:t>
      </w:r>
    </w:p>
    <w:p>
      <w:pPr>
        <w:spacing w:after="0" w:line="117" w:lineRule="exact"/>
        <w:rPr>
          <w:rFonts w:ascii="Times New Roman" w:cs="Times New Roman" w:eastAsia="Times New Roman" w:hAnsi="Times New Roman"/>
          <w:sz w:val="18"/>
          <w:szCs w:val="18"/>
          <w:color w:val="auto"/>
        </w:rPr>
      </w:pPr>
    </w:p>
    <w:p>
      <w:pPr>
        <w:ind w:left="260" w:right="560" w:hanging="252"/>
        <w:spacing w:after="0" w:line="282" w:lineRule="auto"/>
        <w:tabs>
          <w:tab w:leader="none" w:pos="2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license partners or current or future collaborators, might not have been the first to make the inventions covered by the issued patent or pending patent applications that we license or may own in the future;</w:t>
      </w:r>
    </w:p>
    <w:p>
      <w:pPr>
        <w:spacing w:after="0" w:line="53" w:lineRule="exact"/>
        <w:rPr>
          <w:rFonts w:ascii="Times New Roman" w:cs="Times New Roman" w:eastAsia="Times New Roman" w:hAnsi="Times New Roman"/>
          <w:sz w:val="18"/>
          <w:szCs w:val="18"/>
          <w:color w:val="auto"/>
        </w:rPr>
      </w:pPr>
    </w:p>
    <w:p>
      <w:pPr>
        <w:ind w:left="260" w:right="400" w:hanging="252"/>
        <w:spacing w:after="0" w:line="282" w:lineRule="auto"/>
        <w:tabs>
          <w:tab w:leader="none" w:pos="2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license partners or current or future collaborators, might not have been the first to file patent applications covering certain of our or their inventions;</w:t>
      </w:r>
    </w:p>
    <w:p>
      <w:pPr>
        <w:spacing w:after="0" w:line="53" w:lineRule="exact"/>
        <w:rPr>
          <w:rFonts w:ascii="Times New Roman" w:cs="Times New Roman" w:eastAsia="Times New Roman" w:hAnsi="Times New Roman"/>
          <w:sz w:val="18"/>
          <w:szCs w:val="18"/>
          <w:color w:val="auto"/>
        </w:rPr>
      </w:pPr>
    </w:p>
    <w:p>
      <w:pPr>
        <w:ind w:left="260" w:right="160" w:hanging="252"/>
        <w:spacing w:after="0" w:line="282" w:lineRule="auto"/>
        <w:tabs>
          <w:tab w:leader="none" w:pos="2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owned or in-licensed intellectual property rights;</w:t>
      </w:r>
    </w:p>
    <w:p>
      <w:pPr>
        <w:spacing w:after="0" w:line="5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owned and in-licensed pending patent applications or those we may own or in-license in the future will not lead to issued patents;</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hold rights to may be held invalid or unenforceable, including as a result of legal challenges by our competitors;</w:t>
      </w:r>
    </w:p>
    <w:p>
      <w:pPr>
        <w:spacing w:after="0" w:line="117" w:lineRule="exact"/>
        <w:rPr>
          <w:rFonts w:ascii="Times New Roman" w:cs="Times New Roman" w:eastAsia="Times New Roman" w:hAnsi="Times New Roman"/>
          <w:sz w:val="18"/>
          <w:szCs w:val="18"/>
          <w:color w:val="auto"/>
        </w:rPr>
      </w:pPr>
    </w:p>
    <w:p>
      <w:pPr>
        <w:ind w:left="260" w:right="20" w:hanging="252"/>
        <w:spacing w:after="0" w:line="282" w:lineRule="auto"/>
        <w:tabs>
          <w:tab w:leader="none" w:pos="2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3" w:lineRule="exact"/>
        <w:rPr>
          <w:rFonts w:ascii="Times New Roman" w:cs="Times New Roman" w:eastAsia="Times New Roman" w:hAnsi="Times New Roman"/>
          <w:sz w:val="18"/>
          <w:szCs w:val="18"/>
          <w:color w:val="auto"/>
        </w:rPr>
      </w:pPr>
    </w:p>
    <w:p>
      <w:pPr>
        <w:ind w:left="260" w:right="380" w:hanging="252"/>
        <w:spacing w:after="0" w:line="282" w:lineRule="auto"/>
        <w:tabs>
          <w:tab w:leader="none" w:pos="2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ensure that any of our patents, or any of our pending patent applications, if issued, or those of our licensors, will include claims having a scope sufficient to protect our product candidates;</w:t>
      </w:r>
    </w:p>
    <w:p>
      <w:pPr>
        <w:spacing w:after="0" w:line="53" w:lineRule="exact"/>
        <w:rPr>
          <w:rFonts w:ascii="Times New Roman" w:cs="Times New Roman" w:eastAsia="Times New Roman" w:hAnsi="Times New Roman"/>
          <w:sz w:val="18"/>
          <w:szCs w:val="18"/>
          <w:color w:val="auto"/>
        </w:rPr>
      </w:pPr>
    </w:p>
    <w:p>
      <w:pPr>
        <w:ind w:left="260" w:right="660" w:hanging="252"/>
        <w:spacing w:after="0" w:line="282" w:lineRule="auto"/>
        <w:tabs>
          <w:tab w:leader="none" w:pos="2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ensure that any patents issued to us or our licensors will provide a basis for an exclusive market for our commercially viable product candidates or will provide us with any competitive advantages;</w:t>
      </w:r>
    </w:p>
    <w:p>
      <w:pPr>
        <w:spacing w:after="0" w:line="5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ensure that our commercial activities or product candidates will not infringe upon the patents of others;</w:t>
      </w:r>
    </w:p>
    <w:p>
      <w:pPr>
        <w:spacing w:after="0" w:line="117" w:lineRule="exact"/>
        <w:rPr>
          <w:rFonts w:ascii="Times New Roman" w:cs="Times New Roman" w:eastAsia="Times New Roman" w:hAnsi="Times New Roman"/>
          <w:sz w:val="18"/>
          <w:szCs w:val="18"/>
          <w:color w:val="auto"/>
        </w:rPr>
      </w:pPr>
    </w:p>
    <w:p>
      <w:pPr>
        <w:ind w:left="260" w:right="460" w:hanging="252"/>
        <w:spacing w:after="0" w:line="282" w:lineRule="auto"/>
        <w:tabs>
          <w:tab w:leader="none" w:pos="2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ensure that we will be able to successfully commercialize our product candidates on a substantial scale, if approved, before the relevant patents that we own or license expire;</w:t>
      </w:r>
    </w:p>
    <w:p>
      <w:pPr>
        <w:spacing w:after="0" w:line="5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or intellectual property rights of others may harm our business; and</w:t>
      </w:r>
    </w:p>
    <w:p>
      <w:pPr>
        <w:spacing w:after="0" w:line="117" w:lineRule="exact"/>
        <w:rPr>
          <w:rFonts w:ascii="Times New Roman" w:cs="Times New Roman" w:eastAsia="Times New Roman" w:hAnsi="Times New Roman"/>
          <w:sz w:val="18"/>
          <w:szCs w:val="18"/>
          <w:color w:val="auto"/>
        </w:rPr>
      </w:pPr>
    </w:p>
    <w:p>
      <w:pPr>
        <w:ind w:left="260" w:hanging="252"/>
        <w:spacing w:after="0" w:line="282" w:lineRule="auto"/>
        <w:tabs>
          <w:tab w:leader="none" w:pos="2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 party may subsequently file a patent covering such intellectual property.</w:t>
      </w:r>
    </w:p>
    <w:p>
      <w:pPr>
        <w:spacing w:after="0" w:line="54" w:lineRule="exact"/>
        <w:rPr>
          <w:sz w:val="20"/>
          <w:szCs w:val="20"/>
          <w:color w:val="auto"/>
        </w:rPr>
      </w:pPr>
    </w:p>
    <w:p>
      <w:pPr>
        <w:ind w:right="580"/>
        <w:spacing w:after="0" w:line="373" w:lineRule="auto"/>
        <w:rPr>
          <w:sz w:val="20"/>
          <w:szCs w:val="20"/>
          <w:color w:val="auto"/>
        </w:rPr>
      </w:pPr>
      <w:r>
        <w:rPr>
          <w:rFonts w:ascii="Times New Roman" w:cs="Times New Roman" w:eastAsia="Times New Roman" w:hAnsi="Times New Roman"/>
          <w:sz w:val="18"/>
          <w:szCs w:val="18"/>
          <w:color w:val="auto"/>
        </w:rPr>
        <w:t xml:space="preserve">Should any of these events occur, they could have a material adverse effect on our business, financial condition, results of operations and prospects. </w:t>
      </w:r>
      <w:r>
        <w:rPr>
          <w:rFonts w:ascii="Times New Roman" w:cs="Times New Roman" w:eastAsia="Times New Roman" w:hAnsi="Times New Roman"/>
          <w:sz w:val="18"/>
          <w:szCs w:val="18"/>
          <w:b w:val="1"/>
          <w:bCs w:val="1"/>
          <w:color w:val="auto"/>
        </w:rPr>
        <w:t>Risks Related to Our Common Stock</w:t>
      </w:r>
    </w:p>
    <w:p>
      <w:pPr>
        <w:spacing w:after="0" w:line="1"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price of our stock has been and is likely to continue to be volatile, and you may not be able to resell shares of our common stock at or above the price you paid.</w:t>
      </w:r>
    </w:p>
    <w:p>
      <w:pPr>
        <w:spacing w:after="0" w:line="51"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trading price of our common stock has been and is likely to be highly volatile and could be subject to wide fluctuations in response to various factors, some of which are beyond our control, including limited trading volume. In addition to the factors discussed in this “Risk Factors” section and elsewhere herein, these factors include:</w:t>
      </w:r>
    </w:p>
    <w:p>
      <w:pPr>
        <w:spacing w:after="0" w:line="68" w:lineRule="exact"/>
        <w:rPr>
          <w:sz w:val="20"/>
          <w:szCs w:val="20"/>
          <w:color w:val="auto"/>
        </w:rPr>
      </w:pPr>
    </w:p>
    <w:p>
      <w:pPr>
        <w:ind w:left="260" w:hanging="252"/>
        <w:spacing w:after="0"/>
        <w:tabs>
          <w:tab w:leader="none" w:pos="2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costs and results of our ongoing, planned or any future clinical trials, clinical development programs or preclinical studies;</w:t>
      </w:r>
    </w:p>
    <w:p>
      <w:pPr>
        <w:spacing w:after="0" w:line="117" w:lineRule="exact"/>
        <w:rPr>
          <w:rFonts w:ascii="Times New Roman" w:cs="Times New Roman" w:eastAsia="Times New Roman" w:hAnsi="Times New Roman"/>
          <w:sz w:val="18"/>
          <w:szCs w:val="18"/>
          <w:color w:val="auto"/>
        </w:rPr>
      </w:pPr>
    </w:p>
    <w:p>
      <w:pPr>
        <w:ind w:left="260" w:right="20" w:hanging="252"/>
        <w:spacing w:after="0" w:line="282" w:lineRule="auto"/>
        <w:tabs>
          <w:tab w:leader="none" w:pos="2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enrollment, progress or results of clinical trials of our product candidates or any future clinical trials we may conduct, or changes in the development status of our product candidates;</w:t>
      </w:r>
    </w:p>
    <w:p>
      <w:pPr>
        <w:spacing w:after="0" w:line="53" w:lineRule="exact"/>
        <w:rPr>
          <w:rFonts w:ascii="Times New Roman" w:cs="Times New Roman" w:eastAsia="Times New Roman" w:hAnsi="Times New Roman"/>
          <w:sz w:val="18"/>
          <w:szCs w:val="18"/>
          <w:color w:val="auto"/>
        </w:rPr>
      </w:pPr>
    </w:p>
    <w:p>
      <w:pPr>
        <w:ind w:left="260" w:right="180" w:hanging="252"/>
        <w:spacing w:after="0" w:line="282" w:lineRule="auto"/>
        <w:tabs>
          <w:tab w:leader="none" w:pos="2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or delays in preclinical studies and clinical trials such as the clinical hold on our INDs for the Phase I/II clinical trials of icovamenib in type 2 and type 1 diabetes, from June 2024 to September 2024;</w:t>
      </w:r>
    </w:p>
    <w:p>
      <w:pPr>
        <w:spacing w:after="0" w:line="53" w:lineRule="exact"/>
        <w:rPr>
          <w:rFonts w:ascii="Times New Roman" w:cs="Times New Roman" w:eastAsia="Times New Roman" w:hAnsi="Times New Roman"/>
          <w:sz w:val="18"/>
          <w:szCs w:val="18"/>
          <w:color w:val="auto"/>
        </w:rPr>
      </w:pPr>
    </w:p>
    <w:p>
      <w:pPr>
        <w:ind w:left="260" w:right="100" w:hanging="252"/>
        <w:spacing w:after="0" w:line="282" w:lineRule="auto"/>
        <w:tabs>
          <w:tab w:leader="none" w:pos="2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decision to initiate a clinical trial, not to initiate a clinical trial, or to terminate an existing clinical trial, including due to the suspension of a clinical trial by the FDA or other regulatory authorities;</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5" w:name="page66"/>
    <w:bookmarkEnd w:id="65"/>
    <w:p>
      <w:pPr>
        <w:ind w:left="260" w:hanging="252"/>
        <w:spacing w:after="0"/>
        <w:tabs>
          <w:tab w:leader="none" w:pos="2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 in our regulatory filings or any adverse regulatory decisions, including failure to receive regulatory approval of our product candidates;</w:t>
      </w:r>
    </w:p>
    <w:p>
      <w:pPr>
        <w:spacing w:after="0" w:line="117" w:lineRule="exact"/>
        <w:rPr>
          <w:rFonts w:ascii="Times New Roman" w:cs="Times New Roman" w:eastAsia="Times New Roman" w:hAnsi="Times New Roman"/>
          <w:sz w:val="18"/>
          <w:szCs w:val="18"/>
          <w:color w:val="auto"/>
        </w:rPr>
      </w:pPr>
    </w:p>
    <w:p>
      <w:pPr>
        <w:ind w:left="260" w:right="120" w:hanging="252"/>
        <w:spacing w:after="0" w:line="282" w:lineRule="auto"/>
        <w:tabs>
          <w:tab w:leader="none" w:pos="2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our product candidates and any future products, including but not limited to clinical trial requirements for approvals;</w:t>
      </w:r>
    </w:p>
    <w:p>
      <w:pPr>
        <w:spacing w:after="0" w:line="5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developments concerning our manufacturers or our manufacturing plans;</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obtain adequate supply for any of our product candidates or the components thereof, or inability to do so at acceptable prices;</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establish collaborations if needed;</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commercialize our product candidates;</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scientific or management personnel;</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serious safety concerns related to the use of our product candidates;</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products or services offered by us or our competitors;</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acquisitions, strategic partnerships, joint ventures or capital commitments by us or our competitors;</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our product candidates for the treatment of type 1 and type 2 diabetes or other metabolic diseases;</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quarterly operating results;</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position;</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meet the estimates and projections of the investment community or that we may otherwise provide to the public;</w:t>
      </w:r>
    </w:p>
    <w:p>
      <w:pPr>
        <w:spacing w:after="0" w:line="117" w:lineRule="exact"/>
        <w:rPr>
          <w:rFonts w:ascii="Times New Roman" w:cs="Times New Roman" w:eastAsia="Times New Roman" w:hAnsi="Times New Roman"/>
          <w:sz w:val="18"/>
          <w:szCs w:val="18"/>
          <w:color w:val="auto"/>
        </w:rPr>
      </w:pPr>
    </w:p>
    <w:p>
      <w:pPr>
        <w:ind w:left="260" w:right="300" w:hanging="252"/>
        <w:spacing w:after="0" w:line="282" w:lineRule="auto"/>
        <w:tabs>
          <w:tab w:leader="none" w:pos="2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about us or our industry, or menin inhibitors in particular, or positive or negative recommendations or withdrawal of research coverage by securities analysts;</w:t>
      </w:r>
    </w:p>
    <w:p>
      <w:pPr>
        <w:spacing w:after="0" w:line="5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performance of the equity markets;</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or securities exercisable for or convertible into shares of our common stock, by us or our stockholders in the future;</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practices;</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ineffectiveness of our internal controls;</w:t>
      </w:r>
    </w:p>
    <w:p>
      <w:pPr>
        <w:spacing w:after="0" w:line="117" w:lineRule="exact"/>
        <w:rPr>
          <w:rFonts w:ascii="Times New Roman" w:cs="Times New Roman" w:eastAsia="Times New Roman" w:hAnsi="Times New Roman"/>
          <w:sz w:val="18"/>
          <w:szCs w:val="18"/>
          <w:color w:val="auto"/>
        </w:rPr>
      </w:pPr>
    </w:p>
    <w:p>
      <w:pPr>
        <w:ind w:left="260" w:hanging="252"/>
        <w:spacing w:after="0" w:line="282" w:lineRule="auto"/>
        <w:tabs>
          <w:tab w:leader="none" w:pos="2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intellectual property or proprietary rights, including patents, litigation matters and our ability to obtain patent protection for our technologies;</w:t>
      </w:r>
    </w:p>
    <w:p>
      <w:pPr>
        <w:spacing w:after="0" w:line="5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intellectual property or stockholder litigation;</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natural disasters or public health emergencies;</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inflationary pressures and general economic, political, industry and market conditions; and</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many of which are beyond our control.</w:t>
      </w:r>
    </w:p>
    <w:p>
      <w:pPr>
        <w:spacing w:after="0" w:line="117"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realization of any of the above risks or any of a broad range of other risks, including those described in this “Risk Factors” section, could have a dramatic and adverse impact on the market price of our common stock.</w:t>
      </w:r>
    </w:p>
    <w:p>
      <w:pPr>
        <w:spacing w:after="0" w:line="27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5" w:right="399" w:bottom="1440" w:gutter="0" w:footer="0" w:header="0"/>
        </w:sectPr>
      </w:pPr>
    </w:p>
    <w:bookmarkStart w:id="66" w:name="page67"/>
    <w:bookmarkEnd w:id="66"/>
    <w:p>
      <w:pPr>
        <w:ind w:right="40"/>
        <w:spacing w:after="0" w:line="254"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biopharmaceutical companies in particular, have experienced extreme price and volume fluctuations that have often been unrelated or disproportionate to the operating performance of these companies. In particular, the trading prices for pharmaceutical, biopharmaceutical and biotechnology companies have been volatile. In addition, broad market and industry factors may negatively affect the market price of our common stock, regardless of our actual operating performance. If the market price of our common stock does not exceed the price at which you purchased shares of our common stock, you may not realize any return on your investment in us and may lose some or all of your investment.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would materially adversely affect our business, financial condition and results of operation.</w:t>
      </w:r>
    </w:p>
    <w:p>
      <w:pPr>
        <w:spacing w:after="0" w:line="80"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existing stockholders, restrict our operations or require us to relinquish rights to our technologies or product candidates.</w:t>
      </w:r>
    </w:p>
    <w:p>
      <w:pPr>
        <w:spacing w:after="0" w:line="5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may seek additional capital through a combination of public and private equity offerings, debt financings, strategic partnerships and alliances and licensing arrangements. To the extent that we raise additional capital through the sale of equity or convertible debt securities, your ownership interest will be diluted, and the terms may include liquidation preferences or other preferences that adversely affect your rights as a stockholder.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alliances and licensing arrangements with third parties, we may have to relinquish valuable rights to our technologies or product candidates, or grant licenses on terms unfavorable to us.</w:t>
      </w:r>
    </w:p>
    <w:p>
      <w:pPr>
        <w:spacing w:after="0" w:line="77"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outstanding shares may be sold into the market in the near future, which could cause the market price of our common stock to drop significantly.</w:t>
      </w:r>
    </w:p>
    <w:p>
      <w:pPr>
        <w:spacing w:after="0" w:line="51"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A significant portion of our outstanding shares of common stock are held by a small number of stockholders, including our directors, officers and significant stockholders. Sales by our stockholders of a substantial number of shares, or the expectation that such sales may occur, could significantly reduce the market price of our common stock.</w:t>
      </w:r>
    </w:p>
    <w:p>
      <w:pPr>
        <w:spacing w:after="0" w:line="6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have also registered or intend to register all shares of our common stock subject to options or other equity awards issued or reserved for future issuance under our equity incentive plans. As a result, these shares will be available for sale in the public market subject to vesting arrangements and exercise of options, and restrictions under applicable securities laws. In addition, our directors, executive officers and certain affiliates have established or may in the future establish programmed selling plans under Rule 10b5-1 of the Exchange Act for the purpose of effecting sales of our common stock. If any of these events cause a large number of our shares to be sold in the public market, the sales could reduce the trading price of our common stock and impede our ability to raise future capital.</w:t>
      </w:r>
    </w:p>
    <w:p>
      <w:pPr>
        <w:spacing w:after="0" w:line="7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Future sales and issuances of our common stock or rights to purchase common stock, including pursuant to our equity incentive plans or upon the exercise of outstanding warrants, would result in additional dilution of the percentage ownership of our stockholders and could cause our stock price to fall.</w:t>
      </w:r>
    </w:p>
    <w:p>
      <w:pPr>
        <w:spacing w:after="0" w:line="6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will need additional capital in the future to continue our planned operations. To the extent we raise additional capital by issuing equity securities, our stockholders may experience substantial dilution. We may sell common stock, convertible securities or other equity securities in one or more transactions at prices and in a manner we determine from time to time. If we sell common stock, convertible securities or other equity securities in more than one transaction, investors may be materially diluted by subsequent sales. These sales may also result in material dilution to our existing stockholders, and new investors could gain rights superior to our existing stockholders. In November 2022, we entered into our 2022 ATM Program, which provides for the offering, issuance and sale by us of shares of our common stock from time to time for aggregate gross proceeds of up to $100 million in sales deemed to be “at-the-market offerings” as defined by the Securities Act. During the three months ended March 31, 2026, we did not sell any shares pursuant to our 2022 ATM Program.</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7" w:name="page68"/>
    <w:bookmarkEnd w:id="67"/>
    <w:p>
      <w:pPr>
        <w:ind w:right="20"/>
        <w:spacing w:after="0" w:line="253" w:lineRule="auto"/>
        <w:rPr>
          <w:sz w:val="20"/>
          <w:szCs w:val="20"/>
          <w:color w:val="auto"/>
        </w:rPr>
      </w:pPr>
      <w:r>
        <w:rPr>
          <w:rFonts w:ascii="Times New Roman" w:cs="Times New Roman" w:eastAsia="Times New Roman" w:hAnsi="Times New Roman"/>
          <w:sz w:val="18"/>
          <w:szCs w:val="18"/>
          <w:color w:val="auto"/>
        </w:rPr>
        <w:t>In April 2023, we sold 5,750,000 shares of common stock at $30.00 per share for gross proceeds of $172.5 million under the registration statement on Form S-3. In June 2025, we issued and sold 19,450,000 shares of common stock at an offering price of $2.00 per share and, to a certain investor in lieu of common stock, pre-funded warrants to purchase up to 550,000 shares of common stock at an offering price of $1.9999 per share and accompanying common warrants to purchase up to 23,000,000 shares of common stock at a per share exercise price of $2.50. In August 2025, we filed a registration statement on Form S-3 relating to the registration of our common stock, preferred stock, debt securities, warrants and units or any combination thereof. In October 2025, pursuant to a registration statement on Form S-3 filed in August 2025, we issued and sold 11,195,121 shares of common stock at an offering price of $2.05 per share and, to a certain investor in lieu of common stock, pre-funded warrants to purchase up to 1,000,000 shares of common stock at an offering price of $2.0499 per share and accompanying common warrants to purchase up to 14,024,389 shares of common stock at a per share exercise price of $2.50, which included the underwriters’ partial exercise to purchase additional common warrants. Any exercises of the common stock warrants issued in the June 2025 or October 2025 underwritten public offerings and any additional sales or issuances of securities pursuant to our 2022 ATM program, our August 2025 registration statement or otherwise may result in dilution to our stockholders and may cause the market price of our stock to decline. Furthermore, new investors purchasing securities that we may issue and sell in the future could obtain rights superior to the rights of our existing stockholders.</w:t>
      </w:r>
    </w:p>
    <w:p>
      <w:pPr>
        <w:spacing w:after="0" w:line="79" w:lineRule="exact"/>
        <w:rPr>
          <w:sz w:val="20"/>
          <w:szCs w:val="20"/>
          <w:color w:val="auto"/>
        </w:rPr>
      </w:pPr>
    </w:p>
    <w:p>
      <w:pPr>
        <w:jc w:val="both"/>
        <w:ind w:right="80"/>
        <w:spacing w:after="0" w:line="255" w:lineRule="auto"/>
        <w:rPr>
          <w:sz w:val="20"/>
          <w:szCs w:val="20"/>
          <w:color w:val="auto"/>
        </w:rPr>
      </w:pPr>
      <w:r>
        <w:rPr>
          <w:rFonts w:ascii="Times New Roman" w:cs="Times New Roman" w:eastAsia="Times New Roman" w:hAnsi="Times New Roman"/>
          <w:sz w:val="18"/>
          <w:szCs w:val="18"/>
          <w:color w:val="auto"/>
        </w:rPr>
        <w:t>We are also authorized to grant stock options and other equity-based awards to our employees, directors and consultants pursuant to our 2021 Plan and our 2023 Inducement Equity Plan (the Inducement Plan). The number of shares available for future grant under the 2021 Plan will automatically increase each year on January 1, from January 1, 2022 to January 1, 2031, by the lesser of (A) five percent of the shares of Common Stock outstanding on the last day of the immediately preceding fiscal year and (B) such smaller number of shares as determined by the Board or the Committee (as defined in the 2021 Plan).</w:t>
      </w:r>
    </w:p>
    <w:p>
      <w:pPr>
        <w:spacing w:after="0" w:line="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have also reserved shares of common stock for issuance pursuant to our ESPP which number of shares will automatically increase each year on January 1, from January 1, 2022 to January 1, 2031, by the lesser of (i) one percent of the shares of Common Stock outstanding on the last day of the immediately preceding fiscal year and (ii) such number of shares as may be determined by the Board (as defined in the ESPP); provided, however, no more than 4,500,000 shares may be issued under the ESPP. Currently, we plan to register any increase in the number of shares available for issuance under the 2021 Plan, the ESPP and the Inducement Plan promptly following the effectiveness of any such increase. If our Board elects to increase the number of shares available for future grant under the 2021 Plan, the ESPP or the Inducement Plan, our stockholders may experience additional dilution, and our stock price may fall.</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meet the continued listing requirements of Nasdaq could result in a delisting of our securities.</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must continue to satisfy Nasdaq continued listing requirements, including, among other things, certain corporate governance requirements such as Nasdaq Listing Rule 5605(c)(2)(A) (Rule 5605(c)(2)(A)), which requires companies listed on The Nasdaq Stock Market LLC (Nasdaq) to have an audit committee consisting of three independent directors. In March 2025, we notified the Listing Qualifications Department of Nasdaq that we were not in compliance with Rule 5605(c)(2)(A) due to having only two members on the audit committee of our Board. In July 2025, we appointed Julianne Averill to serve as a member of the Board and our audit committee and regained compliance with Rule 5605(c)(2)(A). However, there can be no assurance that we will be able to continue to satisfy Nasdaq’s continued listing requirements with respect to audit committee composition or otherwise. If we fail to comply with Nasdaq’s continued listing requirements, our common stock could cease to be listed for trading on Nasdaq and instead be available for trading only over-the-counter, which could further depress our stock price.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management and directors own our stock and may be able to exert influence over matters subject to stockholder approval.</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executive officers, directors and their respective affiliates beneficially own approximately 6% of our outstanding voting stock as of March 31, 2026. These stockholders, acting together, may be able to impact matters requiring stockholder approval, particularly if their collective ownership in our company increases. For example, they may be able to impact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capital stock, so any returns will be limited to the value of our stock.</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We currently anticipate that we will retain future earnings for the development, operation and expansion of our business and do not anticipate declaring or paying any cash dividends for the foreseeable future. In addition, we may enter into agreements that prohibit us from paying cash dividends without prior written consent from our contracting parties, or which other terms prohibiting or limiting the amount of dividends that may be declared or paid on our capital stock. Any return to stockholders will therefore be limited to any appreciation in the value of their stock.</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8" w:name="page69"/>
    <w:bookmarkEnd w:id="68"/>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amended and restated certificate of incorporation and amended and restated bylaws and Delaware law might discourage, delay or prevent a change in control of our company or changes in our management and, therefore, depress the market price of our common stock.</w:t>
      </w:r>
    </w:p>
    <w:p>
      <w:pPr>
        <w:spacing w:after="0" w:line="5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provisions that could delay or prevent a change of control of our company or changes in our Board that our stockholders might consider favorable. These provisions, among other things:</w:t>
      </w:r>
    </w:p>
    <w:p>
      <w:pPr>
        <w:spacing w:after="0" w:line="54" w:lineRule="exact"/>
        <w:rPr>
          <w:sz w:val="20"/>
          <w:szCs w:val="20"/>
          <w:color w:val="auto"/>
        </w:rPr>
      </w:pPr>
    </w:p>
    <w:p>
      <w:pPr>
        <w:ind w:left="260" w:hanging="252"/>
        <w:spacing w:after="0"/>
        <w:tabs>
          <w:tab w:leader="none" w:pos="2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so that not all members of our Board are elected at one time;</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only the Board to establish the number of directors and fill vacancies on the Board;</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directors may only be removed “for cause” and only with the approval of two-thirds of our stockholders;</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our Board could use to implement a stockholder rights plan (poison pill);</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our stockholders to call special meetings of stockholders;</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which requires all stockholder actions to be taken at a meeting of our stockholders;</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to amend the bylaws;</w:t>
      </w:r>
    </w:p>
    <w:p>
      <w:pPr>
        <w:spacing w:after="0" w:line="117" w:lineRule="exact"/>
        <w:rPr>
          <w:rFonts w:ascii="Times New Roman" w:cs="Times New Roman" w:eastAsia="Times New Roman" w:hAnsi="Times New Roman"/>
          <w:sz w:val="18"/>
          <w:szCs w:val="18"/>
          <w:color w:val="auto"/>
        </w:rPr>
      </w:pPr>
    </w:p>
    <w:p>
      <w:pPr>
        <w:ind w:left="260" w:right="380" w:hanging="252"/>
        <w:spacing w:after="0" w:line="282" w:lineRule="auto"/>
        <w:tabs>
          <w:tab w:leader="none" w:pos="2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or for proposing matters that can be acted upon by stockholders at annual stockholder meetings; and</w:t>
      </w:r>
    </w:p>
    <w:p>
      <w:pPr>
        <w:spacing w:after="0" w:line="5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super-majority vote of stockholders to amend some provisions described above.</w:t>
      </w:r>
    </w:p>
    <w:p>
      <w:pPr>
        <w:spacing w:after="0" w:line="11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addition, Section 203 of the General Corporation Law of the State of Delaware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72"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64" w:lineRule="exact"/>
        <w:rPr>
          <w:sz w:val="20"/>
          <w:szCs w:val="20"/>
          <w:color w:val="auto"/>
        </w:rPr>
      </w:pPr>
    </w:p>
    <w:p>
      <w:pPr>
        <w:jc w:val="both"/>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and amended and restated bylaws provide for an exclusive forum in the Court of Chancery of the State of Delaware for certain disputes between us and our stockholders, which could limit our stockholders’ ability to obtain a favorable judicial forum for disputes with us or our directors, officers or employees.</w:t>
      </w:r>
    </w:p>
    <w:p>
      <w:pPr>
        <w:spacing w:after="0" w:line="6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the Court of Chancery of the State of Delaware (or, in the event that the Court of Chancery does not have jurisdiction, the federal district court for the District of Delaware or other state courts of the State of Delaware) is the exclusive forum for any derivative action or proceeding brought on our behalf, any action asserting a claim of breach of fiduciary duty, any action asserting a claim against us arising pursuant to the DGCL, our amended and restated certificate of incorporation or our amended and restated bylaws, or any action asserting a claim against us that is governed by the internal affairs doctrine; 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certificate of incorporation and amended and restated bylaws also provide that the federal district courts of the United States of America will be the exclusive forum for the resolution of any complaint asserting a cause or causes of action against any defendant arising under the Securities Act. Such provision is intended to benefit and may be enforced by us, our officers and directors, employees and agents, including the underwriters and any other professional or entity who has prepared or certified any part of this report. Nothing in our amended and restated certificate of incorporation or amended and restated bylaws precludes stockholders that assert claims under the Exchange Act from bringing such claims in state or federal court, subject to applicable law.</w:t>
      </w:r>
    </w:p>
    <w:p>
      <w:pPr>
        <w:spacing w:after="0" w:line="79"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This choice of forum provision may limit a stockholder’s ability to bring a claim in a judicial forum that it finds favorable for disputes with us or any of our directors, officers, other employees or stockholders, which may discourage lawsuits with respect to such claims or make such lawsuits more costly for stockholders, although our stockholders will not be deemed to have waived our compliance with federal securities laws and the rules and regulations thereunder. Furthermore, the enforceability of similar choice of</w:t>
      </w:r>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1" w:right="399" w:bottom="1440" w:gutter="0" w:footer="0" w:header="0"/>
        </w:sectPr>
      </w:pPr>
    </w:p>
    <w:bookmarkStart w:id="69" w:name="page70"/>
    <w:bookmarkEnd w:id="69"/>
    <w:p>
      <w:pPr>
        <w:ind w:right="60"/>
        <w:spacing w:after="0" w:line="256" w:lineRule="auto"/>
        <w:rPr>
          <w:sz w:val="20"/>
          <w:szCs w:val="20"/>
          <w:color w:val="auto"/>
        </w:rPr>
      </w:pPr>
      <w:r>
        <w:rPr>
          <w:rFonts w:ascii="Times New Roman" w:cs="Times New Roman" w:eastAsia="Times New Roman" w:hAnsi="Times New Roman"/>
          <w:sz w:val="18"/>
          <w:szCs w:val="18"/>
          <w:color w:val="auto"/>
        </w:rPr>
        <w:t>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exclusive-forum provisions, and there can be no assurance that such provisions will be enforced by a court in those other jurisdictions. If a court were to find the choice of forum provision that will be contained in our amended and restated certificate of incorporation and amended and restated bylaws to be inapplicable or unenforceable in an action, we may incur additional costs associated with resolving such action in other jurisdictions, which could adversely affect our business and financial condition.</w:t>
      </w:r>
    </w:p>
    <w:p>
      <w:pPr>
        <w:spacing w:after="0" w:line="7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5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we will indemnify our directors and officers, in each case to the fullest extent permitted by Delaware law.</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as permitted by Section 145 of the DGCL, our amended and restated bylaws and our indemnification agreements that we have entered into with our directors and officers provide that:</w:t>
      </w:r>
    </w:p>
    <w:p>
      <w:pPr>
        <w:spacing w:after="0" w:line="54" w:lineRule="exact"/>
        <w:rPr>
          <w:sz w:val="20"/>
          <w:szCs w:val="20"/>
          <w:color w:val="auto"/>
        </w:rPr>
      </w:pPr>
    </w:p>
    <w:p>
      <w:pPr>
        <w:ind w:left="260" w:right="140" w:hanging="252"/>
        <w:spacing w:after="0" w:line="261" w:lineRule="auto"/>
        <w:tabs>
          <w:tab w:leader="none" w:pos="2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7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 our discretion, indemnify employees and agents in those circumstances where indemnification is permitted by applicable law;</w:t>
      </w:r>
    </w:p>
    <w:p>
      <w:pPr>
        <w:spacing w:after="0" w:line="117" w:lineRule="exact"/>
        <w:rPr>
          <w:rFonts w:ascii="Times New Roman" w:cs="Times New Roman" w:eastAsia="Times New Roman" w:hAnsi="Times New Roman"/>
          <w:sz w:val="18"/>
          <w:szCs w:val="18"/>
          <w:color w:val="auto"/>
        </w:rPr>
      </w:pPr>
    </w:p>
    <w:p>
      <w:pPr>
        <w:ind w:left="260" w:right="140" w:hanging="252"/>
        <w:spacing w:after="0" w:line="282" w:lineRule="auto"/>
        <w:tabs>
          <w:tab w:leader="none" w:pos="2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53" w:lineRule="exact"/>
        <w:rPr>
          <w:rFonts w:ascii="Times New Roman" w:cs="Times New Roman" w:eastAsia="Times New Roman" w:hAnsi="Times New Roman"/>
          <w:sz w:val="18"/>
          <w:szCs w:val="18"/>
          <w:color w:val="auto"/>
        </w:rPr>
      </w:pPr>
    </w:p>
    <w:p>
      <w:pPr>
        <w:ind w:left="260" w:right="60" w:hanging="252"/>
        <w:spacing w:after="0" w:line="282" w:lineRule="auto"/>
        <w:tabs>
          <w:tab w:leader="none" w:pos="2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not be obligated pursuant to our amended and restated bylaws to indemnify a person with respect to proceedings initiated by that person against us or our other indemnitees, except with respect to proceedings authorized by our Board or brought to enforce a right to indemnification;</w:t>
      </w:r>
    </w:p>
    <w:p>
      <w:pPr>
        <w:spacing w:after="0" w:line="53" w:lineRule="exact"/>
        <w:rPr>
          <w:rFonts w:ascii="Times New Roman" w:cs="Times New Roman" w:eastAsia="Times New Roman" w:hAnsi="Times New Roman"/>
          <w:sz w:val="18"/>
          <w:szCs w:val="18"/>
          <w:color w:val="auto"/>
        </w:rPr>
      </w:pPr>
    </w:p>
    <w:p>
      <w:pPr>
        <w:ind w:left="260" w:right="400" w:hanging="252"/>
        <w:spacing w:after="0" w:line="282" w:lineRule="auto"/>
        <w:tabs>
          <w:tab w:leader="none" w:pos="2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conferred in our amended and restated bylaws are not exclusive, and we are authorized to enter into indemnification agreements with our directors, officers, employees and agents and to obtain insurance to indemnify such persons; and</w:t>
      </w:r>
    </w:p>
    <w:p>
      <w:pPr>
        <w:spacing w:after="0" w:line="53" w:lineRule="exact"/>
        <w:rPr>
          <w:rFonts w:ascii="Times New Roman" w:cs="Times New Roman" w:eastAsia="Times New Roman" w:hAnsi="Times New Roman"/>
          <w:sz w:val="18"/>
          <w:szCs w:val="18"/>
          <w:color w:val="auto"/>
        </w:rPr>
      </w:pPr>
    </w:p>
    <w:p>
      <w:pPr>
        <w:ind w:left="260" w:right="100" w:hanging="252"/>
        <w:spacing w:after="0" w:line="282" w:lineRule="auto"/>
        <w:tabs>
          <w:tab w:leader="none" w:pos="2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retroactively amend our amended and restated bylaw provisions to reduce our indemnification obligations to directors, officers, employees and agents.</w:t>
      </w:r>
    </w:p>
    <w:p>
      <w:pPr>
        <w:spacing w:after="0" w:line="54"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While we maintain a directors’ and officers’ insurance policy, such insurance may not be adequate to cover all liabilities that we may incur, which may reduce our available funds to satisfy third-party claims and may materially adversely affect our cash position.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management attention.</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This risk is especially relevant for us because biotechnology and pharmaceutical companies have experienced significant stock price volatility in recent years. Securities litigation against us could result in substantial costs and divert our management’s attention from other business concerns, which could materially adversely affect our business.</w:t>
      </w:r>
    </w:p>
    <w:p>
      <w:pPr>
        <w:spacing w:after="0" w:line="6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makes our future operating results difficult to predict and could cause our operating results to fall below expectations or our guidance.</w:t>
      </w:r>
    </w:p>
    <w:p>
      <w:pPr>
        <w:spacing w:after="0" w:line="5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quarterly and annual operating results may fluctuate significantly in the future, which makes it difficult for us to predict our future operating results. From time to time, we may enter into license or collaboration agreements or strategic partnerships with other companies that include development funding and significant upfront and milestone payments and/or royalties, which may become an important source of our revenue. These upfront and milestone payments may vary significantly from period to period and any such variance could cause a significant fluctuation in our operating results from one period to the next.</w:t>
      </w:r>
    </w:p>
    <w:p>
      <w:pPr>
        <w:spacing w:after="0" w:line="75" w:lineRule="exact"/>
        <w:rPr>
          <w:sz w:val="20"/>
          <w:szCs w:val="20"/>
          <w:color w:val="auto"/>
        </w:rPr>
      </w:pPr>
    </w:p>
    <w:p>
      <w:pPr>
        <w:jc w:val="both"/>
        <w:ind w:right="140"/>
        <w:spacing w:after="0" w:line="289" w:lineRule="auto"/>
        <w:rPr>
          <w:sz w:val="20"/>
          <w:szCs w:val="20"/>
          <w:color w:val="auto"/>
        </w:rPr>
      </w:pPr>
      <w:r>
        <w:rPr>
          <w:rFonts w:ascii="Times New Roman" w:cs="Times New Roman" w:eastAsia="Times New Roman" w:hAnsi="Times New Roman"/>
          <w:sz w:val="17"/>
          <w:szCs w:val="17"/>
          <w:color w:val="auto"/>
        </w:rPr>
        <w:t>In addition, we measure compensation cost for stock-based awards made to employees at the grant date of the award, based on the fair value of the award, and recognize the cost as an expense over the employee’s requisite service period. As the variables that we use as a basis for valuing these awards change over time, including, our underlying stock price and stock price volatility, the magnitude of the expense that we must recognize may vary significantly.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Furthermore, our operating results may fluctuate due to a variety of other factors, many of which are outside of our control and may be</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color w:val="auto"/>
        </w:rPr>
        <w:t>difficult to predict, including the following:</w:t>
      </w:r>
    </w:p>
    <w:p>
      <w:pPr>
        <w:spacing w:after="0" w:line="117" w:lineRule="exact"/>
        <w:rPr>
          <w:sz w:val="20"/>
          <w:szCs w:val="20"/>
          <w:color w:val="auto"/>
        </w:rPr>
      </w:pPr>
    </w:p>
    <w:p>
      <w:pPr>
        <w:ind w:left="260" w:right="40" w:hanging="252"/>
        <w:spacing w:after="0" w:line="282" w:lineRule="auto"/>
        <w:tabs>
          <w:tab w:leader="none" w:pos="2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and development activities relating to our current product candidates and any future product candidates and research-stage programs, which will change from time to time;</w:t>
      </w:r>
    </w:p>
    <w:p>
      <w:pPr>
        <w:spacing w:after="0" w:line="5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enroll participants in clinical trials and the timing of enrollment;</w:t>
      </w:r>
    </w:p>
    <w:p>
      <w:pPr>
        <w:spacing w:after="0" w:line="117" w:lineRule="exact"/>
        <w:rPr>
          <w:rFonts w:ascii="Times New Roman" w:cs="Times New Roman" w:eastAsia="Times New Roman" w:hAnsi="Times New Roman"/>
          <w:sz w:val="18"/>
          <w:szCs w:val="18"/>
          <w:color w:val="auto"/>
        </w:rPr>
      </w:pPr>
    </w:p>
    <w:p>
      <w:pPr>
        <w:ind w:left="260" w:right="200" w:hanging="252"/>
        <w:spacing w:after="0" w:line="282" w:lineRule="auto"/>
        <w:tabs>
          <w:tab w:leader="none" w:pos="2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current product candidates and any future product candidates, which may vary depending on FDA or other comparable foreign regulatory authority guidelines and requirements, the quantity of production and the terms of our agreements with manufacturers;</w:t>
      </w:r>
    </w:p>
    <w:p>
      <w:pPr>
        <w:spacing w:after="0" w:line="5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will or may incur to acquire or develop additional product candidates and technologies or other assets;</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outcomes of clinical trials for our current and future product candidates, or competing product candidates;</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conduct unanticipated clinical trials or trials that are larger or more complex than anticipated;</w:t>
      </w:r>
    </w:p>
    <w:p>
      <w:pPr>
        <w:spacing w:after="0" w:line="117" w:lineRule="exact"/>
        <w:rPr>
          <w:rFonts w:ascii="Times New Roman" w:cs="Times New Roman" w:eastAsia="Times New Roman" w:hAnsi="Times New Roman"/>
          <w:sz w:val="18"/>
          <w:szCs w:val="18"/>
          <w:color w:val="auto"/>
        </w:rPr>
      </w:pPr>
    </w:p>
    <w:p>
      <w:pPr>
        <w:ind w:left="260" w:hanging="252"/>
        <w:spacing w:after="0" w:line="282" w:lineRule="auto"/>
        <w:tabs>
          <w:tab w:leader="none" w:pos="2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and potential future products that compete with our product candidates and any of our future product candidates, and changes in the competitive landscape of our industry, including consolidation among our competitors or partners;</w:t>
      </w:r>
    </w:p>
    <w:p>
      <w:pPr>
        <w:spacing w:after="0" w:line="5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delays in regulatory review or approval of our product candidates;</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our future product candidates, if approved, which may fluctuate significantly and be difficult to predict;</w:t>
      </w:r>
    </w:p>
    <w:p>
      <w:pPr>
        <w:spacing w:after="0" w:line="117" w:lineRule="exact"/>
        <w:rPr>
          <w:rFonts w:ascii="Times New Roman" w:cs="Times New Roman" w:eastAsia="Times New Roman" w:hAnsi="Times New Roman"/>
          <w:sz w:val="18"/>
          <w:szCs w:val="18"/>
          <w:color w:val="auto"/>
        </w:rPr>
      </w:pPr>
    </w:p>
    <w:p>
      <w:pPr>
        <w:ind w:left="260" w:right="120" w:hanging="252"/>
        <w:spacing w:after="0" w:line="282" w:lineRule="auto"/>
        <w:tabs>
          <w:tab w:leader="none" w:pos="2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risk/benefit profile, cost and reimbursement policies with respect to our product candidates, if approved, and existing and potential future products that compete with our product candidates;</w:t>
      </w:r>
    </w:p>
    <w:p>
      <w:pPr>
        <w:spacing w:after="0" w:line="53" w:lineRule="exact"/>
        <w:rPr>
          <w:rFonts w:ascii="Times New Roman" w:cs="Times New Roman" w:eastAsia="Times New Roman" w:hAnsi="Times New Roman"/>
          <w:sz w:val="18"/>
          <w:szCs w:val="18"/>
          <w:color w:val="auto"/>
        </w:rPr>
      </w:pPr>
    </w:p>
    <w:p>
      <w:pPr>
        <w:ind w:left="260" w:right="300" w:hanging="252"/>
        <w:spacing w:after="0" w:line="282" w:lineRule="auto"/>
        <w:tabs>
          <w:tab w:leader="none" w:pos="2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our product candidates, if approved, inside and outside of the United States, either independently or working with third parties;</w:t>
      </w:r>
    </w:p>
    <w:p>
      <w:pPr>
        <w:spacing w:after="0" w:line="5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future collaborations, licensing or other arrangements;</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support future growth;</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unforeseen business disruptions that increase our costs or expenses;</w:t>
      </w:r>
    </w:p>
    <w:p>
      <w:pPr>
        <w:spacing w:after="0" w:line="11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w:t>
      </w:r>
    </w:p>
    <w:p>
      <w:pPr>
        <w:spacing w:after="0" w:line="117" w:lineRule="exact"/>
        <w:rPr>
          <w:rFonts w:ascii="Times New Roman" w:cs="Times New Roman" w:eastAsia="Times New Roman" w:hAnsi="Times New Roman"/>
          <w:sz w:val="18"/>
          <w:szCs w:val="18"/>
          <w:color w:val="auto"/>
        </w:rPr>
      </w:pPr>
    </w:p>
    <w:p>
      <w:pPr>
        <w:ind w:left="260" w:right="240" w:hanging="252"/>
        <w:spacing w:after="0" w:line="261" w:lineRule="auto"/>
        <w:tabs>
          <w:tab w:leader="none" w:pos="2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(including tariffs that have been or may in the future be imposed by the United States or other countries), trade protection measures, import or export licensing requirements, trade embargoes, sanctions (including those administered by the Office of Foreign Assets Control of the U.S. Department of the Treasury), other trade barriers (including further legislation or actions taken by the United States or other countries that restrict trade), and protectionist or retaliatory measures taken by the United States or other countries; and</w:t>
      </w:r>
    </w:p>
    <w:p>
      <w:pPr>
        <w:spacing w:after="0" w:line="7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changing and volatile global economic and political environment.</w:t>
      </w:r>
    </w:p>
    <w:p>
      <w:pPr>
        <w:spacing w:after="0" w:line="117"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7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continue to incur significant costs as a result of operating as a public company, and our management will be required to devote substantial time to new compliance initiatives.</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subject to the reporting requirements of the Securities Exchange Act of 1934, as amended (Exchange Act), which require, among other things, that we file with the SEC annual, quarterly and current reports with respect to our business and financial condition. In addition, the Sarbanes-Oxley Act, as well as rules subsequently adopted by the SEC and the Nasdaq Global Select Market to implement provisions of the Sarbanes-Oxley Act, impose significant requirements on public companies, including requiring establishment and maintenance of effective disclosure and financial controls and changes in corporate governance practices. Further, under the Dodd-Frank Wall Street Reform and Consumer Protection Act, the SEC has adopted significant corporate governance and executive compensation related rules and regulations, such as “say on pay” and proxy access. While emerging growth companies are permitted to implement many of these requirements over a longer period and up to five years from the pricing of the IPO, we cannot guarantee that we will not be required to implement these requirements sooner than budgeted or planned and thereby incur unexpected expenses.</w:t>
      </w: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71" w:name="page72"/>
    <w:bookmarkEnd w:id="71"/>
    <w:p>
      <w:pPr>
        <w:ind w:right="40"/>
        <w:spacing w:after="0" w:line="266" w:lineRule="auto"/>
        <w:rPr>
          <w:sz w:val="20"/>
          <w:szCs w:val="20"/>
          <w:color w:val="auto"/>
        </w:rPr>
      </w:pPr>
      <w:r>
        <w:rPr>
          <w:rFonts w:ascii="Times New Roman" w:cs="Times New Roman" w:eastAsia="Times New Roman" w:hAnsi="Times New Roman"/>
          <w:sz w:val="18"/>
          <w:szCs w:val="18"/>
          <w:color w:val="auto"/>
        </w:rPr>
        <w:t>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6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and results of operations. The increased costs will increase our net loss and may require us to reduce costs in other areas of our business or increase the prices of any products that we develop, if approved.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our Board committees or as executive officers.</w:t>
      </w:r>
    </w:p>
    <w:p>
      <w:pPr>
        <w:spacing w:after="0" w:line="80"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result of being a public company, we are obligated to develop and maintain proper and effective controls over financial reporting. If we fail to maintain proper and effective internal controls over financial reporting in the future, our ability to produce accurate and timely financial statements could be impaired, which could harm our operating results, investors’ views of us and, as a result, the value of our common stock.</w:t>
      </w:r>
    </w:p>
    <w:p>
      <w:pPr>
        <w:spacing w:after="0" w:line="67"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Pursuant to Section 404 of Sarbanes-Oxley Act, our management is required to report upon the effectiveness of our internal controls over financial reporting. However, while we remain an “emerging growth company,” as defined in the JOBS Act, or a smaller reporting company with less than $100 million in revenue, we will not be required to include an attestation report on internal control over financial reporting issued by our independent registered public accounting firm. The rules governing the standards that must be met for management to assess our internal controls over financial reporting are complex and require significant documentation, testing, and possible remediation. To comply with the requirements of being a reporting company under the Exchange Act, we will need to upgrade our systems including information technology; implement additional financial and management controls, reporting systems, and procedures; and hire additional accounting and finance staff. If we or, if required, our auditors are unable to conclude that our internal controls over financial reporting is effective, investors may lose confidence in our financial reporting, and the trading price of our common stock may decline.</w:t>
      </w:r>
    </w:p>
    <w:p>
      <w:pPr>
        <w:spacing w:after="0" w:line="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previously identified a significant deficiency in our internal controls over financial reporting pertaining to our fiscal year ended December 31, 2024 and although it has been remediated, we cannot assure you that there will not be material weaknesses or significant deficiencies in our internal controls over financial reporting in the future. Any failure to maintain internal controls over financial reporting could severely inhibit our ability to accurately report our financial condition, results of operations or cash flows. If we are unable to conclude that our internal controls over financial reporting is effective, or if our independent registered public accounting firm determines we have a material weakness or significant deficiency in our internal controls over financial reporting once that firm begins its Section 404 reviews, we could lose investor confidence in the accuracy and completeness of our financial reports, the market price of our common stock could decline, and we could be subject to sanctions or investigations by the Nasdaq Global Select Market, the SEC, or other regulatory authorities. Failure to remedy any material weakness or significant deficiencies in our internal controls over financial reporting, or to implement or maintain other effective control systems required of public companies, could also restrict our future access to the capital markets.</w:t>
      </w:r>
    </w:p>
    <w:p>
      <w:pPr>
        <w:spacing w:after="0" w:line="76"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build our finance infrastructure and improve our accounting systems and controls could impair our ability to comply with the financial reporting and internal controls requirements for publicly traded companies.</w:t>
      </w:r>
    </w:p>
    <w:p>
      <w:pPr>
        <w:spacing w:after="0" w:line="5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As a public company, we operate in an increasingly demanding regulatory environment, which requires us to comply with the Sarbanes-Oxley Act the regulations of the Nasdaq Global Select Market, the rules and regulations of the SEC, expanded disclosure requirements, accelerated reporting requirements and more complex accounting rules. Company responsibilities required by the Sarbanes-Oxley Act include establishing corporate oversight and adequate internal controls over financial reporting and disclosure controls and procedures. Effective internal controls are necessary for us to produce reliable financial reports and are important to help prevent financial fraud. We are required to perform system and process evaluation and testing of our internal controls over financial reporting to allow management to report on the effectiveness of our internal controls over financial reporting in our Form 10-K filing for that year, as required by Section 404 of the Sarbanes-Oxley Act, and we may experience difficulty in meeting these reporting requirements in a timely manner.</w:t>
      </w:r>
    </w:p>
    <w:p>
      <w:pPr>
        <w:spacing w:after="0" w:line="8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expect that we will need to hire additional accounting, finance, and other personnel in connection with our efforts to comply with the requirements of being a public company, and our management and other personnel will need to devote a substantial amount of time towards maintaining compliance with these requirements which may result in substantial costs. Any disruptions or difficulties in implementing or using our finance and accounting systems could adversely affect our controls and harm our business. Moreover, such disruption or difficulties could result in unanticipated costs and diversion of management attention. In addition, we may discover weaknesses in our system of internal financial and accounting controls and procedures that could result in a material misstatement of our financial statements. Our internal controls over financial reporting will not prevent or detect all errors and all fraud. A control</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2" w:name="page73"/>
    <w:bookmarkEnd w:id="72"/>
    <w:p>
      <w:pPr>
        <w:ind w:right="80"/>
        <w:spacing w:after="0" w:line="266" w:lineRule="auto"/>
        <w:rPr>
          <w:sz w:val="20"/>
          <w:szCs w:val="20"/>
          <w:color w:val="auto"/>
        </w:rPr>
      </w:pPr>
      <w:r>
        <w:rPr>
          <w:rFonts w:ascii="Times New Roman" w:cs="Times New Roman" w:eastAsia="Times New Roman" w:hAnsi="Times New Roman"/>
          <w:sz w:val="18"/>
          <w:szCs w:val="18"/>
          <w:color w:val="auto"/>
        </w:rPr>
        <w:t>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we are not able to comply with the requirements of Section 404 of the Sarbanes-Oxley Act in a timely manner, or if we are unable to maintain proper and effective internal controls, we may not be able to produce timely and accurate financial statements. If we cannot provide reliable financial reports or prevent fraud, our business and results of operations could be harmed, investors could lose confidence in our reported financial information and we could be subject to sanctions or investigations by the Nasdaq Global Select Market, the SEC or other regulatory authorities.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12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7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68"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changes in financial accounting standards or practices may cause adverse and unexpected revenue fluctuations and adversely affect our reported results of operations.</w:t>
      </w:r>
    </w:p>
    <w:p>
      <w:pPr>
        <w:spacing w:after="0" w:line="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Future changes in financial accounting standards may cause adverse, unexpected revenue fluctuations and affect our reported financial position or results of operations. Financial accounting standards in the United States are constantly under review and new pronouncements and varying interpretations of pronouncements have occurred with frequency in the past and are expected to occur again in the future. As a result, we may be required to make changes in our accounting policies. Those changes could affect our financial condition and results of operations or the way in which such financial condition and results of operations are reported. We intend to invest resources to comply with evolving standards, and this investment may result in increased general and administrative expenses and a diversion of management time and attention from business activities to compliance activities. For additional information, see the section of our Annual Report on Form 10-K filed with the SEC on March 24, 2026 titled “Financial Statements and Supplementary Data—Notes to Financial Statements—Recent Accounting Pronouncements.”</w:t>
      </w:r>
    </w:p>
    <w:p>
      <w:pPr>
        <w:spacing w:after="0" w:line="80"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we cannot be certain if the reduced reporting requirements applicable to emerging growth companies will make our common stock less attractive to investors.</w:t>
      </w:r>
    </w:p>
    <w:p>
      <w:pPr>
        <w:spacing w:after="0" w:line="5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and, for as long as we continue to be an emerging growth company, we intend to take advantage of exemptions from various reporting requirements that are applicable to other public companies that are not emerging growth companies, including:</w:t>
      </w:r>
    </w:p>
    <w:p>
      <w:pPr>
        <w:spacing w:after="0" w:line="54" w:lineRule="exact"/>
        <w:rPr>
          <w:sz w:val="20"/>
          <w:szCs w:val="20"/>
          <w:color w:val="auto"/>
        </w:rPr>
      </w:pPr>
    </w:p>
    <w:p>
      <w:pPr>
        <w:ind w:left="260" w:hanging="252"/>
        <w:spacing w:after="0"/>
        <w:tabs>
          <w:tab w:leader="none" w:pos="2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of Section 404 of the Sarbanes-Oxley Act;</w:t>
      </w:r>
    </w:p>
    <w:p>
      <w:pPr>
        <w:spacing w:after="0" w:line="117" w:lineRule="exact"/>
        <w:rPr>
          <w:rFonts w:ascii="Times New Roman" w:cs="Times New Roman" w:eastAsia="Times New Roman" w:hAnsi="Times New Roman"/>
          <w:sz w:val="18"/>
          <w:szCs w:val="18"/>
          <w:color w:val="auto"/>
        </w:rPr>
      </w:pPr>
    </w:p>
    <w:p>
      <w:pPr>
        <w:ind w:left="260" w:right="380" w:hanging="252"/>
        <w:spacing w:after="0" w:line="282" w:lineRule="auto"/>
        <w:tabs>
          <w:tab w:leader="none" w:pos="2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5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and our periodic reports and proxy statements; and</w:t>
      </w:r>
    </w:p>
    <w:p>
      <w:pPr>
        <w:spacing w:after="0" w:line="117" w:lineRule="exact"/>
        <w:rPr>
          <w:rFonts w:ascii="Times New Roman" w:cs="Times New Roman" w:eastAsia="Times New Roman" w:hAnsi="Times New Roman"/>
          <w:sz w:val="18"/>
          <w:szCs w:val="18"/>
          <w:color w:val="auto"/>
        </w:rPr>
      </w:pPr>
    </w:p>
    <w:p>
      <w:pPr>
        <w:ind w:left="260" w:right="420" w:hanging="252"/>
        <w:spacing w:after="0" w:line="282" w:lineRule="auto"/>
        <w:tabs>
          <w:tab w:leader="none" w:pos="2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non-binding advisory stockholder votes on executive compensation and stockholder approval of any golden parachute payments not previously approved.</w:t>
      </w:r>
    </w:p>
    <w:p>
      <w:pPr>
        <w:spacing w:after="0" w:line="5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Under the JOBS Act, emerging growth companies can also delay adopting new or revised accounting standards until such time as those standards apply to private companies. We have elected to avail ourselves of this exemption from new or revised accounting standards and, therefore, will not be subject to the same new or revised accounting standards as other public companies that are not emerging growth companies. As a result, our financial statements may not be comparable to companies that comply with the new or revised accounting pronouncements as of public company effective dates.</w:t>
      </w:r>
    </w:p>
    <w:p>
      <w:pPr>
        <w:spacing w:after="0" w:line="72"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to occur of: (i) the last day of the fiscal year in which we have more than $1.235 billion in annual revenue; (ii) the date we qualify as a “large accelerated filer,” with at least $700 million of equity securities held by non-affiliates; (iii) the date on which we have issued more than $1 billion in non-convertible debt securities during the prior three-year period; and (iv) December 31, 2026.</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 after we no longer qualify as an emerging growth company, we may still qualify as a “smaller reporting company,” which would</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73" w:name="page74"/>
    <w:bookmarkEnd w:id="73"/>
    <w:p>
      <w:pPr>
        <w:ind w:right="260"/>
        <w:spacing w:after="0" w:line="266" w:lineRule="auto"/>
        <w:rPr>
          <w:sz w:val="20"/>
          <w:szCs w:val="20"/>
          <w:color w:val="auto"/>
        </w:rPr>
      </w:pPr>
      <w:r>
        <w:rPr>
          <w:rFonts w:ascii="Times New Roman" w:cs="Times New Roman" w:eastAsia="Times New Roman" w:hAnsi="Times New Roman"/>
          <w:sz w:val="18"/>
          <w:szCs w:val="18"/>
          <w:color w:val="auto"/>
        </w:rPr>
        <w:t>allow us to continue to take advantage of many of the same exemptions from disclosure requirements, including not being required to comply with the auditor attestation requirements of Section 404 of the Sarbanes-Oxley Act and reduced disclosure obligations regarding executive compensation and our periodic reports and proxy statements.</w:t>
      </w:r>
    </w:p>
    <w:p>
      <w:pPr>
        <w:spacing w:after="0" w:line="6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50"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that are applied adversely to us or our customers may have a material adverse effect on our business, cash flow, financial condition or results of operations.</w:t>
      </w:r>
    </w:p>
    <w:p>
      <w:pPr>
        <w:spacing w:after="0" w:line="5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OBBBA enacted many significant changes to the U.S. tax laws. Future guidance from the Internal Revenue Service and other tax authorities with respect to the OBBBA may affect us, and certain aspects of the OBBBA could be repealed or modified in future legislation. In addition, it is uncertain if and to what extent various states will conform to the OBBBA or any other newly enacted federal tax legislation. Changes in the realization of net deferred tax assets relating to our operations, the taxation of foreign earnings, and the deductibility of expenses under the OBBBA or future reform legislation could have a material impact on the value of our deferred tax assets, could result in significant one-time charges, and could increase our future U.S. tax expense.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Unstable market and economic conditions may have serious adverse consequences on our business, financial condition and stock price.</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global credit and financial markets have recently experienced extreme volatility and disruptions, including severely diminished liquidity and credit availability, declines in consumer confidence, declines in economic growth, increases in unemployment rates, uncertainty about economic stability and changes in fiscal policy, including higher interest rates. There can be no assurance that further deterioration in credit and financial markets and confidence in economic conditions will not occur. Our general business strategy may be adversely affected by any such economic downturn, volatile business environment or continued unpredictable and unstable market conditions. If the current equity and credit markets deteriorate, it may make any necessary debt or equity financing more difficult, more costly and more dilutive. Failure to secure any necessary financing in a timely manner and on favorable terms could have a material adverse effect on our growth strategy, financial performance and stock price and could require us to delay or abandon clinical development plans. In addition, there is a risk that one or more of our current service providers, manufacturers and other partners may not survive an economic downturn, which could directly affect our ability to attain our operating goals on schedule and on budget.</w:t>
      </w:r>
    </w:p>
    <w:p>
      <w:pPr>
        <w:spacing w:after="0" w:line="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For example, on October 1, 2025, the U.S. federal government shutdown through November 12, 2025, suspending services deemed non-essential as a result of the failure by Congress to enact regular appropriations for the 2026 fiscal year. If we experience another government shutdown, it could result in increased uncertainty and volatility in the global economy and financial markets which could have a material adverse effect on our business. Weak economic conditions or significant uncertainty regarding the stability of financial markets related to stock market volatility, inflation, recession, changes in tariffs or other trade restrictions, trade agreements, trade wars or governmental fiscal, monetary and tax policies, among others, could adversely impact our business, financial condition and operating results.</w:t>
      </w:r>
    </w:p>
    <w:p>
      <w:pPr>
        <w:spacing w:after="0" w:line="7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security measures are compromised, or the security, confidentiality, integrity, or availability of our information technology, software, services, communications or data is compromised, limited or fails, this could result in a material adverse impact.</w:t>
      </w:r>
    </w:p>
    <w:p>
      <w:pPr>
        <w:spacing w:after="0" w:line="5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If we or third parties related to us (such as our partners, CROs, and CMOs) experience any material cybersecurity incidents that result in any deletion or destruction of, unauthorized access to, loss of, unauthorized acquisition or disclosure of, or inadvertent exposure or disclosure of, sensitive, confidential, or proprietary information, including trade secrets, other intellectual property, and personal information (Sensitive Information), or a compromise related to the security, confidentiality, integrity or availability of our (or their) information technology, software, services, communications, or data, it may result in a material adverse impact, including without limitation, regulatory investigations or enforcement actions, litigation, indemnity obligations, delays to the development and commercialization of our product candidates, disruption of our programs, negative publicity, and financial loss. Attacks upon information technology systems are increasing in their frequency, levels of persistence, sophistication and intensity, and are being conducted by sophisticated and organized groups and individuals with a wide range of motives and expertise. Systems containing Sensitive Information are vulnerable to service interruptions, malfunction, natural disasters, terrorism, war, software and hardware failures, telecommunication and electrical failures, theft or loss from inadvertent or intentional actions by employees, contractors, consultants, business partners and/or other third parties, malware, malicious code (such as viruses and worms), software bugs, ransomware, denial-of-service attacks (including credential stuffing), social engineering and other means that affect service reliability and threaten the security, confidentiality, integrity and availability of information.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also face increased cybersecurity risks due to our reliance on internet technology and the number of our employees who are</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4" w:name="page75"/>
    <w:bookmarkEnd w:id="74"/>
    <w:p>
      <w:pPr>
        <w:spacing w:after="0" w:line="254" w:lineRule="auto"/>
        <w:rPr>
          <w:sz w:val="20"/>
          <w:szCs w:val="20"/>
          <w:color w:val="auto"/>
        </w:rPr>
      </w:pPr>
      <w:r>
        <w:rPr>
          <w:rFonts w:ascii="Times New Roman" w:cs="Times New Roman" w:eastAsia="Times New Roman" w:hAnsi="Times New Roman"/>
          <w:sz w:val="18"/>
          <w:szCs w:val="18"/>
          <w:color w:val="auto"/>
        </w:rPr>
        <w:t>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Such threats are prevalent and continue to rise, are increasingly difficult to detect, and now include potential attacks enhanced or facilitated by artificial intelligence. We or third parties related to us may also experience cybersecurity incidents, data breaches or other compromises that may remain undetected for an extended period. Further, we have outsourced elements of our information technology infrastructure, and as a result a number of third-party vendors may or could have access to our Sensitive Information. If our third-party vendors fail to protect their information technology systems and our confidential and proprietary information, we may also be vulnerable to disruptions in service and unauthorized access or misuse of our Sensitive Information. Like other companies in our industry, we, and third parties related to us, have experienced threats and cybersecurity incidents relating to our information technology systems and infrastructure.</w:t>
      </w:r>
    </w:p>
    <w:p>
      <w:pPr>
        <w:spacing w:after="0" w:line="8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While we implement commercially reasonable information security safeguards, consistent with companies of the same size and scope as ours, there is no guarantee that our security efforts and our investment in information technology, or the efforts or investments of CROs, consultants or other third parties related to us, will prevent breakdowns, data breaches or other cybersecurity incidents that cause loss, destruction, unavailability, alteration, misuse, or dissemination of, or damage to, Sensitive Information that could have a material adverse impact. For example, if such an event were to occur and cause interruptions in our operations, it could result in a material disruption of our programs and the development of our product candidates could be delayed. In addition, the loss of clinical trial data for our product candidates could result in delays in our marketing approval efforts and significantly increase our costs to recover or reproduce the data. Furthermore, significant disruptions of our internal information technology systems, data breaches, cybersecurity incidents, or other compromises could result in the loss, misappropriation and/or unauthorized access, use or disclosure or other compromise of, or the prevention of access to, data (including trade secrets or other confidential information, intellectual property, proprietary business information and personal information and Sensitive Information), which could result in a material adverse impact including financial, legal, business and reputational harm. For example, any such event that leads to unauthorized access, use, or disclosure of personal information, including personal information regarding our clinical trial participants or employees, could harm our reputation directly, compel us to comply with federal and/or state breach notification laws and foreign law equivalents, subject us to mandatory corrective action, and otherwise subject us to liability under privacy, data protection, and information security laws and regulations, including litigation and governmental investigations and fines or penalties, which could result in significant legal and financial exposure and reputational damages that could potentially have a material adverse impact.</w:t>
      </w:r>
    </w:p>
    <w:p>
      <w:pPr>
        <w:spacing w:after="0" w:line="88"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Notifications and follow-up actions related to a cybersecurity incident or data breach could impact our reputation and cause us to incur significant costs, including legal expenses and remediation costs. For example, the loss of clinical trial data from completed or future clinical trials could result in delays in our regulatory approval efforts and significantly increase our costs to recover or reproduce the lost data. We expect to incur significant costs in an effort to detect and prevent cybersecurity incidents and data breaches, and we may face increased costs and requirements to expend substantial resources in the event of an actual or perceived security breach, incident, or compromise. We also rely on third parties to manufacture our product candidates, and similar material events relating to their computer systems could also have a material adverse impact. To the extent that any disruption or data breach, cybersecurity incident, or compromise were to result in a loss, destruction, misuse, or alteration of, or damage to, our data, or inappropriate disclosure of confidential or proprietary information, we could be exposed to litigation and governmental investigations, the further development and commercialization of our product candidates could be delayed, and we could be subject to significant fines or penalties for any noncompliance with applicable privacy, data protection, and information security laws and regulations. Our contracts may not contain limitations of liability, and even where they do, there can be no assurance that limitations of liability in our contracts are sufficient to protect us from liabilities, damages, or claims related to our privacy and data security obligations.</w:t>
      </w:r>
    </w:p>
    <w:p>
      <w:pPr>
        <w:spacing w:after="0" w:line="7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Moreover, our use of new and evolving technologies, such as artificial intelligence, in our operations and the operations of third parties upon which we rely, presents new risks and challenges that could negatively impact our business, including cybersecurity, data privacy, IT, intellectual property, regulatory, legal, operational, competitive, reputational, and other risks and challenges. For example, our use of artificial intelligence-based software may lead to inadvertent release, disclosure, or compromise of Sensitive Information or other confidential information through the use of generative artificial intelligence tools, or other cybersecurity incidents may arise that may impact us.</w:t>
      </w:r>
    </w:p>
    <w:p>
      <w:pPr>
        <w:spacing w:after="0" w:line="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insurance policies, including cybersecurity liability insurance, may not be adequate to compensate us for the potential losses arising from any such cybersecurity incident, data breach, or compromise.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6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5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may involve the use of hazardous and flammable materials, including chemicals and biological and radioactive materials. Our operations may also produce</w:t>
      </w: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75" w:name="page76"/>
    <w:bookmarkEnd w:id="75"/>
    <w:p>
      <w:pPr>
        <w:ind w:right="60"/>
        <w:spacing w:after="0" w:line="255" w:lineRule="auto"/>
        <w:rPr>
          <w:sz w:val="20"/>
          <w:szCs w:val="20"/>
          <w:color w:val="auto"/>
        </w:rPr>
      </w:pPr>
      <w:r>
        <w:rPr>
          <w:rFonts w:ascii="Times New Roman" w:cs="Times New Roman" w:eastAsia="Times New Roman" w:hAnsi="Times New Roman"/>
          <w:sz w:val="18"/>
          <w:szCs w:val="18"/>
          <w:color w:val="auto"/>
        </w:rPr>
        <w:t>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64"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or if they publish adverse or misleading research or reports, regarding us, our business or our market, our stock price and trading volume could decline.</w:t>
      </w:r>
    </w:p>
    <w:p>
      <w:pPr>
        <w:spacing w:after="0" w:line="5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securities or industry analysts publish about us, our business or our market. We do not currently have and may never obtain research coverage by securities or industry analysts. If no or few securities or industry analysts commence coverage of us, the stock price would be negatively impacted. In the event we obtain securities or industry analyst coverage, if any of the analysts who cover us issue adverse or misleading research or reports regarding us, our business model, our intellectual property, our stock performance or our market,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77"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impacted by corporate citizenship and environmental, social and corporate governance (ESG) matters and/or our reporting of such matters.</w:t>
      </w:r>
    </w:p>
    <w:p>
      <w:pPr>
        <w:spacing w:after="0" w:line="51"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There is an increasing focus from certain investors, consumers, and other stakeholders concerning corporate citizenship and sustainability matters. We could be perceived as not acting responsibly in connection with these matters. Our business could be negatively impacted by such matters. Any such matters, or related corporate citizenship and sustainability matters, could have a material adverse effect on our business.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Geopolitical events and conditions could adversely affect our business, financial condition and operating results.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Changes in U.S. government and other nations’ administrations and their associated shifts in policy and priorities could also impact our operations and market conditions. Our business is sensitive to geopolitical issues, including foreign policy actions taken by governments such as tariffs, sanctions, embargoes, export and import controls, and other trade restrictions, which can affect the demand for, and our ability to sell, our products and services, cause disruptions to our supply chain, and, ultimately, could adversely affect our business. Global conflicts, including Russia’s invasion of Ukraine, conflicts in the Middle East, and heightened tensions in the Pacific region, have significantly elevated global geopolitical tensions and security concerns. Economic sanctions, export controls, and other trade restrictions could directly and indirectly result in the disruption of our business and supply chain. Although we do not have any clinical trial sites or operations in the currently affected regions, if the current conflict expands further into the region or continues, resulting heightened economic sanctions from the United States and the international community, in addition to environmental regulations, could limit our ability to procure or use certain materials or manufacturing slots for the products needed for our clinical trials, which could lead to delays in these trials. We continue to monitor any adverse impact that the outbreak of war and the subsequent institution of sanctions by the United States and other countries may have on the global economy in general, on our business and operations and on the businesses and operations of our suppliers and third parties with whom we conduct business.</w:t>
      </w:r>
    </w:p>
    <w:p>
      <w:pPr>
        <w:spacing w:after="0" w:line="82"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Significant political, trade, or regulatory developments in the jurisdictions in which we sell our products, if approved, such as those stemming from the change in U.S. federal administration, are difficult to predict and may have a material adverse effect on us. Similarly, changes in U.S. federal policy that affect the geopolitical landscape could give rise to circumstances outside our control that could have negative impacts on our business operations. For example, on September 25, 2025, the current U.S. administration announced a 100% tariff on brand-name or patented drugs unless pharmaceutical companies expand their manufacturing operations in the U.S. While pharmaceutical products are currently excluded from the baseline and "reciprocal" tariffs imposed by the U.S., such tariffs still apply to the raw materials and other products necessary for the manufacture and formulation of our product candidates. The current U.S. administration has threatened to continue to broadly impose tariffs and increase existing tariffs, which could lead to corresponding punitive actions by the countries with which the U.S. trades. Historically, tariffs have led to increased trade and political tensions. In response to tariffs, other countries have implemented or threatened to implement retaliatory tariffs on U.S. goods.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Any changes in political, trade, regulatory, and economic conditions, including U.S. trade policies, could have a material adverse effect on our financial condition or results of operations.</w:t>
      </w: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6" w:name="page77"/>
    <w:bookmarkEnd w:id="76"/>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U.S. Congress, the Trump administration, or any new administration may make substantial changes to fiscal, tax, and other federal policies that may adversely affect our business.</w:t>
      </w:r>
    </w:p>
    <w:p>
      <w:pPr>
        <w:spacing w:after="0" w:line="5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2017, the U.S. Congress and the Trump administration made substantial changes to U.S. policies, which included comprehensive corporate and individual tax reform. In addition, the Trump administration called for significant changes to U.S. trade, healthcare, immigration and government regulatory policy. With the transition to the Biden administration in early 2021, changes to U. S. policy occurred and since the start of the Trump Administration in 2025, U.S. policy changes have been implemented at a rapid pace and additional changes are likely. Changes to U.S. policy implemented by the U.S. Congress, the Trump administration or any new administration have impacted and may in the future impact, among other things, the U.S. and global economy, international trade relations, unemployment, immigration, healthcare, taxation, the U.S. regulatory environment, inflation and other areas. Although we cannot predict the impact, if any, of these changes to our business, they could adversely affect our business. Until we know what policy changes are made, whether those policy changes are challenged and subsequently upheld by the court system and how those changes impact our business and the business of our competitors over the long term, we will not know if, overall, we will benefit from them or be negatively affected by them.</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ESG matters may impact our business and reputation.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the changing rules and regulations related to ESG matters imposed by governmental and self-regulatory organizations, a variety of third-party organizations, institutional investors and customers evaluate the performance of companies on ESG topics, and the results of these assessments are widely publicized. These changing rules, regulations and stakeholder expectations have resulted in, and are likely to continue to result in, increased general and administrative expenses and increased management time and attention spent complying with or meeting such regulations and expectations. Reduced access to or increased cost of capital may occur as financial institutions and investors increase expectations related to ESG matters.</w:t>
      </w:r>
    </w:p>
    <w:p>
      <w:pPr>
        <w:spacing w:after="0" w:line="75"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Developing and acting on initiatives within the scope of ESG, and collecting, measuring and reporting ESG-related information and metrics can be costly, difficult and time consuming and is subject to evolving reporting standards. We may also communicate certain initiatives and goals, regarding environmental matters, diversity, social investments and other ESG-related matters, in our SEC filings or in other public disclosures. These initiatives and goals within the scope of ESG could be difficult and expensive to implement, the technologies needed to implement them may not be cost effective and may not advance at a sufficient pace, and we could be criticized for the accuracy, adequacy or completeness of the disclosure. Furthermore, statements about our ESG-related initiatives and goals, and progress against those goals, may be based on standards for measuring progress that are still developing, internal controls and processes that continue to evolve and assumptions that are subject to change in the future. In addition, we could be criticized for the scope or nature of such initiatives or goals, or for any revisions to these goals. If our ESG-related data, processes and reporting are incomplete or inaccurate, or if we fail to achieve progress with respect to our goals, including our previously announced commitments to reduce greenhouse gas emissions, within the scope of ESG on a timely basis, or at all, our reputation, business, financial performance and growth could be adversely affected. In addition, in recent years “anti-ESG” sentiment has gained momentum across the U.S., with several states and Congress having proposed or enacted “anti-ESG” policies, legislation, or initiatives or issued related legal opinions, and the President having recently issued an executive order opposing diversity equity and inclusion (DEI) initiatives in the private sector. Such anti-ESG and anti-DEI-related policies, legislation, initiatives, litigation, legal opinions, and scrutiny could result in us facing additional compliance obligations, becoming the subject of investigations and enforcement actions, or sustaining reputational harm.</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9" w:lineRule="exact"/>
        <w:rPr>
          <w:sz w:val="20"/>
          <w:szCs w:val="20"/>
          <w:color w:val="auto"/>
        </w:rPr>
      </w:pPr>
    </w:p>
    <w:p>
      <w:pPr>
        <w:ind w:left="260" w:hanging="252"/>
        <w:spacing w:after="0"/>
        <w:tabs>
          <w:tab w:leader="none" w:pos="2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Insider Trading Arrangements</w:t>
      </w:r>
    </w:p>
    <w:p>
      <w:pPr>
        <w:spacing w:after="0" w:line="1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During the quarter ended March 31, 2026, none of our directors or officers (as defined in Rule 16a-1(f) under the Exchange Act) adopted, modified or terminated a plan or other arrangement intended to satisfy the affirmative defense conditions of Rule 10b5-1(c) or any non-Rule 10b5-1 trading arrangements under the Exchange Act.</w:t>
      </w:r>
    </w:p>
    <w:p>
      <w:pPr>
        <w:spacing w:after="0" w:line="284"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1197" w:right="7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40" w:type="dxa"/>
            <w:vAlign w:val="bottom"/>
            <w:gridSpan w:val="9"/>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20" w:type="dxa"/>
            <w:vAlign w:val="bottom"/>
          </w:tcPr>
          <w:p>
            <w:pPr>
              <w:spacing w:after="0"/>
              <w:rPr>
                <w:sz w:val="13"/>
                <w:szCs w:val="13"/>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0" w:type="dxa"/>
            <w:vAlign w:val="bottom"/>
          </w:tcPr>
          <w:p>
            <w:pPr>
              <w:spacing w:after="0"/>
              <w:rPr>
                <w:sz w:val="13"/>
                <w:szCs w:val="13"/>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20" w:type="dxa"/>
            <w:vAlign w:val="bottom"/>
          </w:tcPr>
          <w:p>
            <w:pPr>
              <w:spacing w:after="0"/>
              <w:rPr>
                <w:sz w:val="13"/>
                <w:szCs w:val="13"/>
                <w:color w:val="auto"/>
              </w:rPr>
            </w:pPr>
          </w:p>
        </w:tc>
        <w:tc>
          <w:tcPr>
            <w:tcW w:w="74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73"/>
        </w:trPr>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840" w:type="dxa"/>
            <w:vAlign w:val="bottom"/>
            <w:tcBorders>
              <w:bottom w:val="single" w:sz="8" w:color="auto"/>
            </w:tcBorders>
            <w:gridSpan w:val="9"/>
            <w:vMerge w:val="continue"/>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331"/>
        </w:trPr>
        <w:tc>
          <w:tcPr>
            <w:tcW w:w="1000" w:type="dxa"/>
            <w:vAlign w:val="bottom"/>
          </w:tcPr>
          <w:p>
            <w:pPr>
              <w:jc w:val="center"/>
              <w:ind w:right="412"/>
              <w:spacing w:after="0"/>
              <w:rPr>
                <w:sz w:val="20"/>
                <w:szCs w:val="20"/>
                <w:color w:val="auto"/>
              </w:rPr>
            </w:pPr>
            <w:r>
              <w:rPr>
                <w:rFonts w:ascii="Times New Roman" w:cs="Times New Roman" w:eastAsia="Times New Roman" w:hAnsi="Times New Roman"/>
                <w:sz w:val="18"/>
                <w:szCs w:val="18"/>
                <w:color w:val="auto"/>
                <w:w w:val="97"/>
              </w:rPr>
              <w:t>3.1</w:t>
            </w:r>
          </w:p>
        </w:tc>
        <w:tc>
          <w:tcPr>
            <w:tcW w:w="140" w:type="dxa"/>
            <w:vAlign w:val="bottom"/>
          </w:tcPr>
          <w:p>
            <w:pPr>
              <w:spacing w:after="0"/>
              <w:rPr>
                <w:sz w:val="24"/>
                <w:szCs w:val="24"/>
                <w:color w:val="auto"/>
              </w:rPr>
            </w:pPr>
          </w:p>
        </w:tc>
        <w:tc>
          <w:tcPr>
            <w:tcW w:w="6400" w:type="dxa"/>
            <w:vAlign w:val="bottom"/>
            <w:gridSpan w:val="14"/>
          </w:tcPr>
          <w:p>
            <w:pPr>
              <w:spacing w:after="0"/>
              <w:rPr>
                <w:rFonts w:ascii="Times New Roman" w:cs="Times New Roman" w:eastAsia="Times New Roman" w:hAnsi="Times New Roman"/>
                <w:sz w:val="18"/>
                <w:szCs w:val="18"/>
                <w:color w:val="0000FF"/>
              </w:rPr>
            </w:pPr>
            <w:hyperlink r:id="rId211">
              <w:r>
                <w:rPr>
                  <w:rFonts w:ascii="Times New Roman" w:cs="Times New Roman" w:eastAsia="Times New Roman" w:hAnsi="Times New Roman"/>
                  <w:sz w:val="18"/>
                  <w:szCs w:val="18"/>
                  <w:color w:val="0000FF"/>
                </w:rPr>
                <w:t>Amended and Restated Certificate of Incorporation, as currently in effect</w:t>
              </w:r>
            </w:hyperlink>
          </w:p>
        </w:tc>
        <w:tc>
          <w:tcPr>
            <w:tcW w:w="12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4/20/2021</w:t>
            </w:r>
          </w:p>
        </w:tc>
        <w:tc>
          <w:tcPr>
            <w:tcW w:w="8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6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0" w:type="dxa"/>
            <w:vAlign w:val="bottom"/>
          </w:tcPr>
          <w:p>
            <w:pPr>
              <w:jc w:val="center"/>
              <w:ind w:right="412"/>
              <w:spacing w:after="0"/>
              <w:rPr>
                <w:sz w:val="20"/>
                <w:szCs w:val="20"/>
                <w:color w:val="auto"/>
              </w:rPr>
            </w:pPr>
            <w:r>
              <w:rPr>
                <w:rFonts w:ascii="Times New Roman" w:cs="Times New Roman" w:eastAsia="Times New Roman" w:hAnsi="Times New Roman"/>
                <w:sz w:val="18"/>
                <w:szCs w:val="18"/>
                <w:color w:val="auto"/>
                <w:w w:val="97"/>
              </w:rPr>
              <w:t>3.2</w:t>
            </w:r>
          </w:p>
        </w:tc>
        <w:tc>
          <w:tcPr>
            <w:tcW w:w="140" w:type="dxa"/>
            <w:vAlign w:val="bottom"/>
          </w:tcPr>
          <w:p>
            <w:pPr>
              <w:spacing w:after="0"/>
              <w:rPr>
                <w:sz w:val="24"/>
                <w:szCs w:val="24"/>
                <w:color w:val="auto"/>
              </w:rPr>
            </w:pPr>
          </w:p>
        </w:tc>
        <w:tc>
          <w:tcPr>
            <w:tcW w:w="6400" w:type="dxa"/>
            <w:vAlign w:val="bottom"/>
            <w:gridSpan w:val="14"/>
          </w:tcPr>
          <w:p>
            <w:pPr>
              <w:spacing w:after="0"/>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Amended and Restated Bylaws, as currently in effect</w:t>
              </w:r>
            </w:hyperlink>
          </w:p>
        </w:tc>
        <w:tc>
          <w:tcPr>
            <w:tcW w:w="12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4/20/2021</w:t>
            </w:r>
          </w:p>
        </w:tc>
        <w:tc>
          <w:tcPr>
            <w:tcW w:w="8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3.4</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6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0" w:type="dxa"/>
            <w:vAlign w:val="bottom"/>
          </w:tcPr>
          <w:p>
            <w:pPr>
              <w:jc w:val="center"/>
              <w:ind w:right="412"/>
              <w:spacing w:after="0"/>
              <w:rPr>
                <w:sz w:val="20"/>
                <w:szCs w:val="20"/>
                <w:color w:val="auto"/>
              </w:rPr>
            </w:pPr>
            <w:r>
              <w:rPr>
                <w:rFonts w:ascii="Times New Roman" w:cs="Times New Roman" w:eastAsia="Times New Roman" w:hAnsi="Times New Roman"/>
                <w:sz w:val="18"/>
                <w:szCs w:val="18"/>
                <w:color w:val="auto"/>
                <w:w w:val="97"/>
              </w:rPr>
              <w:t>4.1</w:t>
            </w:r>
          </w:p>
        </w:tc>
        <w:tc>
          <w:tcPr>
            <w:tcW w:w="140" w:type="dxa"/>
            <w:vAlign w:val="bottom"/>
          </w:tcPr>
          <w:p>
            <w:pPr>
              <w:spacing w:after="0"/>
              <w:rPr>
                <w:sz w:val="24"/>
                <w:szCs w:val="24"/>
                <w:color w:val="auto"/>
              </w:rPr>
            </w:pPr>
          </w:p>
        </w:tc>
        <w:tc>
          <w:tcPr>
            <w:tcW w:w="6400" w:type="dxa"/>
            <w:vAlign w:val="bottom"/>
            <w:gridSpan w:val="14"/>
          </w:tcPr>
          <w:p>
            <w:pPr>
              <w:spacing w:after="0"/>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Form of Common Stock Certificate</w:t>
              </w:r>
            </w:hyperlink>
          </w:p>
        </w:tc>
        <w:tc>
          <w:tcPr>
            <w:tcW w:w="12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0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4/12/2021</w:t>
            </w:r>
          </w:p>
        </w:tc>
        <w:tc>
          <w:tcPr>
            <w:tcW w:w="8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6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0" w:type="dxa"/>
            <w:vAlign w:val="bottom"/>
          </w:tcPr>
          <w:p>
            <w:pPr>
              <w:jc w:val="center"/>
              <w:ind w:right="412"/>
              <w:spacing w:after="0"/>
              <w:rPr>
                <w:sz w:val="20"/>
                <w:szCs w:val="20"/>
                <w:color w:val="auto"/>
              </w:rPr>
            </w:pPr>
            <w:r>
              <w:rPr>
                <w:rFonts w:ascii="Times New Roman" w:cs="Times New Roman" w:eastAsia="Times New Roman" w:hAnsi="Times New Roman"/>
                <w:sz w:val="18"/>
                <w:szCs w:val="18"/>
                <w:color w:val="auto"/>
                <w:w w:val="97"/>
              </w:rPr>
              <w:t>4.2</w:t>
            </w:r>
          </w:p>
        </w:tc>
        <w:tc>
          <w:tcPr>
            <w:tcW w:w="140" w:type="dxa"/>
            <w:vAlign w:val="bottom"/>
          </w:tcPr>
          <w:p>
            <w:pPr>
              <w:spacing w:after="0"/>
              <w:rPr>
                <w:sz w:val="24"/>
                <w:szCs w:val="24"/>
                <w:color w:val="auto"/>
              </w:rPr>
            </w:pPr>
          </w:p>
        </w:tc>
        <w:tc>
          <w:tcPr>
            <w:tcW w:w="6400" w:type="dxa"/>
            <w:vAlign w:val="bottom"/>
            <w:gridSpan w:val="14"/>
          </w:tcPr>
          <w:p>
            <w:pPr>
              <w:spacing w:after="0"/>
              <w:rPr>
                <w:rFonts w:ascii="Times New Roman" w:cs="Times New Roman" w:eastAsia="Times New Roman" w:hAnsi="Times New Roman"/>
                <w:sz w:val="18"/>
                <w:szCs w:val="18"/>
                <w:color w:val="0000FF"/>
                <w:w w:val="99"/>
              </w:rPr>
            </w:pPr>
            <w:hyperlink r:id="rId214">
              <w:r>
                <w:rPr>
                  <w:rFonts w:ascii="Times New Roman" w:cs="Times New Roman" w:eastAsia="Times New Roman" w:hAnsi="Times New Roman"/>
                  <w:sz w:val="18"/>
                  <w:szCs w:val="18"/>
                  <w:color w:val="0000FF"/>
                  <w:w w:val="99"/>
                </w:rPr>
                <w:t>Description of Registrant’s Securities Registered pursuant to Section 12 of the Securities</w:t>
              </w:r>
            </w:hyperlink>
          </w:p>
        </w:tc>
        <w:tc>
          <w:tcPr>
            <w:tcW w:w="12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0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3/24/2026</w:t>
            </w:r>
          </w:p>
        </w:tc>
        <w:tc>
          <w:tcPr>
            <w:tcW w:w="8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0" w:type="dxa"/>
            <w:vAlign w:val="bottom"/>
            <w:gridSpan w:val="14"/>
          </w:tcPr>
          <w:p>
            <w:pPr>
              <w:spacing w:after="0" w:line="196" w:lineRule="exact"/>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Exchange Act of 1934</w:t>
              </w:r>
            </w:hyperlink>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620" w:type="dxa"/>
            <w:vAlign w:val="bottom"/>
            <w:tcBorders>
              <w:right w:val="single" w:sz="8" w:color="0000EE"/>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0" w:type="dxa"/>
            <w:vAlign w:val="bottom"/>
          </w:tcPr>
          <w:p>
            <w:pPr>
              <w:jc w:val="center"/>
              <w:ind w:right="412"/>
              <w:spacing w:after="0"/>
              <w:rPr>
                <w:sz w:val="20"/>
                <w:szCs w:val="20"/>
                <w:color w:val="auto"/>
              </w:rPr>
            </w:pPr>
            <w:r>
              <w:rPr>
                <w:rFonts w:ascii="Times New Roman" w:cs="Times New Roman" w:eastAsia="Times New Roman" w:hAnsi="Times New Roman"/>
                <w:sz w:val="18"/>
                <w:szCs w:val="18"/>
                <w:color w:val="auto"/>
                <w:w w:val="97"/>
              </w:rPr>
              <w:t>4.3</w:t>
            </w:r>
          </w:p>
        </w:tc>
        <w:tc>
          <w:tcPr>
            <w:tcW w:w="140" w:type="dxa"/>
            <w:vAlign w:val="bottom"/>
          </w:tcPr>
          <w:p>
            <w:pPr>
              <w:spacing w:after="0"/>
              <w:rPr>
                <w:sz w:val="24"/>
                <w:szCs w:val="24"/>
                <w:color w:val="auto"/>
              </w:rPr>
            </w:pPr>
          </w:p>
        </w:tc>
        <w:tc>
          <w:tcPr>
            <w:tcW w:w="6400" w:type="dxa"/>
            <w:vAlign w:val="bottom"/>
            <w:gridSpan w:val="14"/>
          </w:tcPr>
          <w:p>
            <w:pPr>
              <w:spacing w:after="0"/>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Investors’ Rights Agreement, dated December 18, 2020, by and among the Registrant</w:t>
              </w:r>
            </w:hyperlink>
          </w:p>
        </w:tc>
        <w:tc>
          <w:tcPr>
            <w:tcW w:w="12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10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3/26/2021</w:t>
            </w:r>
          </w:p>
        </w:tc>
        <w:tc>
          <w:tcPr>
            <w:tcW w:w="8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0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0" w:type="dxa"/>
            <w:vAlign w:val="bottom"/>
            <w:gridSpan w:val="14"/>
          </w:tcPr>
          <w:p>
            <w:pPr>
              <w:spacing w:after="0" w:line="196" w:lineRule="exact"/>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and the investors listed therein</w:t>
              </w:r>
            </w:hyperlink>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0" w:type="dxa"/>
            <w:vAlign w:val="bottom"/>
          </w:tcPr>
          <w:p>
            <w:pPr>
              <w:jc w:val="center"/>
              <w:ind w:right="412"/>
              <w:spacing w:after="0"/>
              <w:rPr>
                <w:sz w:val="20"/>
                <w:szCs w:val="20"/>
                <w:color w:val="auto"/>
              </w:rPr>
            </w:pPr>
            <w:r>
              <w:rPr>
                <w:rFonts w:ascii="Times New Roman" w:cs="Times New Roman" w:eastAsia="Times New Roman" w:hAnsi="Times New Roman"/>
                <w:sz w:val="18"/>
                <w:szCs w:val="18"/>
                <w:color w:val="auto"/>
                <w:w w:val="97"/>
              </w:rPr>
              <w:t>4.4</w:t>
            </w:r>
          </w:p>
        </w:tc>
        <w:tc>
          <w:tcPr>
            <w:tcW w:w="140" w:type="dxa"/>
            <w:vAlign w:val="bottom"/>
          </w:tcPr>
          <w:p>
            <w:pPr>
              <w:spacing w:after="0"/>
              <w:rPr>
                <w:sz w:val="24"/>
                <w:szCs w:val="24"/>
                <w:color w:val="auto"/>
              </w:rPr>
            </w:pPr>
          </w:p>
        </w:tc>
        <w:tc>
          <w:tcPr>
            <w:tcW w:w="6400" w:type="dxa"/>
            <w:vAlign w:val="bottom"/>
            <w:gridSpan w:val="14"/>
          </w:tcPr>
          <w:p>
            <w:pPr>
              <w:spacing w:after="0"/>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Form of Pre-Funded Warrant</w:t>
              </w:r>
            </w:hyperlink>
          </w:p>
        </w:tc>
        <w:tc>
          <w:tcPr>
            <w:tcW w:w="12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6/20/2025</w:t>
            </w:r>
          </w:p>
        </w:tc>
        <w:tc>
          <w:tcPr>
            <w:tcW w:w="8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tcBorders>
              <w:left w:val="single" w:sz="8" w:color="0000EE"/>
            </w:tcBorders>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0" w:type="dxa"/>
            <w:vAlign w:val="bottom"/>
          </w:tcPr>
          <w:p>
            <w:pPr>
              <w:jc w:val="center"/>
              <w:ind w:right="412"/>
              <w:spacing w:after="0"/>
              <w:rPr>
                <w:sz w:val="20"/>
                <w:szCs w:val="20"/>
                <w:color w:val="auto"/>
              </w:rPr>
            </w:pPr>
            <w:r>
              <w:rPr>
                <w:rFonts w:ascii="Times New Roman" w:cs="Times New Roman" w:eastAsia="Times New Roman" w:hAnsi="Times New Roman"/>
                <w:sz w:val="18"/>
                <w:szCs w:val="18"/>
                <w:color w:val="auto"/>
                <w:w w:val="97"/>
              </w:rPr>
              <w:t>4.5</w:t>
            </w:r>
          </w:p>
        </w:tc>
        <w:tc>
          <w:tcPr>
            <w:tcW w:w="140" w:type="dxa"/>
            <w:vAlign w:val="bottom"/>
          </w:tcPr>
          <w:p>
            <w:pPr>
              <w:spacing w:after="0"/>
              <w:rPr>
                <w:sz w:val="24"/>
                <w:szCs w:val="24"/>
                <w:color w:val="auto"/>
              </w:rPr>
            </w:pPr>
          </w:p>
        </w:tc>
        <w:tc>
          <w:tcPr>
            <w:tcW w:w="6400" w:type="dxa"/>
            <w:vAlign w:val="bottom"/>
            <w:gridSpan w:val="14"/>
          </w:tcPr>
          <w:p>
            <w:pPr>
              <w:spacing w:after="0"/>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Form of Common Stock Warrant</w:t>
              </w:r>
            </w:hyperlink>
          </w:p>
        </w:tc>
        <w:tc>
          <w:tcPr>
            <w:tcW w:w="12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0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6/20/2025</w:t>
            </w:r>
          </w:p>
        </w:tc>
        <w:tc>
          <w:tcPr>
            <w:tcW w:w="8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0" w:type="dxa"/>
            <w:vAlign w:val="bottom"/>
          </w:tcPr>
          <w:p>
            <w:pPr>
              <w:jc w:val="center"/>
              <w:ind w:right="312"/>
              <w:spacing w:after="0"/>
              <w:rPr>
                <w:sz w:val="20"/>
                <w:szCs w:val="20"/>
                <w:color w:val="auto"/>
              </w:rPr>
            </w:pPr>
            <w:r>
              <w:rPr>
                <w:rFonts w:ascii="Times New Roman" w:cs="Times New Roman" w:eastAsia="Times New Roman" w:hAnsi="Times New Roman"/>
                <w:sz w:val="18"/>
                <w:szCs w:val="18"/>
                <w:color w:val="auto"/>
                <w:w w:val="98"/>
              </w:rPr>
              <w:t>10.1#</w:t>
            </w:r>
          </w:p>
        </w:tc>
        <w:tc>
          <w:tcPr>
            <w:tcW w:w="140" w:type="dxa"/>
            <w:vAlign w:val="bottom"/>
          </w:tcPr>
          <w:p>
            <w:pPr>
              <w:spacing w:after="0"/>
              <w:rPr>
                <w:sz w:val="24"/>
                <w:szCs w:val="24"/>
                <w:color w:val="auto"/>
              </w:rPr>
            </w:pPr>
          </w:p>
        </w:tc>
        <w:tc>
          <w:tcPr>
            <w:tcW w:w="64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Change in Control and Severance Plan, dated March 25, 2025, by and between the</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00" w:type="dxa"/>
            <w:vAlign w:val="bottom"/>
            <w:tcBorders>
              <w:right w:val="single" w:sz="8" w:color="0000FF"/>
            </w:tcBorders>
            <w:gridSpan w:val="2"/>
            <w:shd w:val="clear" w:color="auto" w:fill="0000FF"/>
          </w:tcPr>
          <w:p>
            <w:pPr>
              <w:spacing w:after="0" w:line="20" w:lineRule="exact"/>
              <w:rPr>
                <w:sz w:val="1"/>
                <w:szCs w:val="1"/>
                <w:color w:val="auto"/>
              </w:rPr>
            </w:pPr>
          </w:p>
        </w:tc>
        <w:tc>
          <w:tcPr>
            <w:tcW w:w="74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Registrant and Michael J.M. Hitchcock</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gridSpan w:val="2"/>
            <w:shd w:val="clear" w:color="auto" w:fill="0000FF"/>
          </w:tcPr>
          <w:p>
            <w:pPr>
              <w:spacing w:after="0" w:line="20" w:lineRule="exact"/>
              <w:rPr>
                <w:sz w:val="1"/>
                <w:szCs w:val="1"/>
                <w:color w:val="auto"/>
              </w:rPr>
            </w:pPr>
          </w:p>
        </w:tc>
        <w:tc>
          <w:tcPr>
            <w:tcW w:w="740" w:type="dxa"/>
            <w:vAlign w:val="bottom"/>
            <w:tcBorders>
              <w:left w:val="single" w:sz="8" w:color="0000FF"/>
              <w:right w:val="single" w:sz="8" w:color="0000EE"/>
            </w:tcBorders>
            <w:gridSpan w:val="4"/>
            <w:shd w:val="clear" w:color="auto" w:fill="0000FF"/>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0" w:type="dxa"/>
            <w:vAlign w:val="bottom"/>
          </w:tcPr>
          <w:p>
            <w:pPr>
              <w:jc w:val="center"/>
              <w:ind w:right="392"/>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24"/>
                <w:szCs w:val="24"/>
                <w:color w:val="auto"/>
              </w:rPr>
            </w:pPr>
          </w:p>
        </w:tc>
        <w:tc>
          <w:tcPr>
            <w:tcW w:w="64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00" w:type="dxa"/>
            <w:vAlign w:val="bottom"/>
            <w:tcBorders>
              <w:right w:val="single" w:sz="8" w:color="0000FF"/>
            </w:tcBorders>
            <w:gridSpan w:val="2"/>
            <w:shd w:val="clear" w:color="auto" w:fill="0000FF"/>
          </w:tcPr>
          <w:p>
            <w:pPr>
              <w:spacing w:after="0" w:line="20" w:lineRule="exact"/>
              <w:rPr>
                <w:sz w:val="1"/>
                <w:szCs w:val="1"/>
                <w:color w:val="auto"/>
              </w:rPr>
            </w:pPr>
          </w:p>
        </w:tc>
        <w:tc>
          <w:tcPr>
            <w:tcW w:w="2880" w:type="dxa"/>
            <w:vAlign w:val="bottom"/>
            <w:tcBorders>
              <w:left w:val="single" w:sz="8" w:color="0000FF"/>
            </w:tcBorders>
            <w:gridSpan w:val="6"/>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under the Securities Exchange Act of 1934, as Adopted Pursuant to Section 302 of the</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00" w:type="dxa"/>
            <w:vAlign w:val="bottom"/>
            <w:tcBorders>
              <w:right w:val="single" w:sz="8" w:color="0000FF"/>
            </w:tcBorders>
            <w:gridSpan w:val="2"/>
            <w:shd w:val="clear" w:color="auto" w:fill="0000FF"/>
          </w:tcPr>
          <w:p>
            <w:pPr>
              <w:spacing w:after="0" w:line="20" w:lineRule="exact"/>
              <w:rPr>
                <w:sz w:val="1"/>
                <w:szCs w:val="1"/>
                <w:color w:val="auto"/>
              </w:rPr>
            </w:pPr>
          </w:p>
        </w:tc>
        <w:tc>
          <w:tcPr>
            <w:tcW w:w="2880" w:type="dxa"/>
            <w:vAlign w:val="bottom"/>
            <w:tcBorders>
              <w:left w:val="single" w:sz="8" w:color="0000FF"/>
            </w:tcBorders>
            <w:gridSpan w:val="6"/>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EE"/>
            </w:tcBorders>
            <w:gridSpan w:val="2"/>
            <w:shd w:val="clear" w:color="auto" w:fill="0000FF"/>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jc w:val="center"/>
              <w:ind w:right="392"/>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24"/>
                <w:szCs w:val="24"/>
                <w:color w:val="auto"/>
              </w:rPr>
            </w:pPr>
          </w:p>
        </w:tc>
        <w:tc>
          <w:tcPr>
            <w:tcW w:w="64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980" w:type="dxa"/>
            <w:vAlign w:val="bottom"/>
            <w:gridSpan w:val="8"/>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under the Securities Exchange Act of 1934, as Adopted Pursuant to Section 302 of the</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980" w:type="dxa"/>
            <w:vAlign w:val="bottom"/>
            <w:gridSpan w:val="8"/>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EE"/>
            </w:tcBorders>
            <w:gridSpan w:val="2"/>
            <w:shd w:val="clear" w:color="auto" w:fill="0000FF"/>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jc w:val="center"/>
              <w:ind w:right="312"/>
              <w:spacing w:after="0"/>
              <w:rPr>
                <w:sz w:val="20"/>
                <w:szCs w:val="20"/>
                <w:color w:val="auto"/>
              </w:rPr>
            </w:pPr>
            <w:r>
              <w:rPr>
                <w:rFonts w:ascii="Times New Roman" w:cs="Times New Roman" w:eastAsia="Times New Roman" w:hAnsi="Times New Roman"/>
                <w:sz w:val="18"/>
                <w:szCs w:val="18"/>
                <w:color w:val="auto"/>
                <w:w w:val="98"/>
              </w:rPr>
              <w:t>32.1*</w:t>
            </w:r>
          </w:p>
        </w:tc>
        <w:tc>
          <w:tcPr>
            <w:tcW w:w="140" w:type="dxa"/>
            <w:vAlign w:val="bottom"/>
          </w:tcPr>
          <w:p>
            <w:pPr>
              <w:spacing w:after="0"/>
              <w:rPr>
                <w:sz w:val="24"/>
                <w:szCs w:val="24"/>
                <w:color w:val="auto"/>
              </w:rPr>
            </w:pPr>
          </w:p>
        </w:tc>
        <w:tc>
          <w:tcPr>
            <w:tcW w:w="64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980" w:type="dxa"/>
            <w:vAlign w:val="bottom"/>
            <w:gridSpan w:val="8"/>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906 of the Sarbanes-Oxley Act of 2002.</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980" w:type="dxa"/>
            <w:vAlign w:val="bottom"/>
            <w:gridSpan w:val="8"/>
            <w:shd w:val="clear" w:color="auto" w:fill="0000FF"/>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jc w:val="center"/>
              <w:ind w:right="312"/>
              <w:spacing w:after="0"/>
              <w:rPr>
                <w:sz w:val="20"/>
                <w:szCs w:val="20"/>
                <w:color w:val="auto"/>
              </w:rPr>
            </w:pPr>
            <w:r>
              <w:rPr>
                <w:rFonts w:ascii="Times New Roman" w:cs="Times New Roman" w:eastAsia="Times New Roman" w:hAnsi="Times New Roman"/>
                <w:sz w:val="18"/>
                <w:szCs w:val="18"/>
                <w:color w:val="auto"/>
                <w:w w:val="98"/>
              </w:rPr>
              <w:t>32.2*</w:t>
            </w:r>
          </w:p>
        </w:tc>
        <w:tc>
          <w:tcPr>
            <w:tcW w:w="140" w:type="dxa"/>
            <w:vAlign w:val="bottom"/>
          </w:tcPr>
          <w:p>
            <w:pPr>
              <w:spacing w:after="0"/>
              <w:rPr>
                <w:sz w:val="24"/>
                <w:szCs w:val="24"/>
                <w:color w:val="auto"/>
              </w:rPr>
            </w:pPr>
          </w:p>
        </w:tc>
        <w:tc>
          <w:tcPr>
            <w:tcW w:w="64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960" w:type="dxa"/>
            <w:vAlign w:val="bottom"/>
            <w:gridSpan w:val="10"/>
            <w:shd w:val="clear" w:color="auto" w:fill="0000FF"/>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906 of the Sarbanes-Oxley Act of 2002.</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980" w:type="dxa"/>
            <w:vAlign w:val="bottom"/>
            <w:gridSpan w:val="8"/>
            <w:shd w:val="clear" w:color="auto" w:fill="0000FF"/>
          </w:tcPr>
          <w:p>
            <w:pPr>
              <w:spacing w:after="0" w:line="20" w:lineRule="exact"/>
              <w:rPr>
                <w:sz w:val="1"/>
                <w:szCs w:val="1"/>
                <w:color w:val="auto"/>
              </w:rPr>
            </w:pPr>
          </w:p>
        </w:tc>
        <w:tc>
          <w:tcPr>
            <w:tcW w:w="142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1000" w:type="dxa"/>
            <w:vAlign w:val="bottom"/>
          </w:tcPr>
          <w:p>
            <w:pPr>
              <w:jc w:val="center"/>
              <w:ind w:right="292"/>
              <w:spacing w:after="0"/>
              <w:rPr>
                <w:sz w:val="20"/>
                <w:szCs w:val="20"/>
                <w:color w:val="auto"/>
              </w:rPr>
            </w:pPr>
            <w:r>
              <w:rPr>
                <w:rFonts w:ascii="Times New Roman" w:cs="Times New Roman" w:eastAsia="Times New Roman" w:hAnsi="Times New Roman"/>
                <w:sz w:val="18"/>
                <w:szCs w:val="18"/>
                <w:color w:val="auto"/>
              </w:rPr>
              <w:t>101.INS</w:t>
            </w:r>
          </w:p>
        </w:tc>
        <w:tc>
          <w:tcPr>
            <w:tcW w:w="140" w:type="dxa"/>
            <w:vAlign w:val="bottom"/>
          </w:tcPr>
          <w:p>
            <w:pPr>
              <w:spacing w:after="0"/>
              <w:rPr>
                <w:sz w:val="24"/>
                <w:szCs w:val="24"/>
                <w:color w:val="auto"/>
              </w:rPr>
            </w:pPr>
          </w:p>
        </w:tc>
        <w:tc>
          <w:tcPr>
            <w:tcW w:w="64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Interactive Data File because XBRL tags are embedded within the Inline XBRL</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document.</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40" w:type="dxa"/>
            <w:vAlign w:val="bottom"/>
          </w:tcPr>
          <w:p>
            <w:pPr>
              <w:spacing w:after="0"/>
              <w:rPr>
                <w:sz w:val="24"/>
                <w:szCs w:val="24"/>
                <w:color w:val="auto"/>
              </w:rPr>
            </w:pPr>
          </w:p>
        </w:tc>
        <w:tc>
          <w:tcPr>
            <w:tcW w:w="64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33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4"/>
                <w:szCs w:val="24"/>
                <w:color w:val="auto"/>
              </w:rPr>
            </w:pPr>
          </w:p>
        </w:tc>
        <w:tc>
          <w:tcPr>
            <w:tcW w:w="64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360" w:hanging="352"/>
        <w:spacing w:after="0"/>
        <w:tabs>
          <w:tab w:leader="none" w:pos="3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compensation plan, contract or arrangement.</w:t>
      </w:r>
    </w:p>
    <w:p>
      <w:pPr>
        <w:spacing w:after="0" w:line="36" w:lineRule="exact"/>
        <w:rPr>
          <w:sz w:val="20"/>
          <w:szCs w:val="20"/>
          <w:color w:val="auto"/>
        </w:rPr>
      </w:pPr>
    </w:p>
    <w:p>
      <w:pPr>
        <w:jc w:val="both"/>
        <w:ind w:left="380" w:right="240" w:hanging="372"/>
        <w:spacing w:after="0" w:line="266" w:lineRule="auto"/>
        <w:tabs>
          <w:tab w:leader="none" w:pos="36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and 32.2 that accompany this Quarterly Report on Form 10-Q are not deemed filed with the SEC and are not to be incorporated by reference into any filing of the Registrant under the Securities Act or the Exchange Act, whether made before or after the date of this Form 10-Q, irrespective of any general incorporation language contained in such filing.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768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BIOMEA FUSION, INC.</w:t>
            </w:r>
          </w:p>
        </w:tc>
      </w:tr>
      <w:tr>
        <w:trPr>
          <w:trHeight w:val="432"/>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May 11, 2026</w:t>
            </w:r>
          </w:p>
        </w:tc>
        <w:tc>
          <w:tcPr>
            <w:tcW w:w="246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Michael J.M. Hitchcock</w:t>
            </w:r>
          </w:p>
        </w:tc>
      </w:tr>
      <w:tr>
        <w:trPr>
          <w:trHeight w:val="187"/>
        </w:trPr>
        <w:tc>
          <w:tcPr>
            <w:tcW w:w="35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2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Michael J.M. Hitchcock</w:t>
            </w:r>
          </w:p>
        </w:tc>
      </w:tr>
      <w:tr>
        <w:trPr>
          <w:trHeight w:val="216"/>
        </w:trPr>
        <w:tc>
          <w:tcPr>
            <w:tcW w:w="35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Interim Chief Executive Officer, Director</w:t>
            </w:r>
          </w:p>
        </w:tc>
      </w:tr>
      <w:tr>
        <w:trPr>
          <w:trHeight w:val="238"/>
        </w:trPr>
        <w:tc>
          <w:tcPr>
            <w:tcW w:w="35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(Principal Executive Officer)</w:t>
            </w:r>
          </w:p>
        </w:tc>
      </w:tr>
      <w:tr>
        <w:trPr>
          <w:trHeight w:val="432"/>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May 11, 2026</w:t>
            </w:r>
          </w:p>
        </w:tc>
        <w:tc>
          <w:tcPr>
            <w:tcW w:w="246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Rainer Erdtmann</w:t>
            </w:r>
          </w:p>
        </w:tc>
      </w:tr>
      <w:tr>
        <w:trPr>
          <w:trHeight w:val="187"/>
        </w:trPr>
        <w:tc>
          <w:tcPr>
            <w:tcW w:w="35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2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Rainer Erdtmann</w:t>
            </w:r>
          </w:p>
        </w:tc>
      </w:tr>
      <w:tr>
        <w:trPr>
          <w:trHeight w:val="238"/>
        </w:trPr>
        <w:tc>
          <w:tcPr>
            <w:tcW w:w="35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Chief Operating Officer, Director</w:t>
            </w:r>
          </w:p>
        </w:tc>
      </w:tr>
    </w:tbl>
    <w:p>
      <w:pPr>
        <w:ind w:left="6940"/>
        <w:spacing w:after="0"/>
        <w:rPr>
          <w:sz w:val="20"/>
          <w:szCs w:val="20"/>
          <w:color w:val="auto"/>
        </w:rPr>
      </w:pPr>
      <w:r>
        <w:rPr>
          <w:rFonts w:ascii="Times New Roman" w:cs="Times New Roman" w:eastAsia="Times New Roman" w:hAnsi="Times New Roman"/>
          <w:sz w:val="18"/>
          <w:szCs w:val="18"/>
          <w:b w:val="1"/>
          <w:bCs w:val="1"/>
          <w:i w:val="1"/>
          <w:iCs w:val="1"/>
          <w:color w:val="auto"/>
        </w:rPr>
        <w:t>(Principal Financial and Accounting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22"/>
          <w:szCs w:val="22"/>
          <w:b w:val="1"/>
          <w:bCs w:val="1"/>
          <w:color w:val="auto"/>
        </w:rPr>
        <w:t>BIOMEA FUSION, INC.</w:t>
      </w:r>
    </w:p>
    <w:p>
      <w:pPr>
        <w:spacing w:after="0" w:line="17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b w:val="1"/>
          <w:bCs w:val="1"/>
          <w:color w:val="auto"/>
        </w:rPr>
        <w:t>CHANGE IN CONTROL AND SEVERANCE AGREEMENT</w:t>
      </w:r>
    </w:p>
    <w:p>
      <w:pPr>
        <w:spacing w:after="0" w:line="204" w:lineRule="exact"/>
        <w:rPr>
          <w:sz w:val="20"/>
          <w:szCs w:val="20"/>
          <w:color w:val="auto"/>
        </w:rPr>
      </w:pPr>
    </w:p>
    <w:p>
      <w:pPr>
        <w:jc w:val="both"/>
        <w:ind w:right="380" w:firstLine="747"/>
        <w:spacing w:after="0" w:line="247" w:lineRule="auto"/>
        <w:rPr>
          <w:sz w:val="20"/>
          <w:szCs w:val="20"/>
          <w:color w:val="auto"/>
        </w:rPr>
      </w:pPr>
      <w:r>
        <w:rPr>
          <w:rFonts w:ascii="Times New Roman" w:cs="Times New Roman" w:eastAsia="Times New Roman" w:hAnsi="Times New Roman"/>
          <w:sz w:val="22"/>
          <w:szCs w:val="22"/>
          <w:color w:val="auto"/>
        </w:rPr>
        <w:t xml:space="preserve">This Change in Control and Severance Agreement (the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is made and entered into by and between Michael J.M. Hitchcock, Ph.D. (</w:t>
      </w:r>
      <w:r>
        <w:rPr>
          <w:rFonts w:ascii="Times New Roman" w:cs="Times New Roman" w:eastAsia="Times New Roman" w:hAnsi="Times New Roman"/>
          <w:sz w:val="22"/>
          <w:szCs w:val="22"/>
          <w:b w:val="1"/>
          <w:bCs w:val="1"/>
          <w:i w:val="1"/>
          <w:iCs w:val="1"/>
          <w:color w:val="auto"/>
        </w:rPr>
        <w:t>“Executive”</w:t>
      </w:r>
      <w:r>
        <w:rPr>
          <w:rFonts w:ascii="Times New Roman" w:cs="Times New Roman" w:eastAsia="Times New Roman" w:hAnsi="Times New Roman"/>
          <w:sz w:val="22"/>
          <w:szCs w:val="22"/>
          <w:color w:val="auto"/>
        </w:rPr>
        <w:t xml:space="preserve">) and Biomea Fusion,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xml:space="preserve">), effective as of March 25, 2025 (the </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w:t>
      </w:r>
    </w:p>
    <w:p>
      <w:pPr>
        <w:spacing w:after="0" w:line="170"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u w:val="single" w:color="auto"/>
          <w:color w:val="auto"/>
        </w:rPr>
        <w:t>Background</w:t>
      </w:r>
    </w:p>
    <w:p>
      <w:pPr>
        <w:spacing w:after="0" w:line="92"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 xml:space="preserve">A. The Board of Directors of the Company (the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recognizes that the possibility of an acquisition of the Company or an involuntary termination can be a distraction to Executive and can cause Executive to consider alternative employment opportunities. The Board has determined that it is in the best interests of the Company and its stockholders to assure that the Company will have the continued dedication and objectivity of Executive, notwithstanding the possibility, threat or occurrence of such an event.</w:t>
      </w:r>
    </w:p>
    <w:p>
      <w:pPr>
        <w:spacing w:after="0" w:line="69"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B. The Board believes that it is in the best interests of the Company and its stockholders to provide Executive with an incentive to continue Executive’s employment and to motivate Executive to maximize the value of the Company upon a Change in Control (as defined below) for the benefit of its stockholders.</w:t>
      </w:r>
    </w:p>
    <w:p>
      <w:pPr>
        <w:spacing w:after="0" w:line="65"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2"/>
          <w:szCs w:val="22"/>
          <w:color w:val="auto"/>
        </w:rPr>
        <w:t>C. The Board believes that it is imperative to provide Executive with severance benefits upon certain terminations of Executive’s service to the Company that enhance Executive’s financial security and provide incentive and encouragement to Executive to remain with the Company notwithstanding the possibility of such an event.</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 Unless otherwise defined herein, capitalized terms used in this Agreement are defined in Section 9 below.</w:t>
      </w:r>
    </w:p>
    <w:p>
      <w:pPr>
        <w:spacing w:after="0" w:line="9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u w:val="single" w:color="auto"/>
          <w:color w:val="auto"/>
        </w:rPr>
        <w:t>Agreement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parties hereto agree as follows:</w:t>
      </w:r>
    </w:p>
    <w:p>
      <w:pPr>
        <w:spacing w:after="0" w:line="74" w:lineRule="exact"/>
        <w:rPr>
          <w:sz w:val="20"/>
          <w:szCs w:val="20"/>
          <w:color w:val="auto"/>
        </w:rPr>
      </w:pPr>
    </w:p>
    <w:p>
      <w:pPr>
        <w:ind w:right="600" w:firstLine="8"/>
        <w:spacing w:after="0" w:line="258" w:lineRule="auto"/>
        <w:tabs>
          <w:tab w:leader="none" w:pos="216"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 of Agreement.</w:t>
      </w:r>
      <w:r>
        <w:rPr>
          <w:rFonts w:ascii="Times New Roman" w:cs="Times New Roman" w:eastAsia="Times New Roman" w:hAnsi="Times New Roman"/>
          <w:sz w:val="22"/>
          <w:szCs w:val="22"/>
          <w:color w:val="auto"/>
        </w:rPr>
        <w:t xml:space="preserve"> This Agreement shall become effective as of the Effective Date and terminate upon the date that all obligations of the parties hereto with respect to this Agreement have been satisfied.</w:t>
      </w:r>
    </w:p>
    <w:p>
      <w:pPr>
        <w:spacing w:after="0" w:line="50" w:lineRule="exact"/>
        <w:rPr>
          <w:rFonts w:ascii="Times New Roman" w:cs="Times New Roman" w:eastAsia="Times New Roman" w:hAnsi="Times New Roman"/>
          <w:sz w:val="22"/>
          <w:szCs w:val="22"/>
          <w:color w:val="auto"/>
        </w:rPr>
      </w:pPr>
    </w:p>
    <w:p>
      <w:pPr>
        <w:ind w:right="100" w:firstLine="8"/>
        <w:spacing w:after="0" w:line="239" w:lineRule="auto"/>
        <w:tabs>
          <w:tab w:leader="none" w:pos="216"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At-Will Employment.</w:t>
      </w:r>
      <w:r>
        <w:rPr>
          <w:rFonts w:ascii="Times New Roman" w:cs="Times New Roman" w:eastAsia="Times New Roman" w:hAnsi="Times New Roman"/>
          <w:sz w:val="22"/>
          <w:szCs w:val="22"/>
          <w:color w:val="auto"/>
        </w:rPr>
        <w:t xml:space="preserve"> The Company and Executive acknowledge that Executive’s employment is and shall continue to be “at-will,” as defined under applicable law. Except as provided in Section 5 below, if Executive’s employment terminates for any reason, Executive shall not be entitled to any severance payments, benefits or compensation other than as provided in this Agreement.</w:t>
      </w:r>
    </w:p>
    <w:p>
      <w:pPr>
        <w:spacing w:after="0" w:line="72" w:lineRule="exact"/>
        <w:rPr>
          <w:rFonts w:ascii="Times New Roman" w:cs="Times New Roman" w:eastAsia="Times New Roman" w:hAnsi="Times New Roman"/>
          <w:sz w:val="22"/>
          <w:szCs w:val="22"/>
          <w:color w:val="auto"/>
        </w:rPr>
      </w:pPr>
    </w:p>
    <w:p>
      <w:pPr>
        <w:jc w:val="both"/>
        <w:ind w:right="380" w:firstLine="8"/>
        <w:spacing w:after="0" w:line="235" w:lineRule="auto"/>
        <w:tabs>
          <w:tab w:leader="none" w:pos="243"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Covered Termination Outside a Change in Control Period.</w:t>
      </w:r>
      <w:r>
        <w:rPr>
          <w:rFonts w:ascii="Times New Roman" w:cs="Times New Roman" w:eastAsia="Times New Roman" w:hAnsi="Times New Roman"/>
          <w:sz w:val="22"/>
          <w:szCs w:val="22"/>
          <w:color w:val="auto"/>
        </w:rPr>
        <w:t xml:space="preserve"> If Executive experiences a Covered Termination outside a Change in Control Period and has been continuously employed by the Company for at least 12 months as of the date of such Covered Termination, then, subject to (i) Executive delivering to the Company an executed general release of all claims against the Company and its affiliates in a form approved by the Company (a </w:t>
      </w:r>
      <w:r>
        <w:rPr>
          <w:rFonts w:ascii="Times New Roman" w:cs="Times New Roman" w:eastAsia="Times New Roman" w:hAnsi="Times New Roman"/>
          <w:sz w:val="22"/>
          <w:szCs w:val="22"/>
          <w:b w:val="1"/>
          <w:bCs w:val="1"/>
          <w:i w:val="1"/>
          <w:iCs w:val="1"/>
          <w:color w:val="auto"/>
        </w:rPr>
        <w:t>“Release of Claims”</w:t>
      </w:r>
      <w:r>
        <w:rPr>
          <w:rFonts w:ascii="Times New Roman" w:cs="Times New Roman" w:eastAsia="Times New Roman" w:hAnsi="Times New Roman"/>
          <w:sz w:val="22"/>
          <w:szCs w:val="22"/>
          <w:color w:val="auto"/>
        </w:rPr>
        <w:t>) that becomes effective and irrevocable in accordance with Section 14(a)(v) below, or such shorter period of time specified by the Company, following such Covered Termination and (ii) Executive’s continued compliance with Section 12 below, then in addition to any accrued but unpaid salary, benefits, vacation and expense reimbursements through the Termination Date payable in accordance with applicable law, the Company shall provide Executive with the following:</w:t>
      </w:r>
    </w:p>
    <w:p>
      <w:pPr>
        <w:spacing w:after="0" w:line="70" w:lineRule="exact"/>
        <w:rPr>
          <w:sz w:val="20"/>
          <w:szCs w:val="20"/>
          <w:color w:val="auto"/>
        </w:rPr>
      </w:pPr>
    </w:p>
    <w:p>
      <w:pPr>
        <w:jc w:val="both"/>
        <w:ind w:right="380" w:firstLine="8"/>
        <w:spacing w:after="0" w:line="236" w:lineRule="auto"/>
        <w:tabs>
          <w:tab w:leader="none" w:pos="334"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Severance</w:t>
      </w:r>
      <w:r>
        <w:rPr>
          <w:rFonts w:ascii="Times New Roman" w:cs="Times New Roman" w:eastAsia="Times New Roman" w:hAnsi="Times New Roman"/>
          <w:sz w:val="22"/>
          <w:szCs w:val="22"/>
          <w:color w:val="auto"/>
        </w:rPr>
        <w:t>. During the period of time commencing on the Termination Date and ending on the twelve (12) month anniversary of the Termination Date, the Company shall continue to pay Executive his/her base salary at the rate in effect immediately prior to the Termination Date. Such payments shall be made in accordance with the Company’s standard payroll practices, less applicable withholdings, beginning on the first payroll date following the date the Release of Claims becomes effective and irrevocable in accordance with Section 14(a)(v) below, and with the first installment including any amounts that would have been paid had the Release of Claims been effective and irrevocable on the Termination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531495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1" w:name="page82"/>
    <w:bookmarkEnd w:id="81"/>
    <w:p>
      <w:pPr>
        <w:jc w:val="both"/>
        <w:ind w:left="-8" w:right="340" w:firstLine="8"/>
        <w:spacing w:after="0" w:line="244" w:lineRule="auto"/>
        <w:tabs>
          <w:tab w:leader="none" w:pos="311"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Continued Healthcare.</w:t>
      </w:r>
      <w:r>
        <w:rPr>
          <w:rFonts w:ascii="Times New Roman" w:cs="Times New Roman" w:eastAsia="Times New Roman" w:hAnsi="Times New Roman"/>
          <w:sz w:val="21"/>
          <w:szCs w:val="21"/>
          <w:color w:val="auto"/>
        </w:rPr>
        <w:t xml:space="preserve"> If Executive timely elects to receive continued healthcare coverage pursuant to the provisions of the Consolidated Omnibus Budget Reconciliation Act of 1985, as amended (</w:t>
      </w:r>
      <w:r>
        <w:rPr>
          <w:rFonts w:ascii="Times New Roman" w:cs="Times New Roman" w:eastAsia="Times New Roman" w:hAnsi="Times New Roman"/>
          <w:sz w:val="21"/>
          <w:szCs w:val="21"/>
          <w:b w:val="1"/>
          <w:bCs w:val="1"/>
          <w:i w:val="1"/>
          <w:iCs w:val="1"/>
          <w:color w:val="auto"/>
        </w:rPr>
        <w:t>“COBRA”</w:t>
      </w:r>
      <w:r>
        <w:rPr>
          <w:rFonts w:ascii="Times New Roman" w:cs="Times New Roman" w:eastAsia="Times New Roman" w:hAnsi="Times New Roman"/>
          <w:sz w:val="21"/>
          <w:szCs w:val="21"/>
          <w:color w:val="auto"/>
        </w:rPr>
        <w:t xml:space="preserve">), the Company shall directly pay, or reimburse Executive for, the Company’s portion of the premium (at the same rates in effect on the Termination Date) for Executive and Executive’s covered dependents through the earlier of (i) the Twelve (12) month anniversary of the Termination Date and (ii) the date Executive and Executive’s covered dependents, if any, become eligible for healthcare coverage under another employer’s plan(s). Notwithstanding the foregoing, (i) if any plan pursuant to which such benefits are provided is not, or ceases prior to the expiration of the period of continuation coverage to be, exempt from the application of Section 409A of the Internal Revenue Code of 1986, as amended, (the </w:t>
      </w:r>
      <w:r>
        <w:rPr>
          <w:rFonts w:ascii="Times New Roman" w:cs="Times New Roman" w:eastAsia="Times New Roman" w:hAnsi="Times New Roman"/>
          <w:sz w:val="21"/>
          <w:szCs w:val="21"/>
          <w:b w:val="1"/>
          <w:bCs w:val="1"/>
          <w:i w:val="1"/>
          <w:iCs w:val="1"/>
          <w:color w:val="auto"/>
        </w:rPr>
        <w:t>“Code”</w:t>
      </w:r>
      <w:r>
        <w:rPr>
          <w:rFonts w:ascii="Times New Roman" w:cs="Times New Roman" w:eastAsia="Times New Roman" w:hAnsi="Times New Roman"/>
          <w:sz w:val="21"/>
          <w:szCs w:val="21"/>
          <w:color w:val="auto"/>
        </w:rPr>
        <w:t>) under Treasury Regulation Section 1.409A-1(a)(5), or (ii) the Company is otherwise unable to continue to cover Executive under its group health plans without penalty under applicable law (including without limitation, Section 2716 of the Public Health Service Act), then, in either case, an amount equal to each remaining Company subsidy shall thereafter be paid to Executive in substantially equal monthly installments. After the Company ceases to pay premiums pursuant to this Section 3(b), Executive may, if eligible, elect to continue healthcare coverage at Executive’s expense in accordance with the provisions of COBRA. Executive shall notify the Company immediately if Executive becomes covered by a group health plan of a subsequent employer.</w:t>
      </w:r>
    </w:p>
    <w:p>
      <w:pPr>
        <w:spacing w:after="0" w:line="73" w:lineRule="exact"/>
        <w:rPr>
          <w:sz w:val="20"/>
          <w:szCs w:val="20"/>
          <w:color w:val="auto"/>
        </w:rPr>
      </w:pPr>
    </w:p>
    <w:p>
      <w:pPr>
        <w:jc w:val="both"/>
        <w:ind w:left="-8" w:right="340" w:firstLine="8"/>
        <w:spacing w:after="0" w:line="235" w:lineRule="auto"/>
        <w:tabs>
          <w:tab w:leader="none" w:pos="235"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Covered Termination During a Change in Control Period.</w:t>
      </w:r>
      <w:r>
        <w:rPr>
          <w:rFonts w:ascii="Times New Roman" w:cs="Times New Roman" w:eastAsia="Times New Roman" w:hAnsi="Times New Roman"/>
          <w:sz w:val="22"/>
          <w:szCs w:val="22"/>
          <w:color w:val="auto"/>
        </w:rPr>
        <w:t xml:space="preserve"> If Executive experiences a Covered Termination during a Change in Control Period and has been continuously employed by the Company for at least 12 months as of the date of such Covered Termination, then, subject to (i) Executive delivering to the Company an executed Release of Claims that becomes effective and irrevocable in accordance with Section 14(a)(v) below, or such shorter period of time specified by the Company, following such Covered Termination and (ii) Executive’s continued compliance with Section 12 below, then in addition to any accrued but unpaid salary, benefits, vacation and expense reimbursements through the Termination Date payable in accordance with applicable law, the Company shall provide Executive with the following:</w:t>
      </w:r>
    </w:p>
    <w:p>
      <w:pPr>
        <w:spacing w:after="0" w:line="75" w:lineRule="exact"/>
        <w:rPr>
          <w:sz w:val="20"/>
          <w:szCs w:val="20"/>
          <w:color w:val="auto"/>
        </w:rPr>
      </w:pPr>
    </w:p>
    <w:p>
      <w:pPr>
        <w:ind w:left="-8" w:right="340" w:firstLine="8"/>
        <w:spacing w:after="0" w:line="236" w:lineRule="auto"/>
        <w:tabs>
          <w:tab w:leader="none" w:pos="286"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Severance.</w:t>
      </w:r>
      <w:r>
        <w:rPr>
          <w:rFonts w:ascii="Times New Roman" w:cs="Times New Roman" w:eastAsia="Times New Roman" w:hAnsi="Times New Roman"/>
          <w:sz w:val="22"/>
          <w:szCs w:val="22"/>
          <w:color w:val="auto"/>
        </w:rPr>
        <w:t xml:space="preserve"> During the period of time commencing on the Termination Date and ending on the Eighteen (18) month anniversary of the Termination Date, the Company shall continue to pay Executive his/her base salary at the rate in effect immediately prior to the Termination Date. Such payments shall be made in accordance with the Company’s standard payroll practices, less applicable withholdings, beginning on the first payroll date following the date the Release of Claims becomes effective and irrevocable in accordance with Section 14(a)(v) below, and with the first installment including any amounts that would have been paid had the Release of Claims been effective and irrevocable on the Termination Date.</w:t>
      </w:r>
    </w:p>
    <w:p>
      <w:pPr>
        <w:spacing w:after="0" w:line="73" w:lineRule="exact"/>
        <w:rPr>
          <w:rFonts w:ascii="Times New Roman" w:cs="Times New Roman" w:eastAsia="Times New Roman" w:hAnsi="Times New Roman"/>
          <w:sz w:val="22"/>
          <w:szCs w:val="22"/>
          <w:color w:val="auto"/>
        </w:rPr>
      </w:pPr>
    </w:p>
    <w:p>
      <w:pPr>
        <w:ind w:left="-8" w:firstLine="8"/>
        <w:spacing w:after="0" w:line="238" w:lineRule="auto"/>
        <w:tabs>
          <w:tab w:leader="none" w:pos="298"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Target Bonus.</w:t>
      </w:r>
      <w:r>
        <w:rPr>
          <w:rFonts w:ascii="Times New Roman" w:cs="Times New Roman" w:eastAsia="Times New Roman" w:hAnsi="Times New Roman"/>
          <w:sz w:val="22"/>
          <w:szCs w:val="22"/>
          <w:color w:val="auto"/>
        </w:rPr>
        <w:t xml:space="preserve"> Executive shall be entitled to receive an amount equal to Eighteen (18) months of Executive’s target annual bonus assuming achievement of performance goals at one hundred percent (100%) of target at the rate in effect immediately prior to the Termination Date, payable in a cash lump sum, less applicable withholdings, on the first payroll date following the date the Release of Claims becomes effective and irrevocable becomes effective and irrevocable in accordance with Section 14(a)(v) below.</w:t>
      </w:r>
    </w:p>
    <w:p>
      <w:pPr>
        <w:spacing w:after="0" w:line="68" w:lineRule="exact"/>
        <w:rPr>
          <w:rFonts w:ascii="Times New Roman" w:cs="Times New Roman" w:eastAsia="Times New Roman" w:hAnsi="Times New Roman"/>
          <w:sz w:val="22"/>
          <w:szCs w:val="22"/>
          <w:color w:val="auto"/>
        </w:rPr>
      </w:pPr>
    </w:p>
    <w:p>
      <w:pPr>
        <w:ind w:left="-8" w:right="120" w:firstLine="8"/>
        <w:spacing w:after="0" w:line="233" w:lineRule="auto"/>
        <w:tabs>
          <w:tab w:leader="none" w:pos="286"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Continued Healthcare.</w:t>
      </w:r>
      <w:r>
        <w:rPr>
          <w:rFonts w:ascii="Times New Roman" w:cs="Times New Roman" w:eastAsia="Times New Roman" w:hAnsi="Times New Roman"/>
          <w:sz w:val="22"/>
          <w:szCs w:val="22"/>
          <w:color w:val="auto"/>
        </w:rPr>
        <w:t xml:space="preserve"> If Executive timely elects to receive continued healthcare coverage pursuant to the provisions of COBRA, the Company shall directly pay, or reimburse Executive for, the Company’s portion of the premium (at the same rates in effect on the Termination Date) for Executive and Executive’s covered dependents through the earlier of (i) the Eighteen (18) month anniversary of the Termination Date and (ii) the date Executive and Executive’s covered dependents, if any, become eligible for healthcare coverage under another employer’s plan(s). Notwithstanding the foregoing, (i) if any plan pursuant to which such benefits are provided is not, or ceases prior to the expiration of the period of continuation coverage to be, exempt from the application of Section 409A of the Code under Treasury Regulation Section 1.409A-1(a)(5), or (ii) the Company is otherwise unable to continue to cover Executive under its group health plans without penalty under applicable law (including without limitation, Section 2716 of the Public Health Service Act), then, in either case, an amount equal to each remaining Company subsidy shall thereafter be paid to Executive in substantially equal monthly installments. After the Company ceases to pay premiums pursuant to this Section 4(c), Executive may, if eligible, elect to continue healthcare coverage at Executive’s expense in accordance with the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976" w:right="359" w:bottom="1440" w:gutter="0" w:footer="0" w:header="0"/>
        </w:sectPr>
      </w:pPr>
    </w:p>
    <w:bookmarkStart w:id="82" w:name="page83"/>
    <w:bookmarkEnd w:id="82"/>
    <w:p>
      <w:pPr>
        <w:ind w:right="880"/>
        <w:spacing w:after="0" w:line="258" w:lineRule="auto"/>
        <w:rPr>
          <w:sz w:val="20"/>
          <w:szCs w:val="20"/>
          <w:color w:val="auto"/>
        </w:rPr>
      </w:pPr>
      <w:r>
        <w:rPr>
          <w:rFonts w:ascii="Times New Roman" w:cs="Times New Roman" w:eastAsia="Times New Roman" w:hAnsi="Times New Roman"/>
          <w:sz w:val="22"/>
          <w:szCs w:val="22"/>
          <w:color w:val="auto"/>
        </w:rPr>
        <w:t>of COBRA. Executive shall notify the Company immediately if Executive becomes covered by a group health plan of a subsequent employer.</w:t>
      </w:r>
    </w:p>
    <w:p>
      <w:pPr>
        <w:spacing w:after="0" w:line="50" w:lineRule="exact"/>
        <w:rPr>
          <w:sz w:val="20"/>
          <w:szCs w:val="20"/>
          <w:color w:val="auto"/>
        </w:rPr>
      </w:pPr>
    </w:p>
    <w:p>
      <w:pPr>
        <w:ind w:right="100" w:firstLine="8"/>
        <w:spacing w:after="0" w:line="235" w:lineRule="auto"/>
        <w:tabs>
          <w:tab w:leader="none" w:pos="306"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Equity Awards.</w:t>
      </w:r>
      <w:r>
        <w:rPr>
          <w:rFonts w:ascii="Times New Roman" w:cs="Times New Roman" w:eastAsia="Times New Roman" w:hAnsi="Times New Roman"/>
          <w:sz w:val="22"/>
          <w:szCs w:val="22"/>
          <w:color w:val="auto"/>
        </w:rPr>
        <w:t xml:space="preserve"> Each outstanding and unvested equity award (excluding any such awards that vest in whole or in part based on the attainment of performance-vesting conditions), including, without limitation, each restricted stock, stock option, restricted stock unit and stock appreciation right, held by Executive shall automatically become vested and, if applicable, exercisable and any forfeiture restrictions or rights of repurchase thereon shall immediately lapse with respect to one hundred percent (100%) of the shares subject thereto (excluding any such awards that vest in whole or in part based on the attainment of performance-vesting conditions, which shall be governed by the terms of the applicable award agreement), as of immediately prior to the Termination Date.</w:t>
      </w:r>
    </w:p>
    <w:p>
      <w:pPr>
        <w:spacing w:after="0" w:line="75" w:lineRule="exact"/>
        <w:rPr>
          <w:sz w:val="20"/>
          <w:szCs w:val="20"/>
          <w:color w:val="auto"/>
        </w:rPr>
      </w:pPr>
    </w:p>
    <w:p>
      <w:pPr>
        <w:ind w:right="20" w:firstLine="8"/>
        <w:spacing w:after="0" w:line="234" w:lineRule="auto"/>
        <w:tabs>
          <w:tab w:leader="none" w:pos="216"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Certain Reductions.</w:t>
      </w:r>
      <w:r>
        <w:rPr>
          <w:rFonts w:ascii="Times New Roman" w:cs="Times New Roman" w:eastAsia="Times New Roman" w:hAnsi="Times New Roman"/>
          <w:sz w:val="22"/>
          <w:szCs w:val="22"/>
          <w:color w:val="auto"/>
        </w:rPr>
        <w:t xml:space="preserve"> Notwithstanding anything herein to the contrary, the Company shall reduce Executive’s severance benefits under this Agreement, in whole or in part, by any other severance benefits, pay in lieu of notice, or other similar benefits payable to Executive by the Company in connection with Executive’s termination, including but not limited to payments or benefits pursuant to (a) any applicable legal requirement, including, without limitation, the Worker Adjustment and Retraining Notification Act, or (b) any other Company agreement, arrangement, policy or practice relating to Executive’s termination of employment with the Company. The benefits provided under this Agreement are intended to satisfy, to the greatest extent possible, any and all statutory obligations that may arise out of Executive’s termination of employment. Such reductions shall be applied on a retroactive basis, with severance benefits paid first in time being recharacterized as payments pursuant to the Company’s statutory obligation.</w:t>
      </w:r>
    </w:p>
    <w:p>
      <w:pPr>
        <w:spacing w:after="0" w:line="75" w:lineRule="exact"/>
        <w:rPr>
          <w:rFonts w:ascii="Times New Roman" w:cs="Times New Roman" w:eastAsia="Times New Roman" w:hAnsi="Times New Roman"/>
          <w:sz w:val="22"/>
          <w:szCs w:val="22"/>
          <w:color w:val="auto"/>
        </w:rPr>
      </w:pPr>
    </w:p>
    <w:p>
      <w:pPr>
        <w:ind w:right="420" w:firstLine="8"/>
        <w:spacing w:after="0" w:line="244" w:lineRule="auto"/>
        <w:tabs>
          <w:tab w:leader="none" w:pos="216"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Deemed Resignation.</w:t>
      </w:r>
      <w:r>
        <w:rPr>
          <w:rFonts w:ascii="Times New Roman" w:cs="Times New Roman" w:eastAsia="Times New Roman" w:hAnsi="Times New Roman"/>
          <w:sz w:val="22"/>
          <w:szCs w:val="22"/>
          <w:color w:val="auto"/>
        </w:rPr>
        <w:t xml:space="preserve"> Upon termination of Executive’s service for any reason, Executive shall be deemed to have resigned from all offices and directorships, if any, then held with the Company or any of its affiliates, and, at the Company’s request, Executive shall execute such documents as are necessary or desirable to effectuate such resignations.</w:t>
      </w:r>
    </w:p>
    <w:p>
      <w:pPr>
        <w:spacing w:after="0" w:line="65" w:lineRule="exact"/>
        <w:rPr>
          <w:rFonts w:ascii="Times New Roman" w:cs="Times New Roman" w:eastAsia="Times New Roman" w:hAnsi="Times New Roman"/>
          <w:sz w:val="22"/>
          <w:szCs w:val="22"/>
          <w:color w:val="auto"/>
        </w:rPr>
      </w:pPr>
    </w:p>
    <w:p>
      <w:pPr>
        <w:ind w:right="220" w:firstLine="8"/>
        <w:spacing w:after="0" w:line="239" w:lineRule="auto"/>
        <w:tabs>
          <w:tab w:leader="none" w:pos="216"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Terminations.</w:t>
      </w:r>
      <w:r>
        <w:rPr>
          <w:rFonts w:ascii="Times New Roman" w:cs="Times New Roman" w:eastAsia="Times New Roman" w:hAnsi="Times New Roman"/>
          <w:sz w:val="22"/>
          <w:szCs w:val="22"/>
          <w:color w:val="auto"/>
        </w:rPr>
        <w:t xml:space="preserve"> If Executive’s employment with the Company terminates for any reason other than due to a Covered Termination, then Executive shall not be entitled to any benefits hereunder other than accrued but unpaid salary, vacation and expense reimbursements through the Termination Date in accordance with applicable law and to elect any continued healthcare coverage as may be required under COBRA or similar state law.</w:t>
      </w:r>
    </w:p>
    <w:p>
      <w:pPr>
        <w:spacing w:after="0" w:line="72" w:lineRule="exact"/>
        <w:rPr>
          <w:rFonts w:ascii="Times New Roman" w:cs="Times New Roman" w:eastAsia="Times New Roman" w:hAnsi="Times New Roman"/>
          <w:sz w:val="22"/>
          <w:szCs w:val="22"/>
          <w:color w:val="auto"/>
        </w:rPr>
      </w:pPr>
    </w:p>
    <w:p>
      <w:pPr>
        <w:ind w:firstLine="8"/>
        <w:spacing w:after="0" w:line="232" w:lineRule="auto"/>
        <w:tabs>
          <w:tab w:leader="none" w:pos="216"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 on Payments.</w:t>
      </w:r>
      <w:r>
        <w:rPr>
          <w:rFonts w:ascii="Times New Roman" w:cs="Times New Roman" w:eastAsia="Times New Roman" w:hAnsi="Times New Roman"/>
          <w:sz w:val="22"/>
          <w:szCs w:val="22"/>
          <w:color w:val="auto"/>
        </w:rPr>
        <w:t xml:space="preserve"> Notwithstanding anything in this Agreement to the contrary, if any payment or distribution Executive would receive pursuant to this Agreement or otherwise (</w:t>
      </w:r>
      <w:r>
        <w:rPr>
          <w:rFonts w:ascii="Times New Roman" w:cs="Times New Roman" w:eastAsia="Times New Roman" w:hAnsi="Times New Roman"/>
          <w:sz w:val="22"/>
          <w:szCs w:val="22"/>
          <w:b w:val="1"/>
          <w:bCs w:val="1"/>
          <w:i w:val="1"/>
          <w:iCs w:val="1"/>
          <w:color w:val="auto"/>
        </w:rPr>
        <w:t>“Payment”</w:t>
      </w:r>
      <w:r>
        <w:rPr>
          <w:rFonts w:ascii="Times New Roman" w:cs="Times New Roman" w:eastAsia="Times New Roman" w:hAnsi="Times New Roman"/>
          <w:sz w:val="22"/>
          <w:szCs w:val="22"/>
          <w:color w:val="auto"/>
        </w:rPr>
        <w:t xml:space="preserve">) would (a) constitute a “parachute payment” within the meaning of Section 280G of the Code and (b) but for this sentence, be subject to the excise tax imposed by Section 4999 of the Code (the </w:t>
      </w:r>
      <w:r>
        <w:rPr>
          <w:rFonts w:ascii="Times New Roman" w:cs="Times New Roman" w:eastAsia="Times New Roman" w:hAnsi="Times New Roman"/>
          <w:sz w:val="22"/>
          <w:szCs w:val="22"/>
          <w:b w:val="1"/>
          <w:bCs w:val="1"/>
          <w:i w:val="1"/>
          <w:iCs w:val="1"/>
          <w:color w:val="auto"/>
        </w:rPr>
        <w:t>“Excise Tax”</w:t>
      </w:r>
      <w:r>
        <w:rPr>
          <w:rFonts w:ascii="Times New Roman" w:cs="Times New Roman" w:eastAsia="Times New Roman" w:hAnsi="Times New Roman"/>
          <w:sz w:val="22"/>
          <w:szCs w:val="22"/>
          <w:color w:val="auto"/>
        </w:rPr>
        <w:t>), then such Payment shall either be (i) delivered in full, or (ii) delivered as to such lesser extent which would result in no portion of such Payment being subject to the Excise Tax, whichever of the foregoing amounts, taking into account the applicable federal, state and local income taxes and the Excise Tax, results in the receipt by Executive on an after-tax basis, of the largest payment, notwithstanding that all or some portion the Payment may be taxable under Section 4999 of the Code. The Company will select an adviser with experience in performing calculations regarding the applicability of Section 280G of the Code and the Excise Tax, provided, that the adviser’s determination shall be made based upon “substantial authority” within the meaning of Section 6662 of the Code to perform the foregoing calculations. The Company shall bear all expenses with respect to the determinations by such adviser required to be made hereunder. The adviser shall provide its calculations to the Company and Executive within fifteen (15) calendar days after the date on which Executive’s right to a Payment is triggered (if requested at that time by the Company or Executive) or such other time as requested by the Company. Any good faith determinations of the adviser made hereunder shall be final, binding and conclusive upon the Company and Executive. Any reduction in payments or benefits pursuant to this Section 8 will occur in the following order: (1) reduction of cash payments; (2) cancellation of accelerated vesting of equity awards other than stock options; (3) cancellation of accelerated vesting of stock options; and (4) reduction of other benefits payable to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536575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22"/>
          <w:szCs w:val="22"/>
          <w:color w:val="auto"/>
        </w:rPr>
        <w:t xml:space="preserve">9. </w:t>
      </w: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xml:space="preserve"> The following terms used in this Agreement shall have the following meanings:</w:t>
      </w:r>
    </w:p>
    <w:p>
      <w:pPr>
        <w:spacing w:after="0" w:line="92" w:lineRule="exact"/>
        <w:rPr>
          <w:sz w:val="20"/>
          <w:szCs w:val="20"/>
          <w:color w:val="auto"/>
        </w:rPr>
      </w:pPr>
    </w:p>
    <w:p>
      <w:pPr>
        <w:jc w:val="both"/>
        <w:ind w:right="200" w:firstLine="8"/>
        <w:spacing w:after="0" w:line="247" w:lineRule="auto"/>
        <w:tabs>
          <w:tab w:leader="none" w:pos="294"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“Cause” </w:t>
      </w:r>
      <w:r>
        <w:rPr>
          <w:rFonts w:ascii="Times New Roman" w:cs="Times New Roman" w:eastAsia="Times New Roman" w:hAnsi="Times New Roman"/>
          <w:sz w:val="22"/>
          <w:szCs w:val="22"/>
          <w:color w:val="auto"/>
        </w:rPr>
        <w:t>shall have the meaning set forth in the Company’s 2021 Incentive Award Plan, as amended from time to time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“Plan”). The determination that a termination of Executive’s employment is either for Cause or without Cause shall be made by the Board or its Compensation Committee, in each case, in its sole discretion.</w:t>
      </w:r>
    </w:p>
    <w:p>
      <w:pPr>
        <w:spacing w:after="0" w:line="55" w:lineRule="exact"/>
        <w:rPr>
          <w:rFonts w:ascii="Times New Roman" w:cs="Times New Roman" w:eastAsia="Times New Roman" w:hAnsi="Times New Roman"/>
          <w:sz w:val="22"/>
          <w:szCs w:val="22"/>
          <w:color w:val="auto"/>
        </w:rPr>
      </w:pPr>
    </w:p>
    <w:p>
      <w:pPr>
        <w:ind w:right="740" w:firstLine="8"/>
        <w:spacing w:after="0" w:line="264" w:lineRule="auto"/>
        <w:tabs>
          <w:tab w:leader="none" w:pos="306"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“Change in Control” </w:t>
      </w:r>
      <w:r>
        <w:rPr>
          <w:rFonts w:ascii="Times New Roman" w:cs="Times New Roman" w:eastAsia="Times New Roman" w:hAnsi="Times New Roman"/>
          <w:sz w:val="22"/>
          <w:szCs w:val="22"/>
          <w:color w:val="auto"/>
        </w:rPr>
        <w:t>has the meaning ascribed to such term under the Plan;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such transaction must also</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constitute a “change in control event” within the meaning of Treasury Regulation Section 1.409A-3(i)(5).</w:t>
      </w:r>
    </w:p>
    <w:p>
      <w:pPr>
        <w:spacing w:after="0" w:line="37" w:lineRule="exact"/>
        <w:rPr>
          <w:rFonts w:ascii="Times New Roman" w:cs="Times New Roman" w:eastAsia="Times New Roman" w:hAnsi="Times New Roman"/>
          <w:sz w:val="22"/>
          <w:szCs w:val="22"/>
          <w:color w:val="auto"/>
        </w:rPr>
      </w:pPr>
    </w:p>
    <w:p>
      <w:pPr>
        <w:ind w:right="140" w:firstLine="8"/>
        <w:spacing w:after="0" w:line="264" w:lineRule="auto"/>
        <w:tabs>
          <w:tab w:leader="none" w:pos="294"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“Change in Control Period” </w:t>
      </w:r>
      <w:r>
        <w:rPr>
          <w:rFonts w:ascii="Times New Roman" w:cs="Times New Roman" w:eastAsia="Times New Roman" w:hAnsi="Times New Roman"/>
          <w:sz w:val="22"/>
          <w:szCs w:val="22"/>
          <w:color w:val="auto"/>
        </w:rPr>
        <w:t>means the period of time commencing on the closing of a Change in Control and ending on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twelve (12) month anniversary of the closing such Change in Control.</w:t>
      </w:r>
    </w:p>
    <w:p>
      <w:pPr>
        <w:spacing w:after="0" w:line="37" w:lineRule="exact"/>
        <w:rPr>
          <w:rFonts w:ascii="Times New Roman" w:cs="Times New Roman" w:eastAsia="Times New Roman" w:hAnsi="Times New Roman"/>
          <w:sz w:val="22"/>
          <w:szCs w:val="22"/>
          <w:color w:val="auto"/>
        </w:rPr>
      </w:pPr>
    </w:p>
    <w:p>
      <w:pPr>
        <w:ind w:firstLine="8"/>
        <w:spacing w:after="0" w:line="247" w:lineRule="auto"/>
        <w:tabs>
          <w:tab w:leader="none" w:pos="306"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“Covered Termination” </w:t>
      </w:r>
      <w:r>
        <w:rPr>
          <w:rFonts w:ascii="Times New Roman" w:cs="Times New Roman" w:eastAsia="Times New Roman" w:hAnsi="Times New Roman"/>
          <w:sz w:val="22"/>
          <w:szCs w:val="22"/>
          <w:color w:val="auto"/>
        </w:rPr>
        <w:t>means the termination of Executive’s employment by the Company other than for Cause or by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Executive for Good Reason, in each case that, to the extent necessary, constitutes a Separation from Service, and shall not include a termination due to Executive’s death or disability.</w:t>
      </w:r>
    </w:p>
    <w:p>
      <w:pPr>
        <w:spacing w:after="0" w:line="55" w:lineRule="exact"/>
        <w:rPr>
          <w:rFonts w:ascii="Times New Roman" w:cs="Times New Roman" w:eastAsia="Times New Roman" w:hAnsi="Times New Roman"/>
          <w:sz w:val="22"/>
          <w:szCs w:val="22"/>
          <w:color w:val="auto"/>
        </w:rPr>
      </w:pPr>
    </w:p>
    <w:p>
      <w:pPr>
        <w:ind w:right="20" w:firstLine="8"/>
        <w:spacing w:after="0" w:line="235" w:lineRule="auto"/>
        <w:tabs>
          <w:tab w:leader="none" w:pos="294"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“Good Reason” </w:t>
      </w:r>
      <w:r>
        <w:rPr>
          <w:rFonts w:ascii="Times New Roman" w:cs="Times New Roman" w:eastAsia="Times New Roman" w:hAnsi="Times New Roman"/>
          <w:sz w:val="22"/>
          <w:szCs w:val="22"/>
          <w:color w:val="auto"/>
        </w:rPr>
        <w:t>shall mean that Executive has complied in all material respects with the “Good Reason Process” (hereinafter</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defined) following the occurrence of any of the following events, without Executive’s prior written consent: (i) a material reduction of Executive’s annual base salary (unless pursuant to a salary reduction program applicable generally to the Company’s senior management employees); (ii) solely during a Change in Control Period, a material reduction in Executive’s role or responsibilities in the successor entity or the parent entity as compared to Executive’s role or responsibilities in the Company prior to the Change in Control; provided that a mere change of title and/or reporting authority alone shall not constitute such a material reduction; or (iii) relocation of Executive’s principal place of employment to a place greater than 50 miles from Executive’s then-current principal place of employment.</w:t>
      </w:r>
    </w:p>
    <w:p>
      <w:pPr>
        <w:spacing w:after="0" w:line="70" w:lineRule="exact"/>
        <w:rPr>
          <w:rFonts w:ascii="Times New Roman" w:cs="Times New Roman" w:eastAsia="Times New Roman" w:hAnsi="Times New Roman"/>
          <w:sz w:val="22"/>
          <w:szCs w:val="22"/>
          <w:color w:val="auto"/>
        </w:rPr>
      </w:pPr>
    </w:p>
    <w:p>
      <w:pPr>
        <w:ind w:right="160" w:firstLine="8"/>
        <w:spacing w:after="0" w:line="235" w:lineRule="auto"/>
        <w:tabs>
          <w:tab w:leader="none" w:pos="27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“Good Reason Process” </w:t>
      </w:r>
      <w:r>
        <w:rPr>
          <w:rFonts w:ascii="Times New Roman" w:cs="Times New Roman" w:eastAsia="Times New Roman" w:hAnsi="Times New Roman"/>
          <w:sz w:val="22"/>
          <w:szCs w:val="22"/>
          <w:color w:val="auto"/>
        </w:rPr>
        <w:t>shall mean that (i) Executive has reasonably determined in good faith that a “Good Reason”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condition has occurred; (ii) Executive has notified the Company in writing of the first occurrence of the Good Reason condition within sixty (60) days of the first time the Executive becomes aware of the occurrence of such condition; (iii) Executive has cooperated in good faith with the Company’s efforts, for a period not less than thirty (30) days immediately following the Company’s receipt of such notice (the </w:t>
      </w:r>
      <w:r>
        <w:rPr>
          <w:rFonts w:ascii="Times New Roman" w:cs="Times New Roman" w:eastAsia="Times New Roman" w:hAnsi="Times New Roman"/>
          <w:sz w:val="22"/>
          <w:szCs w:val="22"/>
          <w:b w:val="1"/>
          <w:bCs w:val="1"/>
          <w:i w:val="1"/>
          <w:iCs w:val="1"/>
          <w:color w:val="auto"/>
        </w:rPr>
        <w:t>“Cure Period”</w:t>
      </w:r>
      <w:r>
        <w:rPr>
          <w:rFonts w:ascii="Times New Roman" w:cs="Times New Roman" w:eastAsia="Times New Roman" w:hAnsi="Times New Roman"/>
          <w:sz w:val="22"/>
          <w:szCs w:val="22"/>
          <w:color w:val="auto"/>
        </w:rPr>
        <w:t>), to remedy the condition; (iv) notwithstanding such efforts, the Good Reason condition continues to exist; and (v) Executive terminates Executive’s employment with the Company within thirty (30) days after the end of the Cure Period. If the Company cures the Good Reason condition during the Cure Period, Good Reason shall be deemed not to have occurred.</w:t>
      </w:r>
    </w:p>
    <w:p>
      <w:pPr>
        <w:spacing w:after="0" w:line="70" w:lineRule="exact"/>
        <w:rPr>
          <w:rFonts w:ascii="Times New Roman" w:cs="Times New Roman" w:eastAsia="Times New Roman" w:hAnsi="Times New Roman"/>
          <w:sz w:val="22"/>
          <w:szCs w:val="22"/>
          <w:color w:val="auto"/>
        </w:rPr>
      </w:pPr>
    </w:p>
    <w:p>
      <w:pPr>
        <w:ind w:right="120" w:firstLine="8"/>
        <w:spacing w:after="0" w:line="264" w:lineRule="auto"/>
        <w:tabs>
          <w:tab w:leader="none" w:pos="306"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“Separation from Service” </w:t>
      </w:r>
      <w:r>
        <w:rPr>
          <w:rFonts w:ascii="Times New Roman" w:cs="Times New Roman" w:eastAsia="Times New Roman" w:hAnsi="Times New Roman"/>
          <w:sz w:val="22"/>
          <w:szCs w:val="22"/>
          <w:color w:val="auto"/>
        </w:rPr>
        <w:t>means a “separation from service” with the Company within the meaning of Section 409A of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Code and the Department of Treasury regulations and other guidance promulgated thereunder.</w:t>
      </w:r>
    </w:p>
    <w:p>
      <w:pPr>
        <w:spacing w:after="0" w:line="37"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“Termination Date” </w:t>
      </w:r>
      <w:r>
        <w:rPr>
          <w:rFonts w:ascii="Times New Roman" w:cs="Times New Roman" w:eastAsia="Times New Roman" w:hAnsi="Times New Roman"/>
          <w:sz w:val="22"/>
          <w:szCs w:val="22"/>
          <w:color w:val="auto"/>
        </w:rPr>
        <w:t>means the date on which Executive experiences a Covered Termination.</w:t>
      </w:r>
    </w:p>
    <w:p>
      <w:pPr>
        <w:spacing w:after="0" w:line="104" w:lineRule="exact"/>
        <w:rPr>
          <w:sz w:val="20"/>
          <w:szCs w:val="20"/>
          <w:color w:val="auto"/>
        </w:rPr>
      </w:pPr>
    </w:p>
    <w:p>
      <w:pPr>
        <w:ind w:left="340" w:hanging="332"/>
        <w:spacing w:after="0"/>
        <w:tabs>
          <w:tab w:leader="none" w:pos="34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w:t>
      </w:r>
    </w:p>
    <w:p>
      <w:pPr>
        <w:spacing w:after="0" w:line="98" w:lineRule="exact"/>
        <w:rPr>
          <w:sz w:val="20"/>
          <w:szCs w:val="20"/>
          <w:color w:val="auto"/>
        </w:rPr>
      </w:pPr>
    </w:p>
    <w:p>
      <w:pPr>
        <w:ind w:right="20" w:firstLine="8"/>
        <w:spacing w:after="0" w:line="235" w:lineRule="auto"/>
        <w:tabs>
          <w:tab w:leader="none" w:pos="294"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Company’s Successors.</w:t>
      </w:r>
      <w:r>
        <w:rPr>
          <w:rFonts w:ascii="Times New Roman" w:cs="Times New Roman" w:eastAsia="Times New Roman" w:hAnsi="Times New Roman"/>
          <w:sz w:val="22"/>
          <w:szCs w:val="22"/>
          <w:color w:val="auto"/>
        </w:rPr>
        <w:t xml:space="preserve"> Any successor to the Company (whether direct or indirect and whether by purchase, merger, consolidation, liquidation or otherwise) to all or substantially all of the Company’s business or assets shall assume the obligations under this Agreement and agree expressly to perform the obligations under this Agreement in the same manner and to the same extent as the Company would be required to perform such obligations in the absence of a succession. For all purposes under this Agreement, the term “Company” shall include any successor to the Company’s business or assets which executes and delivers the assumption agreement described in this Section 10(a) or which becomes bound by the terms of this Agreement by operation of law.</w:t>
      </w:r>
    </w:p>
    <w:p>
      <w:pPr>
        <w:spacing w:after="0" w:line="75" w:lineRule="exact"/>
        <w:rPr>
          <w:rFonts w:ascii="Times New Roman" w:cs="Times New Roman" w:eastAsia="Times New Roman" w:hAnsi="Times New Roman"/>
          <w:sz w:val="22"/>
          <w:szCs w:val="22"/>
          <w:color w:val="auto"/>
        </w:rPr>
      </w:pPr>
    </w:p>
    <w:p>
      <w:pPr>
        <w:ind w:right="260" w:firstLine="8"/>
        <w:spacing w:after="0" w:line="244" w:lineRule="auto"/>
        <w:tabs>
          <w:tab w:leader="none" w:pos="306"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Executive’s Successors.</w:t>
      </w:r>
      <w:r>
        <w:rPr>
          <w:rFonts w:ascii="Times New Roman" w:cs="Times New Roman" w:eastAsia="Times New Roman" w:hAnsi="Times New Roman"/>
          <w:sz w:val="22"/>
          <w:szCs w:val="22"/>
          <w:color w:val="auto"/>
        </w:rPr>
        <w:t xml:space="preserve"> The terms of this Agreement and all rights of Executive hereunder shall inure to the benefit of, and be enforceable by, Executive’s personal or legal representatives, executors, administrators, successors, heirs, distributees, devisees and legatees.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526415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84" w:name="page85"/>
    <w:bookmarkEnd w:id="84"/>
    <w:p>
      <w:pPr>
        <w:ind w:left="-8" w:right="360" w:firstLine="8"/>
        <w:spacing w:after="0" w:line="261" w:lineRule="auto"/>
        <w:tabs>
          <w:tab w:leader="none" w:pos="316"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xml:space="preserve"> Any notices provided hereunder must be in writing and shall be deemed effective upon the earlier of personal delivery (including personal delivery by facsimile), delivery by email or the third day after mailing by first class mail, to the Company at its primary office location and to Executive at Executive’s address as listed in the Company’s books and records.</w:t>
      </w:r>
    </w:p>
    <w:p>
      <w:pPr>
        <w:spacing w:after="0" w:line="49" w:lineRule="exact"/>
        <w:rPr>
          <w:rFonts w:ascii="Times New Roman" w:cs="Times New Roman" w:eastAsia="Times New Roman" w:hAnsi="Times New Roman"/>
          <w:sz w:val="21"/>
          <w:szCs w:val="21"/>
          <w:color w:val="auto"/>
        </w:rPr>
      </w:pPr>
    </w:p>
    <w:p>
      <w:pPr>
        <w:ind w:left="332" w:hanging="332"/>
        <w:spacing w:after="0"/>
        <w:tabs>
          <w:tab w:leader="none" w:pos="332"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Confidentiality; Non-Disparagement.</w:t>
      </w:r>
    </w:p>
    <w:p>
      <w:pPr>
        <w:spacing w:after="0" w:line="98" w:lineRule="exact"/>
        <w:rPr>
          <w:sz w:val="20"/>
          <w:szCs w:val="20"/>
          <w:color w:val="auto"/>
        </w:rPr>
      </w:pPr>
    </w:p>
    <w:p>
      <w:pPr>
        <w:jc w:val="both"/>
        <w:ind w:left="-8" w:right="400" w:firstLine="8"/>
        <w:spacing w:after="0" w:line="282" w:lineRule="auto"/>
        <w:tabs>
          <w:tab w:leader="none" w:pos="286"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Confidentiality.</w:t>
      </w:r>
      <w:r>
        <w:rPr>
          <w:rFonts w:ascii="Times New Roman" w:cs="Times New Roman" w:eastAsia="Times New Roman" w:hAnsi="Times New Roman"/>
          <w:sz w:val="21"/>
          <w:szCs w:val="21"/>
          <w:color w:val="auto"/>
        </w:rPr>
        <w:t xml:space="preserve"> Executive hereby expressly confirms Executive’s continuing obligations to the Company pursuant to that certain confidentiality agreement by and between the Company and Executive (the </w:t>
      </w:r>
      <w:r>
        <w:rPr>
          <w:rFonts w:ascii="Times New Roman" w:cs="Times New Roman" w:eastAsia="Times New Roman" w:hAnsi="Times New Roman"/>
          <w:sz w:val="21"/>
          <w:szCs w:val="21"/>
          <w:b w:val="1"/>
          <w:bCs w:val="1"/>
          <w:i w:val="1"/>
          <w:iCs w:val="1"/>
          <w:color w:val="auto"/>
        </w:rPr>
        <w:t>“Confidential Information Agreement”</w:t>
      </w:r>
      <w:r>
        <w:rPr>
          <w:rFonts w:ascii="Times New Roman" w:cs="Times New Roman" w:eastAsia="Times New Roman" w:hAnsi="Times New Roman"/>
          <w:sz w:val="21"/>
          <w:szCs w:val="21"/>
          <w:color w:val="auto"/>
        </w:rPr>
        <w:t>).</w:t>
      </w:r>
    </w:p>
    <w:p>
      <w:pPr>
        <w:spacing w:after="0" w:line="26" w:lineRule="exact"/>
        <w:rPr>
          <w:rFonts w:ascii="Times New Roman" w:cs="Times New Roman" w:eastAsia="Times New Roman" w:hAnsi="Times New Roman"/>
          <w:sz w:val="21"/>
          <w:szCs w:val="21"/>
          <w:color w:val="auto"/>
        </w:rPr>
      </w:pPr>
    </w:p>
    <w:p>
      <w:pPr>
        <w:jc w:val="both"/>
        <w:ind w:left="-8" w:right="140" w:firstLine="8"/>
        <w:spacing w:after="0" w:line="261" w:lineRule="auto"/>
        <w:tabs>
          <w:tab w:leader="none" w:pos="298"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Non-Disparagement</w:t>
      </w:r>
      <w:r>
        <w:rPr>
          <w:rFonts w:ascii="Times New Roman" w:cs="Times New Roman" w:eastAsia="Times New Roman" w:hAnsi="Times New Roman"/>
          <w:sz w:val="21"/>
          <w:szCs w:val="21"/>
          <w:color w:val="auto"/>
        </w:rPr>
        <w:t>. Executive agrees that Executive shall not disparage, criticize or defame the Company, its affiliates and their respective affiliates, directors, officers, agents, partners, stockholders or employees, either publicly or privately. Nothing in this Section 12(b) shall apply to any evidence or testimony required by any court, arbitrator or government agency.</w:t>
      </w:r>
    </w:p>
    <w:p>
      <w:pPr>
        <w:spacing w:after="0" w:line="49" w:lineRule="exact"/>
        <w:rPr>
          <w:rFonts w:ascii="Times New Roman" w:cs="Times New Roman" w:eastAsia="Times New Roman" w:hAnsi="Times New Roman"/>
          <w:sz w:val="21"/>
          <w:szCs w:val="21"/>
          <w:color w:val="auto"/>
        </w:rPr>
      </w:pPr>
    </w:p>
    <w:p>
      <w:pPr>
        <w:ind w:left="-8" w:right="100" w:firstLine="8"/>
        <w:spacing w:after="0" w:line="233" w:lineRule="auto"/>
        <w:tabs>
          <w:tab w:leader="none" w:pos="286"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Whistleblower Protections and Trade Secrets.</w:t>
      </w:r>
      <w:r>
        <w:rPr>
          <w:rFonts w:ascii="Times New Roman" w:cs="Times New Roman" w:eastAsia="Times New Roman" w:hAnsi="Times New Roman"/>
          <w:sz w:val="22"/>
          <w:szCs w:val="22"/>
          <w:color w:val="auto"/>
        </w:rPr>
        <w:t xml:space="preserve"> Notwithstanding anything to the contrary contained herein, nothing in this Agreement or the Confidential Information Agreement prohibits Executive from reporting possible violations of federal law or regulation to any United States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(including the right to receive an award for information provided to any such government agencies). Furthermore, in accordance with 18 U.S.C. § 1833, notwithstanding anything to the contrary in this Agreement: (i) Executive shall not be in breach of this Agreement, and shall not be held criminally or civilly liable under any federal or state trade secret law (A) for the disclosure of a trade secret that is made in confidence to a federal, state, or local government official or to an attorney solely for the purpose of reporting or investigating a suspected violation of law, or (B) for the disclosure of a trade secret that is made in a complaint or other document filed in a lawsuit or other proceeding, if such filing is made under seal; and (ii) if Executive files a lawsuit for retaliation by the Company for reporting a suspected violation of law, Executive may disclose the trade secret to Executive’s attorney, and may use the trade secret information in the court proceeding, if Executive files any document containing the trade secret under seal, and does not disclose the trade secret, except pursuant to court order.</w:t>
      </w:r>
    </w:p>
    <w:p>
      <w:pPr>
        <w:spacing w:after="0" w:line="72" w:lineRule="exact"/>
        <w:rPr>
          <w:sz w:val="20"/>
          <w:szCs w:val="20"/>
          <w:color w:val="auto"/>
        </w:rPr>
      </w:pPr>
    </w:p>
    <w:p>
      <w:pPr>
        <w:ind w:left="-8" w:firstLine="8"/>
        <w:spacing w:after="0" w:line="232" w:lineRule="auto"/>
        <w:tabs>
          <w:tab w:leader="none" w:pos="316"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Dispute Resolution.</w:t>
      </w:r>
      <w:r>
        <w:rPr>
          <w:rFonts w:ascii="Times New Roman" w:cs="Times New Roman" w:eastAsia="Times New Roman" w:hAnsi="Times New Roman"/>
          <w:sz w:val="22"/>
          <w:szCs w:val="22"/>
          <w:color w:val="auto"/>
        </w:rPr>
        <w:t xml:space="preserve"> Unless otherwise prohibited by law or specified below, all disputes, claims and causes of action, in law or equity, arising from or relating to this Agreement or to Executive’s employment or the termination thereof (each, a </w:t>
      </w:r>
      <w:r>
        <w:rPr>
          <w:rFonts w:ascii="Times New Roman" w:cs="Times New Roman" w:eastAsia="Times New Roman" w:hAnsi="Times New Roman"/>
          <w:sz w:val="22"/>
          <w:szCs w:val="22"/>
          <w:b w:val="1"/>
          <w:bCs w:val="1"/>
          <w:i w:val="1"/>
          <w:iCs w:val="1"/>
          <w:color w:val="auto"/>
        </w:rPr>
        <w:t>“Claim”</w:t>
      </w:r>
      <w:r>
        <w:rPr>
          <w:rFonts w:ascii="Times New Roman" w:cs="Times New Roman" w:eastAsia="Times New Roman" w:hAnsi="Times New Roman"/>
          <w:sz w:val="22"/>
          <w:szCs w:val="22"/>
          <w:color w:val="auto"/>
        </w:rPr>
        <w:t>) shall be resolved solely and exclusively by final and binding arbitration held in San Mateo County, California through JAMS under its Employment Arbitration Rules and Procedures, which are available at www.jamsadr.com/rules-employment-arbitration. The arbitration provisions of this Agreement shall be governed by and enforceable pursuant to the Federal Arbitration Act. In all other respects for provisions not governed by the Federal Arbitration Act, this Agreement shall be construed in accordance with the laws of the State of California, without reference to conflicts of law principles. The arbitrator shall: (a) provide adequate discovery for the resolution of the dispute; and (b) issue a written arbitration decision, to include the arbitrator’s essential findings and conclusions and a statement of the award. Except to the extent of filing fees Executive would incur were the matter to be litigated in court, the Company shall be responsible for the JAMS administrative fees and the arbitrator’s fees and costs. The arbitrator shall award the prevailing party attorneys’ fees and expert fees, if any. The parties agree to abide by all decisions and awards rendered in such proceedings. Such decisions and awards rendered by the arbitrator shall be final and conclusive. All such controversies, claims or disputes shall be settled in this manner in lieu of any action at law or equity; provided, however, that nothing in this subsection shall be construed as precluding the bringing of an action for injunctive relief or specific performance as provided in this Agreement or the Confidential Information Agreement. This dispute resolution process and any arbitration hereunder shall be confidential and neither any party nor the neutral arbitrator shall disclose the existence, contents or results of such process without the prior written consent of all parties, except where necessary or compelled in a court to enforce this arbitration provision or an award from such arbitration or otherwise in a legal proceeding. Executive and the Company understand that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534670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976" w:right="339" w:bottom="1440" w:gutter="0" w:footer="0" w:header="0"/>
        </w:sectPr>
      </w:pPr>
    </w:p>
    <w:bookmarkStart w:id="85" w:name="page86"/>
    <w:bookmarkEnd w:id="85"/>
    <w:p>
      <w:pPr>
        <w:ind w:right="20"/>
        <w:spacing w:after="0" w:line="236" w:lineRule="auto"/>
        <w:rPr>
          <w:sz w:val="20"/>
          <w:szCs w:val="20"/>
          <w:color w:val="auto"/>
        </w:rPr>
      </w:pPr>
      <w:r>
        <w:rPr>
          <w:rFonts w:ascii="Times New Roman" w:cs="Times New Roman" w:eastAsia="Times New Roman" w:hAnsi="Times New Roman"/>
          <w:sz w:val="22"/>
          <w:szCs w:val="22"/>
          <w:color w:val="auto"/>
        </w:rPr>
        <w:t>agreeing to arbitrate any claim pursuant to this Section 13, they will not have the right to have any claim decided by a jury or a court, but shall instead have any claim decided through arbitration. Executive and the Company waive any constitutional or other right to bring claims covered by this Agreement other than in their individual capacities. Except as may be prohibited by applicable law, the foregoing waiver includes the ability to assert claims as a plaintiff or class member in any purported class or representative proceeding. Notwithstanding the foregoing, Executive and the Company each have the right to resolve any issue or dispute over intellectual property rights by court action instead of arbitration.</w:t>
      </w:r>
    </w:p>
    <w:p>
      <w:pPr>
        <w:spacing w:after="0" w:line="73" w:lineRule="exact"/>
        <w:rPr>
          <w:sz w:val="20"/>
          <w:szCs w:val="20"/>
          <w:color w:val="auto"/>
        </w:rPr>
      </w:pPr>
    </w:p>
    <w:p>
      <w:pPr>
        <w:ind w:left="340" w:hanging="332"/>
        <w:spacing w:after="0"/>
        <w:tabs>
          <w:tab w:leader="none" w:pos="34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 Provisions.</w:t>
      </w:r>
    </w:p>
    <w:p>
      <w:pPr>
        <w:spacing w:after="0" w:line="98"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u w:val="single" w:color="auto"/>
          <w:color w:val="auto"/>
        </w:rPr>
        <w:t>Section 409A.</w:t>
      </w:r>
    </w:p>
    <w:p>
      <w:pPr>
        <w:spacing w:after="0" w:line="98" w:lineRule="exact"/>
        <w:rPr>
          <w:sz w:val="20"/>
          <w:szCs w:val="20"/>
          <w:color w:val="auto"/>
        </w:rPr>
      </w:pPr>
    </w:p>
    <w:p>
      <w:pPr>
        <w:ind w:right="300" w:firstLine="8"/>
        <w:spacing w:after="0" w:line="244" w:lineRule="auto"/>
        <w:tabs>
          <w:tab w:leader="none" w:pos="258"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Separation from Service.</w:t>
      </w:r>
      <w:r>
        <w:rPr>
          <w:rFonts w:ascii="Times New Roman" w:cs="Times New Roman" w:eastAsia="Times New Roman" w:hAnsi="Times New Roman"/>
          <w:sz w:val="22"/>
          <w:szCs w:val="22"/>
          <w:color w:val="auto"/>
        </w:rPr>
        <w:t xml:space="preserve"> Notwithstanding any provision to the contrary in this Agreement, no amount constituting deferred compensation subject to Section 409A of the Code shall be payable pursuant to Sections 3 or 4 above unless Executive’s termination of employment constitutes a Separation from Service.</w:t>
      </w:r>
    </w:p>
    <w:p>
      <w:pPr>
        <w:spacing w:after="0" w:line="65" w:lineRule="exact"/>
        <w:rPr>
          <w:rFonts w:ascii="Times New Roman" w:cs="Times New Roman" w:eastAsia="Times New Roman" w:hAnsi="Times New Roman"/>
          <w:sz w:val="22"/>
          <w:szCs w:val="22"/>
          <w:color w:val="auto"/>
        </w:rPr>
      </w:pPr>
    </w:p>
    <w:p>
      <w:pPr>
        <w:ind w:right="40" w:firstLine="8"/>
        <w:spacing w:after="0" w:line="235" w:lineRule="auto"/>
        <w:tabs>
          <w:tab w:leader="none" w:pos="318"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Specified Employee.</w:t>
      </w:r>
      <w:r>
        <w:rPr>
          <w:rFonts w:ascii="Times New Roman" w:cs="Times New Roman" w:eastAsia="Times New Roman" w:hAnsi="Times New Roman"/>
          <w:sz w:val="22"/>
          <w:szCs w:val="22"/>
          <w:color w:val="auto"/>
        </w:rPr>
        <w:t xml:space="preserve"> Notwithstanding any provision to the contrary in this Agreement, if Executive is deemed at the time of his or her Separation from Service to be a “specified employee” for purposes of Section 409A(a)(2)(B)(i) of the Code, to the extent delayed commencement of any portion of the benefits to which Executive is entitled under this Agreement is required in order to avoid a prohibited distribution under Section 409A(a)(2)(B)(i) of the Code, such portion of Executive’s benefits shall not be provided to Executive prior to the earlier of (A) the expiration of the six-month period measured from the date of Executive’s Separation from Service or (B) the date of Executive’s death. Upon the first business day following the expiration of the applicable Code Section 409A(a)(2)(B)(i) period, all payments deferred pursuant to this Section 14(a)(ii) shall be paid in a lump sum to Executive, and any remaining payments due under this Agreement shall be paid as otherwise provided herein.</w:t>
      </w:r>
    </w:p>
    <w:p>
      <w:pPr>
        <w:spacing w:after="0" w:line="70" w:lineRule="exact"/>
        <w:rPr>
          <w:rFonts w:ascii="Times New Roman" w:cs="Times New Roman" w:eastAsia="Times New Roman" w:hAnsi="Times New Roman"/>
          <w:sz w:val="22"/>
          <w:szCs w:val="22"/>
          <w:color w:val="auto"/>
        </w:rPr>
      </w:pPr>
    </w:p>
    <w:p>
      <w:pPr>
        <w:ind w:firstLine="8"/>
        <w:spacing w:after="0" w:line="238" w:lineRule="auto"/>
        <w:tabs>
          <w:tab w:leader="none" w:pos="378"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Expense Reimbursements.</w:t>
      </w:r>
      <w:r>
        <w:rPr>
          <w:rFonts w:ascii="Times New Roman" w:cs="Times New Roman" w:eastAsia="Times New Roman" w:hAnsi="Times New Roman"/>
          <w:sz w:val="22"/>
          <w:szCs w:val="22"/>
          <w:color w:val="auto"/>
        </w:rPr>
        <w:t xml:space="preserve"> To the extent that any reimbursements payable pursuant to this Agreement are subject to the provisions of Section 409A of the Code, any such reimbursements payable to Executive pursuant to this Agreement shall be paid to Executive no later than December 31 of the year following the year in which the expense was incurred, the amount of expenses reimbursed in one year shall not affect the amount eligible for reimbursement in any subsequent year, and Executive’s right to reimbursement under this Agreement will not be subject to liquidation or exchange for another benefit.</w:t>
      </w:r>
    </w:p>
    <w:p>
      <w:pPr>
        <w:spacing w:after="0" w:line="68" w:lineRule="exact"/>
        <w:rPr>
          <w:rFonts w:ascii="Times New Roman" w:cs="Times New Roman" w:eastAsia="Times New Roman" w:hAnsi="Times New Roman"/>
          <w:sz w:val="22"/>
          <w:szCs w:val="22"/>
          <w:color w:val="auto"/>
        </w:rPr>
      </w:pPr>
    </w:p>
    <w:p>
      <w:pPr>
        <w:ind w:right="200" w:firstLine="8"/>
        <w:spacing w:after="0" w:line="239" w:lineRule="auto"/>
        <w:tabs>
          <w:tab w:leader="none" w:pos="366"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Installments.</w:t>
      </w:r>
      <w:r>
        <w:rPr>
          <w:rFonts w:ascii="Times New Roman" w:cs="Times New Roman" w:eastAsia="Times New Roman" w:hAnsi="Times New Roman"/>
          <w:sz w:val="22"/>
          <w:szCs w:val="22"/>
          <w:color w:val="auto"/>
        </w:rPr>
        <w:t xml:space="preserve"> For purposes of Section 409A of the Code (including, without limitation, for purposes of Treasury Regulation Section 1.409A-2(b)(2)(iii)), Executive’s right to receive any installment payments under this Agreement shall be treated as a right to receive a series of separate payments and, accordingly, each such installment payment shall at all times be considered a separate and distinct payment.</w:t>
      </w:r>
    </w:p>
    <w:p>
      <w:pPr>
        <w:spacing w:after="0" w:line="72" w:lineRule="exact"/>
        <w:rPr>
          <w:rFonts w:ascii="Times New Roman" w:cs="Times New Roman" w:eastAsia="Times New Roman" w:hAnsi="Times New Roman"/>
          <w:sz w:val="22"/>
          <w:szCs w:val="22"/>
          <w:color w:val="auto"/>
        </w:rPr>
      </w:pPr>
    </w:p>
    <w:p>
      <w:pPr>
        <w:ind w:right="20" w:firstLine="8"/>
        <w:spacing w:after="0" w:line="233" w:lineRule="auto"/>
        <w:tabs>
          <w:tab w:leader="none" w:pos="306"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xml:space="preserve"> Notwithstanding anything to the contrary in this Agreement, to the extent that any payments due under this Agreement as a result of Executive’s termination of employment are subject to Executive’s execution and delivery of a Release of Claims, (A) the Company shall deliver the Release of Claims to Executive within ten business days following Executive’s Termination Date, and the Company’s failure to deliver a Release of Claims prior to the expiration of such ten business day period shall constitute a waiver of any requirement to execute a Release of Claims, (B) if Executive fails to execute the Release of Claims on or prior to the Release Expiration Date (as defined below) or timely revokes Executive’s acceptance of the Release of Claims thereafter, Executive shall not be entitled to any payments or benefits otherwise conditioned on the Release of Claims, and (C) in any case where Executive’s Termination Date and the Release Expiration Date fall in two separate taxable years, any payments required to be made to Executive that are conditioned on the Release of Claims and are treated as nonqualified deferred compensation for purposes of Section 409A of the Code shall be made in the later taxable year. For purposes hereof, </w:t>
      </w:r>
      <w:r>
        <w:rPr>
          <w:rFonts w:ascii="Times New Roman" w:cs="Times New Roman" w:eastAsia="Times New Roman" w:hAnsi="Times New Roman"/>
          <w:sz w:val="22"/>
          <w:szCs w:val="22"/>
          <w:b w:val="1"/>
          <w:bCs w:val="1"/>
          <w:i w:val="1"/>
          <w:iCs w:val="1"/>
          <w:color w:val="auto"/>
        </w:rPr>
        <w:t>“Release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 xml:space="preserve">Expiration Date” </w:t>
      </w:r>
      <w:r>
        <w:rPr>
          <w:rFonts w:ascii="Times New Roman" w:cs="Times New Roman" w:eastAsia="Times New Roman" w:hAnsi="Times New Roman"/>
          <w:sz w:val="22"/>
          <w:szCs w:val="22"/>
          <w:color w:val="auto"/>
        </w:rPr>
        <w:t>shall mean (1) if Executive is under 40 years old as of the Termination Date, the date that is seven (7) days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following the date upon which the Company timely delivers the Release of Claims to Executive, or such shorter time prescribed by the Company, and (2) if Executive is 40 years or older as of the Termination Date, the date that is twenty one (21) days following the date upon which the Company timely delivers the Release of Claims to Executive, or,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530225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86" w:name="page87"/>
    <w:bookmarkEnd w:id="86"/>
    <w:p>
      <w:pPr>
        <w:spacing w:after="0" w:line="235" w:lineRule="auto"/>
        <w:rPr>
          <w:sz w:val="20"/>
          <w:szCs w:val="20"/>
          <w:color w:val="auto"/>
        </w:rPr>
      </w:pPr>
      <w:r>
        <w:rPr>
          <w:rFonts w:ascii="Times New Roman" w:cs="Times New Roman" w:eastAsia="Times New Roman" w:hAnsi="Times New Roman"/>
          <w:sz w:val="22"/>
          <w:szCs w:val="22"/>
          <w:color w:val="auto"/>
        </w:rPr>
        <w:t>Executive’s termination of employment is “in connection with an exit incentive or other employment termination program” (as such phrase is defined in the Age Discrimination in Employment Act of 1967), the date that is forty five (45) days following such delivery date. To the extent that any payments of nonqualified deferred compensation (within the meaning of Section 409A) due under this Agreement as a result of Executive’s termination of employment are delayed pursuant to this Section 14(a)(v), such amounts shall be paid in a lump sum on the first payroll date following the date that Executive executes and does not revoke the Release of Claims (and the applicable revocation period has expired) or, in the case of any payments subject to Section 14(a)(v) (C), on the first payroll date to occur in the subsequent taxable year, if later.</w:t>
      </w:r>
    </w:p>
    <w:p>
      <w:pPr>
        <w:spacing w:after="0" w:line="75" w:lineRule="exact"/>
        <w:rPr>
          <w:sz w:val="20"/>
          <w:szCs w:val="20"/>
          <w:color w:val="auto"/>
        </w:rPr>
      </w:pPr>
    </w:p>
    <w:p>
      <w:pPr>
        <w:ind w:right="140" w:firstLine="8"/>
        <w:spacing w:after="0" w:line="258" w:lineRule="auto"/>
        <w:tabs>
          <w:tab w:leader="none" w:pos="306"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xml:space="preserve"> The Company shall be entitled to withhold from any amounts payable under this Agreement any federal, state, local, or foreign withholding or other taxes or charges which the Company is required to withhold.</w:t>
      </w:r>
    </w:p>
    <w:p>
      <w:pPr>
        <w:spacing w:after="0" w:line="50" w:lineRule="exact"/>
        <w:rPr>
          <w:rFonts w:ascii="Times New Roman" w:cs="Times New Roman" w:eastAsia="Times New Roman" w:hAnsi="Times New Roman"/>
          <w:sz w:val="22"/>
          <w:szCs w:val="22"/>
          <w:color w:val="auto"/>
        </w:rPr>
      </w:pPr>
    </w:p>
    <w:p>
      <w:pPr>
        <w:ind w:right="140" w:firstLine="8"/>
        <w:spacing w:after="0" w:line="255" w:lineRule="auto"/>
        <w:tabs>
          <w:tab w:leader="none" w:pos="294"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Waiver.</w:t>
      </w:r>
      <w:r>
        <w:rPr>
          <w:rFonts w:ascii="Times New Roman" w:cs="Times New Roman" w:eastAsia="Times New Roman" w:hAnsi="Times New Roman"/>
          <w:sz w:val="21"/>
          <w:szCs w:val="21"/>
          <w:color w:val="auto"/>
        </w:rPr>
        <w:t xml:space="preserve"> No provision of this Agreement shall be modified, waived or dis-charged unless the modification, waiver or discharge is agreed to in writing and signed by Executive and by an authorized member of the Company (other than Executive).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53" w:lineRule="exact"/>
        <w:rPr>
          <w:rFonts w:ascii="Times New Roman" w:cs="Times New Roman" w:eastAsia="Times New Roman" w:hAnsi="Times New Roman"/>
          <w:sz w:val="21"/>
          <w:szCs w:val="21"/>
          <w:color w:val="auto"/>
        </w:rPr>
      </w:pPr>
    </w:p>
    <w:p>
      <w:pPr>
        <w:ind w:right="300" w:firstLine="8"/>
        <w:spacing w:after="0" w:line="238" w:lineRule="auto"/>
        <w:tabs>
          <w:tab w:leader="none" w:pos="306"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Whole Agreement.</w:t>
      </w:r>
      <w:r>
        <w:rPr>
          <w:rFonts w:ascii="Times New Roman" w:cs="Times New Roman" w:eastAsia="Times New Roman" w:hAnsi="Times New Roman"/>
          <w:sz w:val="22"/>
          <w:szCs w:val="22"/>
          <w:color w:val="auto"/>
        </w:rPr>
        <w:t xml:space="preserve"> This Agreement and the Confidential Information Agreement represent the entire understanding of the parties hereto with respect to the subject matter hereof and supersede all prior promises, arrangements and understandings regarding the same, whether written or unwritten, including, without limitation, any severance or change in control benefits in Executive’s offer letter agreement, employment agreement and/or equity award agreement or previously approved by the Company.</w:t>
      </w:r>
    </w:p>
    <w:p>
      <w:pPr>
        <w:spacing w:after="0" w:line="68" w:lineRule="exact"/>
        <w:rPr>
          <w:rFonts w:ascii="Times New Roman" w:cs="Times New Roman" w:eastAsia="Times New Roman" w:hAnsi="Times New Roman"/>
          <w:sz w:val="22"/>
          <w:szCs w:val="22"/>
          <w:color w:val="auto"/>
        </w:rPr>
      </w:pPr>
    </w:p>
    <w:p>
      <w:pPr>
        <w:ind w:right="160" w:firstLine="8"/>
        <w:spacing w:after="0" w:line="258" w:lineRule="auto"/>
        <w:tabs>
          <w:tab w:leader="none" w:pos="294"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Choice of Law.</w:t>
      </w:r>
      <w:r>
        <w:rPr>
          <w:rFonts w:ascii="Times New Roman" w:cs="Times New Roman" w:eastAsia="Times New Roman" w:hAnsi="Times New Roman"/>
          <w:sz w:val="22"/>
          <w:szCs w:val="22"/>
          <w:color w:val="auto"/>
        </w:rPr>
        <w:t xml:space="preserve"> All questions concerning the construction, validity and interpretation of this Agreement will be governed by the laws of the State of California without regard to its conflicts of law provisions.</w:t>
      </w:r>
    </w:p>
    <w:p>
      <w:pPr>
        <w:spacing w:after="0" w:line="50" w:lineRule="exact"/>
        <w:rPr>
          <w:sz w:val="20"/>
          <w:szCs w:val="20"/>
          <w:color w:val="auto"/>
        </w:rPr>
      </w:pPr>
    </w:p>
    <w:p>
      <w:pPr>
        <w:jc w:val="both"/>
        <w:ind w:right="320" w:firstLine="8"/>
        <w:spacing w:after="0" w:line="238" w:lineRule="auto"/>
        <w:tabs>
          <w:tab w:leader="none" w:pos="211"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Whenever possible, each provision of this Agreement will be interpreted in such manner as to be effective and valid under applicable law, but if any provision of this Agreement is held to be invalid or unenforceable in any respect under any applicable law or rule in any jurisdiction, such invalidity or unenforceability will not affect any other provision or any other jurisdiction, but this Agreement will be reformed, construed and enforced in such jurisdiction as if such invalid or unenforceable provisions had never been contained herein.</w:t>
      </w:r>
    </w:p>
    <w:p>
      <w:pPr>
        <w:spacing w:after="0" w:line="69" w:lineRule="exact"/>
        <w:rPr>
          <w:sz w:val="20"/>
          <w:szCs w:val="20"/>
          <w:color w:val="auto"/>
        </w:rPr>
      </w:pPr>
    </w:p>
    <w:p>
      <w:pPr>
        <w:ind w:right="340" w:firstLine="8"/>
        <w:spacing w:after="0" w:line="258" w:lineRule="auto"/>
        <w:tabs>
          <w:tab w:leader="none" w:pos="306"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xml:space="preserve"> This Agreement may be executed in separate counterparts, any one of which need not contain signatures of more than one party, but all of which taken together will constitute one and the same Agreement.</w:t>
      </w:r>
    </w:p>
    <w:p>
      <w:pPr>
        <w:spacing w:after="0" w:line="50" w:lineRule="exact"/>
        <w:rPr>
          <w:rFonts w:ascii="Times New Roman" w:cs="Times New Roman" w:eastAsia="Times New Roman" w:hAnsi="Times New Roman"/>
          <w:sz w:val="22"/>
          <w:szCs w:val="22"/>
          <w:color w:val="auto"/>
        </w:rPr>
      </w:pPr>
    </w:p>
    <w:p>
      <w:pPr>
        <w:jc w:val="both"/>
        <w:ind w:right="340" w:firstLine="8"/>
        <w:spacing w:after="0" w:line="239" w:lineRule="auto"/>
        <w:tabs>
          <w:tab w:leader="none" w:pos="319"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Executive Acknowledgement.</w:t>
      </w:r>
      <w:r>
        <w:rPr>
          <w:rFonts w:ascii="Times New Roman" w:cs="Times New Roman" w:eastAsia="Times New Roman" w:hAnsi="Times New Roman"/>
          <w:sz w:val="22"/>
          <w:szCs w:val="22"/>
          <w:color w:val="auto"/>
        </w:rPr>
        <w:t xml:space="preserve"> Executive acknowledges that (i) Executive has consulted with or has had the opportunity to consult with independent counsel of Executive’s own choice concerning this Agreement, and has been advised to do so by the Company, and (ii) that Executive has read and understands the Agreement, is fully aware of its legal effect, and has entered into it freely based on Executive’s own judgment.</w:t>
      </w:r>
    </w:p>
    <w:p>
      <w:pPr>
        <w:spacing w:after="0" w:line="72" w:lineRule="exact"/>
        <w:rPr>
          <w:rFonts w:ascii="Times New Roman" w:cs="Times New Roman" w:eastAsia="Times New Roman" w:hAnsi="Times New Roman"/>
          <w:sz w:val="22"/>
          <w:szCs w:val="22"/>
          <w:color w:val="auto"/>
        </w:rPr>
      </w:pPr>
    </w:p>
    <w:p>
      <w:pPr>
        <w:jc w:val="both"/>
        <w:ind w:right="340" w:firstLine="8"/>
        <w:spacing w:after="0" w:line="234" w:lineRule="auto"/>
        <w:tabs>
          <w:tab w:leader="none" w:pos="356"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Clawback Acknowledgement. Executive acknowledge that Executive may become subject to the Company’s Compensation Recovery Policy adopted pursuant to Rule 10D-1 promulgated under the Exchange Act and Nasdaq Rule 5608, or any successor rule (the “Clawback Policy”). Executive understands that if he or she is or becomes subject to the Clawback Policy, the Company and/or the Board shall be entitled to recover all Erroneously Awarded Compensation (as defined in the Clawback Policy) from Executive pursuant to such means as the Company and/or the Board may elect. Executive agrees that Executive shall take all required action to enable such recovery. Executive understands that such recovery may be sought and occur after Executive’s employment or service with the Company terminates. Executive further agrees that Executive is not entitled to indemnification for any Erroneously Awarded Compensation or for any claim or losses arising out of or in any way related to Erroneously Awarded Compensation recovered pursuant to the Clawback Policy and, to the extent any agreement or organizational document purports to provide otherwise,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530225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76" w:right="379" w:bottom="1440" w:gutter="0" w:footer="0" w:header="0"/>
        </w:sectPr>
      </w:pPr>
    </w:p>
    <w:bookmarkStart w:id="87" w:name="page88"/>
    <w:bookmarkEnd w:id="87"/>
    <w:p>
      <w:pPr>
        <w:spacing w:after="0" w:line="258" w:lineRule="auto"/>
        <w:rPr>
          <w:sz w:val="20"/>
          <w:szCs w:val="20"/>
          <w:color w:val="auto"/>
        </w:rPr>
      </w:pPr>
      <w:r>
        <w:rPr>
          <w:rFonts w:ascii="Times New Roman" w:cs="Times New Roman" w:eastAsia="Times New Roman" w:hAnsi="Times New Roman"/>
          <w:sz w:val="22"/>
          <w:szCs w:val="22"/>
          <w:color w:val="auto"/>
        </w:rPr>
        <w:t>hereby irrevocably agrees to forego such indemnification. Executive acknowledges and agrees that Executive has received and has had an opportunity to review the Clawback Policy. This Section 14(i) is a material term of this Agreement.</w:t>
      </w:r>
    </w:p>
    <w:p>
      <w:pPr>
        <w:spacing w:after="0" w:line="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789305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976" w:right="719" w:bottom="1440" w:gutter="0" w:footer="0" w:header="0"/>
        </w:sectPr>
      </w:pPr>
    </w:p>
    <w:bookmarkStart w:id="88" w:name="page89"/>
    <w:bookmarkEnd w:id="88"/>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22"/>
          <w:szCs w:val="22"/>
          <w:color w:val="auto"/>
        </w:rPr>
        <w:t>The parties have executed this Agreement, in the case of the Company by its duly authorized member, as of the dates set forth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BIOMEA FUSION, INC.</w:t>
      </w:r>
    </w:p>
    <w:p>
      <w:pPr>
        <w:spacing w:after="0" w:line="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u w:val="single" w:color="auto"/>
          <w:color w:val="auto"/>
        </w:rPr>
        <w:t>/s/ Ramses Erdtmann</w:t>
      </w:r>
    </w:p>
    <w:p>
      <w:pPr>
        <w:jc w:val="right"/>
        <w:spacing w:after="0" w:line="230" w:lineRule="auto"/>
        <w:rPr>
          <w:sz w:val="20"/>
          <w:szCs w:val="20"/>
          <w:color w:val="auto"/>
        </w:rPr>
      </w:pPr>
      <w:r>
        <w:rPr>
          <w:rFonts w:ascii="Times New Roman" w:cs="Times New Roman" w:eastAsia="Times New Roman" w:hAnsi="Times New Roman"/>
          <w:sz w:val="22"/>
          <w:szCs w:val="22"/>
          <w:color w:val="auto"/>
        </w:rPr>
        <w:t>Ramses Erdtmann</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President</w:t>
      </w:r>
    </w:p>
    <w:p>
      <w:pPr>
        <w:spacing w:after="0" w:line="209" w:lineRule="exact"/>
        <w:rPr>
          <w:sz w:val="20"/>
          <w:szCs w:val="20"/>
          <w:color w:val="auto"/>
        </w:rPr>
      </w:pPr>
    </w:p>
    <w:p>
      <w:pPr>
        <w:ind w:left="9160"/>
        <w:spacing w:after="0"/>
        <w:rPr>
          <w:sz w:val="20"/>
          <w:szCs w:val="20"/>
          <w:color w:val="auto"/>
        </w:rPr>
      </w:pPr>
      <w:r>
        <w:rPr>
          <w:rFonts w:ascii="Times New Roman" w:cs="Times New Roman" w:eastAsia="Times New Roman" w:hAnsi="Times New Roman"/>
          <w:sz w:val="22"/>
          <w:szCs w:val="22"/>
          <w:color w:val="auto"/>
        </w:rPr>
        <w:t>Date: October 15, 2025</w:t>
      </w: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u w:val="single" w:color="auto"/>
          <w:color w:val="auto"/>
        </w:rPr>
        <w:t>/s/ Michael J.M. Hitchcock</w:t>
      </w:r>
    </w:p>
    <w:p>
      <w:pPr>
        <w:jc w:val="right"/>
        <w:spacing w:after="0"/>
        <w:rPr>
          <w:sz w:val="20"/>
          <w:szCs w:val="20"/>
          <w:color w:val="auto"/>
        </w:rPr>
      </w:pPr>
      <w:r>
        <w:rPr>
          <w:rFonts w:ascii="Times New Roman" w:cs="Times New Roman" w:eastAsia="Times New Roman" w:hAnsi="Times New Roman"/>
          <w:sz w:val="22"/>
          <w:szCs w:val="22"/>
          <w:color w:val="auto"/>
        </w:rPr>
        <w:t>Michael J.M. Hitchcock</w:t>
      </w:r>
    </w:p>
    <w:p>
      <w:pPr>
        <w:spacing w:after="0" w:line="209" w:lineRule="exact"/>
        <w:rPr>
          <w:sz w:val="20"/>
          <w:szCs w:val="20"/>
          <w:color w:val="auto"/>
        </w:rPr>
      </w:pPr>
    </w:p>
    <w:p>
      <w:pPr>
        <w:ind w:left="9160"/>
        <w:spacing w:after="0"/>
        <w:rPr>
          <w:sz w:val="20"/>
          <w:szCs w:val="20"/>
          <w:color w:val="auto"/>
        </w:rPr>
      </w:pPr>
      <w:r>
        <w:rPr>
          <w:rFonts w:ascii="Times New Roman" w:cs="Times New Roman" w:eastAsia="Times New Roman" w:hAnsi="Times New Roman"/>
          <w:sz w:val="22"/>
          <w:szCs w:val="22"/>
          <w:color w:val="auto"/>
        </w:rPr>
        <w:t>Date: October 20,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615315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J.M. Hitchcock, certify that:</w:t>
      </w:r>
    </w:p>
    <w:p>
      <w:pPr>
        <w:spacing w:after="0" w:line="117" w:lineRule="exact"/>
        <w:rPr>
          <w:sz w:val="20"/>
          <w:szCs w:val="20"/>
          <w:color w:val="auto"/>
        </w:rPr>
      </w:pPr>
    </w:p>
    <w:p>
      <w:pPr>
        <w:ind w:left="520" w:hanging="512"/>
        <w:spacing w:after="0"/>
        <w:tabs>
          <w:tab w:leader="none" w:pos="5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Biomea Fusion,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p>
      <w:pPr>
        <w:spacing w:after="0"/>
        <w:tabs>
          <w:tab w:leader="none" w:pos="5660" w:val="left"/>
          <w:tab w:leader="none" w:pos="7680" w:val="left"/>
        </w:tabs>
        <w:rPr>
          <w:sz w:val="20"/>
          <w:szCs w:val="20"/>
          <w:color w:val="auto"/>
        </w:rPr>
      </w:pPr>
      <w:r>
        <w:rPr>
          <w:rFonts w:ascii="Times New Roman" w:cs="Times New Roman" w:eastAsia="Times New Roman" w:hAnsi="Times New Roman"/>
          <w:sz w:val="18"/>
          <w:szCs w:val="18"/>
          <w:color w:val="auto"/>
        </w:rPr>
        <w:t>Date: May 11,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J.M. Hitchcock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17145</wp:posOffset>
            </wp:positionV>
            <wp:extent cx="324866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9">
                      <a:extLst>
                        <a:ext uri="{28A0092B-C50C-407E-A947-70E740481C1C}"/>
                      </a:extLst>
                    </a:blip>
                    <a:srcRect/>
                    <a:stretch>
                      <a:fillRect/>
                    </a:stretch>
                  </pic:blipFill>
                  <pic:spPr bwMode="auto">
                    <a:xfrm>
                      <a:off x="0" y="0"/>
                      <a:ext cx="3248660" cy="8890"/>
                    </a:xfrm>
                    <a:prstGeom prst="rect">
                      <a:avLst/>
                    </a:prstGeom>
                    <a:noFill/>
                  </pic:spPr>
                </pic:pic>
              </a:graphicData>
            </a:graphic>
          </wp:anchor>
        </w:drawing>
      </w:r>
    </w:p>
    <w:p>
      <w:pPr>
        <w:spacing w:after="0" w:line="21"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Michael J.M. Hitchcock</w:t>
      </w:r>
    </w:p>
    <w:p>
      <w:pPr>
        <w:spacing w:after="0" w:line="9"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i w:val="1"/>
          <w:iCs w:val="1"/>
          <w:color w:val="auto"/>
        </w:rPr>
        <w:t>Interim Chief Executive Officer, Director</w:t>
      </w:r>
    </w:p>
    <w:p>
      <w:pPr>
        <w:spacing w:after="0" w:line="9"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Rainer Erdtmann, certify that:</w:t>
      </w:r>
    </w:p>
    <w:p>
      <w:pPr>
        <w:spacing w:after="0" w:line="117" w:lineRule="exact"/>
        <w:rPr>
          <w:sz w:val="20"/>
          <w:szCs w:val="20"/>
          <w:color w:val="auto"/>
        </w:rPr>
      </w:pPr>
    </w:p>
    <w:p>
      <w:pPr>
        <w:ind w:left="520" w:hanging="512"/>
        <w:spacing w:after="0"/>
        <w:tabs>
          <w:tab w:leader="none" w:pos="5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Biomea Fusion,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p>
      <w:pPr>
        <w:spacing w:after="0"/>
        <w:tabs>
          <w:tab w:leader="none" w:pos="5660" w:val="left"/>
          <w:tab w:leader="none" w:pos="7940" w:val="left"/>
        </w:tabs>
        <w:rPr>
          <w:sz w:val="20"/>
          <w:szCs w:val="20"/>
          <w:color w:val="auto"/>
        </w:rPr>
      </w:pPr>
      <w:r>
        <w:rPr>
          <w:rFonts w:ascii="Times New Roman" w:cs="Times New Roman" w:eastAsia="Times New Roman" w:hAnsi="Times New Roman"/>
          <w:sz w:val="18"/>
          <w:szCs w:val="18"/>
          <w:color w:val="auto"/>
        </w:rPr>
        <w:t>Date: May 11,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Rainer Erdtmann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17145</wp:posOffset>
            </wp:positionV>
            <wp:extent cx="324866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1">
                      <a:extLst>
                        <a:ext uri="{28A0092B-C50C-407E-A947-70E740481C1C}"/>
                      </a:extLst>
                    </a:blip>
                    <a:srcRect/>
                    <a:stretch>
                      <a:fillRect/>
                    </a:stretch>
                  </pic:blipFill>
                  <pic:spPr bwMode="auto">
                    <a:xfrm>
                      <a:off x="0" y="0"/>
                      <a:ext cx="3248660" cy="8890"/>
                    </a:xfrm>
                    <a:prstGeom prst="rect">
                      <a:avLst/>
                    </a:prstGeom>
                    <a:noFill/>
                  </pic:spPr>
                </pic:pic>
              </a:graphicData>
            </a:graphic>
          </wp:anchor>
        </w:drawing>
      </w:r>
    </w:p>
    <w:p>
      <w:pPr>
        <w:spacing w:after="0" w:line="21"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Rainer Erdtmann</w:t>
      </w:r>
    </w:p>
    <w:p>
      <w:pPr>
        <w:spacing w:after="0" w:line="9"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i w:val="1"/>
          <w:iCs w:val="1"/>
          <w:color w:val="auto"/>
        </w:rPr>
        <w:t>Chief Operating Officer, Director</w:t>
      </w:r>
    </w:p>
    <w:p>
      <w:pPr>
        <w:spacing w:after="0" w:line="9"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Biomea Fusion, Inc. (the “Company”) on Form 10-Q for the period ended March 31, 2026 as filed with the Securities and Exchange Commission on the date hereof (the “Report”), I certify, pursuant to 18 U.S.C. Section 1350, as adopted pursuant to Section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tabs>
          <w:tab w:leader="none" w:pos="5680" w:val="left"/>
          <w:tab w:leader="none" w:pos="7640" w:val="left"/>
        </w:tabs>
        <w:rPr>
          <w:sz w:val="20"/>
          <w:szCs w:val="20"/>
          <w:color w:val="auto"/>
        </w:rPr>
      </w:pPr>
      <w:r>
        <w:rPr>
          <w:rFonts w:ascii="Times New Roman" w:cs="Times New Roman" w:eastAsia="Times New Roman" w:hAnsi="Times New Roman"/>
          <w:sz w:val="18"/>
          <w:szCs w:val="18"/>
          <w:color w:val="auto"/>
        </w:rPr>
        <w:t>Date: May 11,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J.M. Hitchcock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3">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Michael J.M. Hitchcock</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i w:val="1"/>
          <w:iCs w:val="1"/>
          <w:color w:val="auto"/>
        </w:rPr>
        <w:t>Interim Chief Executive Officer, Director</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Biomea Fusion, Inc. (the “Company”) on Form 10-Q for the period ended March 31, 2026 as filed with the Securities and Exchange Commission on the date hereof (the “Report”), I certify, pursuant to 18 U.S.C. Section 1350, as adopted pursuant to Section 906 of the Sarbanes-Oxley Act of 2002, that:</w:t>
      </w:r>
    </w:p>
    <w:p>
      <w:pPr>
        <w:spacing w:after="0" w:line="176" w:lineRule="exact"/>
        <w:rPr>
          <w:sz w:val="20"/>
          <w:szCs w:val="20"/>
          <w:color w:val="auto"/>
        </w:rPr>
      </w:pPr>
    </w:p>
    <w:p>
      <w:pPr>
        <w:ind w:left="1020" w:hanging="503"/>
        <w:spacing w:after="0"/>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tabs>
          <w:tab w:leader="none" w:pos="5680" w:val="left"/>
          <w:tab w:leader="none" w:pos="7880" w:val="left"/>
        </w:tabs>
        <w:rPr>
          <w:sz w:val="20"/>
          <w:szCs w:val="20"/>
          <w:color w:val="auto"/>
        </w:rPr>
      </w:pPr>
      <w:r>
        <w:rPr>
          <w:rFonts w:ascii="Times New Roman" w:cs="Times New Roman" w:eastAsia="Times New Roman" w:hAnsi="Times New Roman"/>
          <w:sz w:val="18"/>
          <w:szCs w:val="18"/>
          <w:color w:val="auto"/>
        </w:rPr>
        <w:t>Date: May 11,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Rainer Erdtmann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Rainer Erdtmann</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i w:val="1"/>
          <w:iCs w:val="1"/>
          <w:color w:val="auto"/>
        </w:rPr>
        <w:t>Chief Operating Officer, Director</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3" w:name="page94"/>
    <w:bookmarkEnd w:id="9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
      <w:numFmt w:val="bullet"/>
      <w:start w:val="1"/>
    </w:lvl>
  </w:abstractNum>
  <w:abstractNum w:abstractNumId="3">
    <w:nsid w:val="77465F01"/>
    <w:multiLevelType w:val="hybridMultilevel"/>
    <w:lvl w:ilvl="0">
      <w:lvlJc w:val="left"/>
      <w:lvlText w:val="•"/>
      <w:numFmt w:val="bullet"/>
      <w:start w:val="1"/>
    </w:lvl>
  </w:abstractNum>
  <w:abstractNum w:abstractNumId="4">
    <w:nsid w:val="7724C67E"/>
    <w:multiLevelType w:val="hybridMultilevel"/>
    <w:lvl w:ilvl="0">
      <w:lvlJc w:val="left"/>
      <w:lvlText w:val="•"/>
      <w:numFmt w:val="bullet"/>
      <w:start w:val="1"/>
    </w:lvl>
  </w:abstractNum>
  <w:abstractNum w:abstractNumId="5">
    <w:nsid w:val="5C482A97"/>
    <w:multiLevelType w:val="hybridMultilevel"/>
    <w:lvl w:ilvl="0">
      <w:lvlJc w:val="left"/>
      <w:lvlText w:val="•"/>
      <w:numFmt w:val="bullet"/>
      <w:start w:val="1"/>
    </w:lvl>
  </w:abstractNum>
  <w:abstractNum w:abstractNumId="6">
    <w:nsid w:val="2463B9EA"/>
    <w:multiLevelType w:val="hybridMultilevel"/>
    <w:lvl w:ilvl="0">
      <w:lvlJc w:val="left"/>
      <w:lvlText w:val="•"/>
      <w:numFmt w:val="bullet"/>
      <w:start w:val="1"/>
    </w:lvl>
  </w:abstractNum>
  <w:abstractNum w:abstractNumId="7">
    <w:nsid w:val="5E884ADC"/>
    <w:multiLevelType w:val="hybridMultilevel"/>
    <w:lvl w:ilvl="0">
      <w:lvlJc w:val="left"/>
      <w:lvlText w:val="•"/>
      <w:numFmt w:val="bullet"/>
      <w:start w:val="1"/>
    </w:lvl>
  </w:abstractNum>
  <w:abstractNum w:abstractNumId="8">
    <w:nsid w:val="51EAD36B"/>
    <w:multiLevelType w:val="hybridMultilevel"/>
    <w:lvl w:ilvl="0">
      <w:lvlJc w:val="left"/>
      <w:lvlText w:val="•"/>
      <w:numFmt w:val="bullet"/>
      <w:start w:val="1"/>
    </w:lvl>
  </w:abstractNum>
  <w:abstractNum w:abstractNumId="9">
    <w:nsid w:val="2D517796"/>
    <w:multiLevelType w:val="hybridMultilevel"/>
    <w:lvl w:ilvl="0">
      <w:lvlJc w:val="left"/>
      <w:lvlText w:val="•"/>
      <w:numFmt w:val="bullet"/>
      <w:start w:val="1"/>
    </w:lvl>
  </w:abstractNum>
  <w:abstractNum w:abstractNumId="10">
    <w:nsid w:val="580BD78F"/>
    <w:multiLevelType w:val="hybridMultilevel"/>
    <w:lvl w:ilvl="0">
      <w:lvlJc w:val="left"/>
      <w:lvlText w:val="•"/>
      <w:numFmt w:val="bullet"/>
      <w:start w:val="1"/>
    </w:lvl>
  </w:abstractNum>
  <w:abstractNum w:abstractNumId="11">
    <w:nsid w:val="153EA438"/>
    <w:multiLevelType w:val="hybridMultilevel"/>
    <w:lvl w:ilvl="0">
      <w:lvlJc w:val="left"/>
      <w:lvlText w:val="•"/>
      <w:numFmt w:val="bullet"/>
      <w:start w:val="1"/>
    </w:lvl>
  </w:abstractNum>
  <w:abstractNum w:abstractNumId="12">
    <w:nsid w:val="3855585C"/>
    <w:multiLevelType w:val="hybridMultilevel"/>
    <w:lvl w:ilvl="0">
      <w:lvlJc w:val="left"/>
      <w:lvlText w:val="•"/>
      <w:numFmt w:val="bullet"/>
      <w:start w:val="1"/>
    </w:lvl>
  </w:abstractNum>
  <w:abstractNum w:abstractNumId="13">
    <w:nsid w:val="70A64E2A"/>
    <w:multiLevelType w:val="hybridMultilevel"/>
    <w:lvl w:ilvl="0">
      <w:lvlJc w:val="left"/>
      <w:lvlText w:val="•"/>
      <w:numFmt w:val="bullet"/>
      <w:start w:val="1"/>
    </w:lvl>
  </w:abstractNum>
  <w:abstractNum w:abstractNumId="14">
    <w:nsid w:val="6A2342EC"/>
    <w:multiLevelType w:val="hybridMultilevel"/>
    <w:lvl w:ilvl="0">
      <w:lvlJc w:val="left"/>
      <w:lvlText w:val="•"/>
      <w:numFmt w:val="bullet"/>
      <w:start w:val="1"/>
    </w:lvl>
  </w:abstractNum>
  <w:abstractNum w:abstractNumId="15">
    <w:nsid w:val="2A487CB0"/>
    <w:multiLevelType w:val="hybridMultilevel"/>
    <w:lvl w:ilvl="0">
      <w:lvlJc w:val="left"/>
      <w:lvlText w:val="•"/>
      <w:numFmt w:val="bullet"/>
      <w:start w:val="1"/>
    </w:lvl>
  </w:abstractNum>
  <w:abstractNum w:abstractNumId="16">
    <w:nsid w:val="1D4ED43B"/>
    <w:multiLevelType w:val="hybridMultilevel"/>
    <w:lvl w:ilvl="0">
      <w:lvlJc w:val="left"/>
      <w:lvlText w:val="•"/>
      <w:numFmt w:val="bullet"/>
      <w:start w:val="1"/>
    </w:lvl>
  </w:abstractNum>
  <w:abstractNum w:abstractNumId="17">
    <w:nsid w:val="725A06FB"/>
    <w:multiLevelType w:val="hybridMultilevel"/>
    <w:lvl w:ilvl="0">
      <w:lvlJc w:val="left"/>
      <w:lvlText w:val="•"/>
      <w:numFmt w:val="bullet"/>
      <w:start w:val="1"/>
    </w:lvl>
  </w:abstractNum>
  <w:abstractNum w:abstractNumId="18">
    <w:nsid w:val="2CD89A32"/>
    <w:multiLevelType w:val="hybridMultilevel"/>
    <w:lvl w:ilvl="0">
      <w:lvlJc w:val="left"/>
      <w:lvlText w:val="•"/>
      <w:numFmt w:val="bullet"/>
      <w:start w:val="1"/>
    </w:lvl>
  </w:abstractNum>
  <w:abstractNum w:abstractNumId="19">
    <w:nsid w:val="57E4CCAF"/>
    <w:multiLevelType w:val="hybridMultilevel"/>
    <w:lvl w:ilvl="0">
      <w:lvlJc w:val="left"/>
      <w:lvlText w:val="•"/>
      <w:numFmt w:val="bullet"/>
      <w:start w:val="1"/>
    </w:lvl>
  </w:abstractNum>
  <w:abstractNum w:abstractNumId="20">
    <w:nsid w:val="7A6D8D3C"/>
    <w:multiLevelType w:val="hybridMultilevel"/>
    <w:lvl w:ilvl="0">
      <w:lvlJc w:val="left"/>
      <w:lvlText w:val="•"/>
      <w:numFmt w:val="bullet"/>
      <w:start w:val="1"/>
    </w:lvl>
  </w:abstractNum>
  <w:abstractNum w:abstractNumId="21">
    <w:nsid w:val="4B588F54"/>
    <w:multiLevelType w:val="hybridMultilevel"/>
    <w:lvl w:ilvl="0">
      <w:lvlJc w:val="left"/>
      <w:lvlText w:val="•"/>
      <w:numFmt w:val="bullet"/>
      <w:start w:val="1"/>
    </w:lvl>
  </w:abstractNum>
  <w:abstractNum w:abstractNumId="22">
    <w:nsid w:val="542289EC"/>
    <w:multiLevelType w:val="hybridMultilevel"/>
    <w:lvl w:ilvl="0">
      <w:lvlJc w:val="left"/>
      <w:lvlText w:val="•"/>
      <w:numFmt w:val="bullet"/>
      <w:start w:val="1"/>
    </w:lvl>
  </w:abstractNum>
  <w:abstractNum w:abstractNumId="23">
    <w:nsid w:val="6DE91B18"/>
    <w:multiLevelType w:val="hybridMultilevel"/>
    <w:lvl w:ilvl="0">
      <w:lvlJc w:val="left"/>
      <w:lvlText w:val="•"/>
      <w:numFmt w:val="bullet"/>
      <w:start w:val="1"/>
    </w:lvl>
  </w:abstractNum>
  <w:abstractNum w:abstractNumId="24">
    <w:nsid w:val="38437FDB"/>
    <w:multiLevelType w:val="hybridMultilevel"/>
    <w:lvl w:ilvl="0">
      <w:lvlJc w:val="left"/>
      <w:lvlText w:val="•"/>
      <w:numFmt w:val="bullet"/>
      <w:start w:val="1"/>
    </w:lvl>
  </w:abstractNum>
  <w:abstractNum w:abstractNumId="25">
    <w:nsid w:val="7644A45C"/>
    <w:multiLevelType w:val="hybridMultilevel"/>
    <w:lvl w:ilvl="0">
      <w:lvlJc w:val="left"/>
      <w:lvlText w:val="•"/>
      <w:numFmt w:val="bullet"/>
      <w:start w:val="1"/>
    </w:lvl>
  </w:abstractNum>
  <w:abstractNum w:abstractNumId="26">
    <w:nsid w:val="32FFF902"/>
    <w:multiLevelType w:val="hybridMultilevel"/>
    <w:lvl w:ilvl="0">
      <w:lvlJc w:val="left"/>
      <w:lvlText w:val="•"/>
      <w:numFmt w:val="bullet"/>
      <w:start w:val="1"/>
    </w:lvl>
  </w:abstractNum>
  <w:abstractNum w:abstractNumId="27">
    <w:nsid w:val="684A481A"/>
    <w:multiLevelType w:val="hybridMultilevel"/>
    <w:lvl w:ilvl="0">
      <w:lvlJc w:val="left"/>
      <w:lvlText w:val="•"/>
      <w:numFmt w:val="bullet"/>
      <w:start w:val="1"/>
    </w:lvl>
  </w:abstractNum>
  <w:abstractNum w:abstractNumId="28">
    <w:nsid w:val="579478FE"/>
    <w:multiLevelType w:val="hybridMultilevel"/>
    <w:lvl w:ilvl="0">
      <w:lvlJc w:val="left"/>
      <w:lvlText w:val="•"/>
      <w:numFmt w:val="bullet"/>
      <w:start w:val="1"/>
    </w:lvl>
  </w:abstractNum>
  <w:abstractNum w:abstractNumId="29">
    <w:nsid w:val="749ABB43"/>
    <w:multiLevelType w:val="hybridMultilevel"/>
    <w:lvl w:ilvl="0">
      <w:lvlJc w:val="left"/>
      <w:lvlText w:val="•"/>
      <w:numFmt w:val="bullet"/>
      <w:start w:val="1"/>
    </w:lvl>
  </w:abstractNum>
  <w:abstractNum w:abstractNumId="30">
    <w:nsid w:val="3DC240FB"/>
    <w:multiLevelType w:val="hybridMultilevel"/>
    <w:lvl w:ilvl="0">
      <w:lvlJc w:val="left"/>
      <w:lvlText w:val="•"/>
      <w:numFmt w:val="bullet"/>
      <w:start w:val="1"/>
    </w:lvl>
  </w:abstractNum>
  <w:abstractNum w:abstractNumId="31">
    <w:nsid w:val="1BA026FA"/>
    <w:multiLevelType w:val="hybridMultilevel"/>
    <w:lvl w:ilvl="0">
      <w:lvlJc w:val="left"/>
      <w:lvlText w:val="•"/>
      <w:numFmt w:val="bullet"/>
      <w:start w:val="1"/>
    </w:lvl>
  </w:abstractNum>
  <w:abstractNum w:abstractNumId="32">
    <w:nsid w:val="79A1DEAA"/>
    <w:multiLevelType w:val="hybridMultilevel"/>
    <w:lvl w:ilvl="0">
      <w:lvlJc w:val="left"/>
      <w:lvlText w:val="•"/>
      <w:numFmt w:val="bullet"/>
      <w:start w:val="1"/>
    </w:lvl>
  </w:abstractNum>
  <w:abstractNum w:abstractNumId="33">
    <w:nsid w:val="75C6C33A"/>
    <w:multiLevelType w:val="hybridMultilevel"/>
    <w:lvl w:ilvl="0">
      <w:lvlJc w:val="left"/>
      <w:lvlText w:val="•"/>
      <w:numFmt w:val="bullet"/>
      <w:start w:val="1"/>
    </w:lvl>
  </w:abstractNum>
  <w:abstractNum w:abstractNumId="34">
    <w:nsid w:val="12E685FB"/>
    <w:multiLevelType w:val="hybridMultilevel"/>
    <w:lvl w:ilvl="0">
      <w:lvlJc w:val="left"/>
      <w:lvlText w:val="•"/>
      <w:numFmt w:val="bullet"/>
      <w:start w:val="1"/>
    </w:lvl>
  </w:abstractNum>
  <w:abstractNum w:abstractNumId="35">
    <w:nsid w:val="70C6A529"/>
    <w:multiLevelType w:val="hybridMultilevel"/>
    <w:lvl w:ilvl="0">
      <w:lvlJc w:val="left"/>
      <w:lvlText w:val="•"/>
      <w:numFmt w:val="bullet"/>
      <w:start w:val="1"/>
    </w:lvl>
  </w:abstractNum>
  <w:abstractNum w:abstractNumId="36">
    <w:nsid w:val="520EEDD1"/>
    <w:multiLevelType w:val="hybridMultilevel"/>
    <w:lvl w:ilvl="0">
      <w:lvlJc w:val="left"/>
      <w:lvlText w:val="•"/>
      <w:numFmt w:val="bullet"/>
      <w:start w:val="1"/>
    </w:lvl>
  </w:abstractNum>
  <w:abstractNum w:abstractNumId="37">
    <w:nsid w:val="374A3FE6"/>
    <w:multiLevelType w:val="hybridMultilevel"/>
    <w:lvl w:ilvl="0">
      <w:lvlJc w:val="left"/>
      <w:lvlText w:val="•"/>
      <w:numFmt w:val="bullet"/>
      <w:start w:val="1"/>
    </w:lvl>
  </w:abstractNum>
  <w:abstractNum w:abstractNumId="38">
    <w:nsid w:val="4F4EF005"/>
    <w:multiLevelType w:val="hybridMultilevel"/>
    <w:lvl w:ilvl="0">
      <w:lvlJc w:val="left"/>
      <w:lvlText w:val="•"/>
      <w:numFmt w:val="bullet"/>
      <w:start w:val="1"/>
    </w:lvl>
  </w:abstractNum>
  <w:abstractNum w:abstractNumId="39">
    <w:nsid w:val="23F9C13C"/>
    <w:multiLevelType w:val="hybridMultilevel"/>
    <w:lvl w:ilvl="0">
      <w:lvlJc w:val="left"/>
      <w:lvlText w:val="•"/>
      <w:numFmt w:val="bullet"/>
      <w:start w:val="1"/>
    </w:lvl>
  </w:abstractNum>
  <w:abstractNum w:abstractNumId="40">
    <w:nsid w:val="649BB77C"/>
    <w:multiLevelType w:val="hybridMultilevel"/>
    <w:lvl w:ilvl="0">
      <w:lvlJc w:val="left"/>
      <w:lvlText w:val="•"/>
      <w:numFmt w:val="bullet"/>
      <w:start w:val="1"/>
    </w:lvl>
  </w:abstractNum>
  <w:abstractNum w:abstractNumId="41">
    <w:nsid w:val="275AC794"/>
    <w:multiLevelType w:val="hybridMultilevel"/>
    <w:lvl w:ilvl="0">
      <w:lvlJc w:val="left"/>
      <w:lvlText w:val="•"/>
      <w:numFmt w:val="bullet"/>
      <w:start w:val="1"/>
    </w:lvl>
  </w:abstractNum>
  <w:abstractNum w:abstractNumId="42">
    <w:nsid w:val="39386575"/>
    <w:multiLevelType w:val="hybridMultilevel"/>
    <w:lvl w:ilvl="0">
      <w:lvlJc w:val="left"/>
      <w:lvlText w:val="•"/>
      <w:numFmt w:val="bullet"/>
      <w:start w:val="1"/>
    </w:lvl>
  </w:abstractNum>
  <w:abstractNum w:abstractNumId="43">
    <w:nsid w:val="1CF10FD8"/>
    <w:multiLevelType w:val="hybridMultilevel"/>
    <w:lvl w:ilvl="0">
      <w:lvlJc w:val="left"/>
      <w:lvlText w:val="•"/>
      <w:numFmt w:val="bullet"/>
      <w:start w:val="1"/>
    </w:lvl>
  </w:abstractNum>
  <w:abstractNum w:abstractNumId="44">
    <w:nsid w:val="180115BE"/>
    <w:multiLevelType w:val="hybridMultilevel"/>
    <w:lvl w:ilvl="0">
      <w:lvlJc w:val="left"/>
      <w:lvlText w:val="•"/>
      <w:numFmt w:val="bullet"/>
      <w:start w:val="1"/>
    </w:lvl>
  </w:abstractNum>
  <w:abstractNum w:abstractNumId="45">
    <w:nsid w:val="235BA861"/>
    <w:multiLevelType w:val="hybridMultilevel"/>
    <w:lvl w:ilvl="0">
      <w:lvlJc w:val="left"/>
      <w:lvlText w:val="(%1)"/>
      <w:numFmt w:val="lowerLetter"/>
      <w:start w:val="3"/>
    </w:lvl>
  </w:abstractNum>
  <w:abstractNum w:abstractNumId="46">
    <w:nsid w:val="47398C89"/>
    <w:multiLevelType w:val="hybridMultilevel"/>
    <w:lvl w:ilvl="0">
      <w:lvlJc w:val="left"/>
      <w:lvlText w:val="#"/>
      <w:numFmt w:val="bullet"/>
      <w:start w:val="1"/>
    </w:lvl>
  </w:abstractNum>
  <w:abstractNum w:abstractNumId="47">
    <w:nsid w:val="354FE9F9"/>
    <w:multiLevelType w:val="hybridMultilevel"/>
    <w:lvl w:ilvl="0">
      <w:lvlJc w:val="left"/>
      <w:lvlText w:val="*"/>
      <w:numFmt w:val="bullet"/>
      <w:start w:val="1"/>
    </w:lvl>
  </w:abstractNum>
  <w:abstractNum w:abstractNumId="48">
    <w:nsid w:val="15B5AF5C"/>
    <w:multiLevelType w:val="hybridMultilevel"/>
    <w:lvl w:ilvl="0">
      <w:lvlJc w:val="left"/>
      <w:lvlText w:val="%1."/>
      <w:numFmt w:val="decimal"/>
      <w:start w:val="1"/>
    </w:lvl>
  </w:abstractNum>
  <w:abstractNum w:abstractNumId="49">
    <w:nsid w:val="741226BB"/>
    <w:multiLevelType w:val="hybridMultilevel"/>
    <w:lvl w:ilvl="0">
      <w:lvlJc w:val="left"/>
      <w:lvlText w:val="(%1)"/>
      <w:numFmt w:val="lowerLetter"/>
      <w:start w:val="1"/>
    </w:lvl>
  </w:abstractNum>
  <w:abstractNum w:abstractNumId="50">
    <w:nsid w:val="D34B6A8"/>
    <w:multiLevelType w:val="hybridMultilevel"/>
    <w:lvl w:ilvl="0">
      <w:lvlJc w:val="left"/>
      <w:lvlText w:val="(%1)"/>
      <w:numFmt w:val="lowerLetter"/>
      <w:start w:val="2"/>
    </w:lvl>
  </w:abstractNum>
  <w:abstractNum w:abstractNumId="51">
    <w:nsid w:val="10233C99"/>
    <w:multiLevelType w:val="hybridMultilevel"/>
    <w:lvl w:ilvl="0">
      <w:lvlJc w:val="left"/>
      <w:lvlText w:val="%1."/>
      <w:numFmt w:val="decimal"/>
      <w:start w:val="4"/>
    </w:lvl>
  </w:abstractNum>
  <w:abstractNum w:abstractNumId="52">
    <w:nsid w:val="3F6AB60F"/>
    <w:multiLevelType w:val="hybridMultilevel"/>
    <w:lvl w:ilvl="0">
      <w:lvlJc w:val="left"/>
      <w:lvlText w:val="(%1)"/>
      <w:numFmt w:val="lowerLetter"/>
      <w:start w:val="1"/>
    </w:lvl>
  </w:abstractNum>
  <w:abstractNum w:abstractNumId="53">
    <w:nsid w:val="61574095"/>
    <w:multiLevelType w:val="hybridMultilevel"/>
    <w:lvl w:ilvl="0">
      <w:lvlJc w:val="left"/>
      <w:lvlText w:val="(%1)"/>
      <w:numFmt w:val="lowerLetter"/>
      <w:start w:val="4"/>
    </w:lvl>
  </w:abstractNum>
  <w:abstractNum w:abstractNumId="54">
    <w:nsid w:val="7E0C57B1"/>
    <w:multiLevelType w:val="hybridMultilevel"/>
    <w:lvl w:ilvl="0">
      <w:lvlJc w:val="left"/>
      <w:lvlText w:val="%1."/>
      <w:numFmt w:val="decimal"/>
      <w:start w:val="5"/>
    </w:lvl>
  </w:abstractNum>
  <w:abstractNum w:abstractNumId="55">
    <w:nsid w:val="77AE35EB"/>
    <w:multiLevelType w:val="hybridMultilevel"/>
    <w:lvl w:ilvl="0">
      <w:lvlJc w:val="left"/>
      <w:lvlText w:val="(%1)"/>
      <w:numFmt w:val="lowerLetter"/>
      <w:start w:val="1"/>
    </w:lvl>
  </w:abstractNum>
  <w:abstractNum w:abstractNumId="56">
    <w:nsid w:val="579BE4F1"/>
    <w:multiLevelType w:val="hybridMultilevel"/>
    <w:lvl w:ilvl="0">
      <w:lvlJc w:val="left"/>
      <w:lvlText w:val="%1."/>
      <w:numFmt w:val="decimal"/>
      <w:start w:val="10"/>
    </w:lvl>
  </w:abstractNum>
  <w:abstractNum w:abstractNumId="57">
    <w:nsid w:val="310C50B3"/>
    <w:multiLevelType w:val="hybridMultilevel"/>
    <w:lvl w:ilvl="0">
      <w:lvlJc w:val="left"/>
      <w:lvlText w:val="(%1)"/>
      <w:numFmt w:val="lowerLetter"/>
      <w:start w:val="1"/>
    </w:lvl>
  </w:abstractNum>
  <w:abstractNum w:abstractNumId="58">
    <w:nsid w:val="5FF87E05"/>
    <w:multiLevelType w:val="hybridMultilevel"/>
    <w:lvl w:ilvl="0">
      <w:lvlJc w:val="left"/>
      <w:lvlText w:val="%1."/>
      <w:numFmt w:val="decimal"/>
      <w:start w:val="11"/>
    </w:lvl>
  </w:abstractNum>
  <w:abstractNum w:abstractNumId="59">
    <w:nsid w:val="2F305DEF"/>
    <w:multiLevelType w:val="hybridMultilevel"/>
    <w:lvl w:ilvl="0">
      <w:lvlJc w:val="left"/>
      <w:lvlText w:val="(%1)"/>
      <w:numFmt w:val="lowerLetter"/>
      <w:start w:val="1"/>
    </w:lvl>
  </w:abstractNum>
  <w:abstractNum w:abstractNumId="60">
    <w:nsid w:val="25A70BF7"/>
    <w:multiLevelType w:val="hybridMultilevel"/>
    <w:lvl w:ilvl="0">
      <w:lvlJc w:val="left"/>
      <w:lvlText w:val="%1."/>
      <w:numFmt w:val="decimal"/>
      <w:start w:val="13"/>
    </w:lvl>
  </w:abstractNum>
  <w:abstractNum w:abstractNumId="61">
    <w:nsid w:val="1DBABF00"/>
    <w:multiLevelType w:val="hybridMultilevel"/>
    <w:lvl w:ilvl="0">
      <w:lvlJc w:val="left"/>
      <w:lvlText w:val="%1."/>
      <w:numFmt w:val="decimal"/>
      <w:start w:val="14"/>
    </w:lvl>
  </w:abstractNum>
  <w:abstractNum w:abstractNumId="62">
    <w:nsid w:val="4AD084E9"/>
    <w:multiLevelType w:val="hybridMultilevel"/>
    <w:lvl w:ilvl="0">
      <w:lvlJc w:val="left"/>
      <w:lvlText w:val="(%1)"/>
      <w:numFmt w:val="lowerRoman"/>
      <w:start w:val="1"/>
    </w:lvl>
  </w:abstractNum>
  <w:abstractNum w:abstractNumId="63">
    <w:nsid w:val="1F48EAA1"/>
    <w:multiLevelType w:val="hybridMultilevel"/>
    <w:lvl w:ilvl="0">
      <w:lvlJc w:val="left"/>
      <w:lvlText w:val="(%1)"/>
      <w:numFmt w:val="lowerLetter"/>
      <w:start w:val="2"/>
    </w:lvl>
  </w:abstractNum>
  <w:abstractNum w:abstractNumId="64">
    <w:nsid w:val="1381823A"/>
    <w:multiLevelType w:val="hybridMultilevel"/>
    <w:lvl w:ilvl="0">
      <w:lvlJc w:val="left"/>
      <w:lvlText w:val="%1)"/>
      <w:numFmt w:val="lowerLetter"/>
      <w:start w:val="6"/>
    </w:lvl>
  </w:abstractNum>
  <w:abstractNum w:abstractNumId="65">
    <w:nsid w:val="5DB70AE5"/>
    <w:multiLevelType w:val="hybridMultilevel"/>
    <w:lvl w:ilvl="0">
      <w:lvlJc w:val="left"/>
      <w:lvlText w:val="(%1)"/>
      <w:numFmt w:val="lowerLetter"/>
      <w:start w:val="7"/>
    </w:lvl>
  </w:abstractNum>
  <w:abstractNum w:abstractNumId="66">
    <w:nsid w:val="100F8FCA"/>
    <w:multiLevelType w:val="hybridMultilevel"/>
    <w:lvl w:ilvl="0">
      <w:lvlJc w:val="left"/>
      <w:lvlText w:val="%1."/>
      <w:numFmt w:val="decimal"/>
      <w:start w:val="1"/>
    </w:lvl>
    <w:lvl w:ilvl="1">
      <w:lvlJc w:val="left"/>
      <w:lvlText w:val="(%2)"/>
      <w:numFmt w:val="lowerLetter"/>
      <w:start w:val="1"/>
    </w:lvl>
  </w:abstractNum>
  <w:abstractNum w:abstractNumId="67">
    <w:nsid w:val="6590700B"/>
    <w:multiLevelType w:val="hybridMultilevel"/>
    <w:lvl w:ilvl="0">
      <w:lvlJc w:val="left"/>
      <w:lvlText w:val="%1."/>
      <w:numFmt w:val="decimal"/>
      <w:start w:val="1"/>
    </w:lvl>
    <w:lvl w:ilvl="1">
      <w:lvlJc w:val="left"/>
      <w:lvlText w:val="(%2)"/>
      <w:numFmt w:val="lowerLetter"/>
      <w:start w:val="1"/>
    </w:lvl>
  </w:abstractNum>
  <w:abstractNum w:abstractNumId="68">
    <w:nsid w:val="15014ACB"/>
    <w:multiLevelType w:val="hybridMultilevel"/>
    <w:lvl w:ilvl="0">
      <w:lvlJc w:val="left"/>
      <w:lvlText w:val="(%1)"/>
      <w:numFmt w:val="decimal"/>
      <w:start w:val="1"/>
    </w:lvl>
  </w:abstractNum>
  <w:abstractNum w:abstractNumId="69">
    <w:nsid w:val="5F5E7FD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8" Type="http://schemas.openxmlformats.org/officeDocument/2006/relationships/image" Target="media/image204.png"/><Relationship Id="rId219" Type="http://schemas.openxmlformats.org/officeDocument/2006/relationships/image" Target="media/image205.png"/><Relationship Id="rId220" Type="http://schemas.openxmlformats.org/officeDocument/2006/relationships/image" Target="media/image206.png"/><Relationship Id="rId221" Type="http://schemas.openxmlformats.org/officeDocument/2006/relationships/image" Target="media/image207.png"/><Relationship Id="rId222" Type="http://schemas.openxmlformats.org/officeDocument/2006/relationships/image" Target="media/image208.png"/><Relationship Id="rId223" Type="http://schemas.openxmlformats.org/officeDocument/2006/relationships/image" Target="media/image209.png"/><Relationship Id="rId224" Type="http://schemas.openxmlformats.org/officeDocument/2006/relationships/image" Target="media/image210.png"/><Relationship Id="rId225" Type="http://schemas.openxmlformats.org/officeDocument/2006/relationships/image" Target="media/image211.png"/><Relationship Id="rId226" Type="http://schemas.openxmlformats.org/officeDocument/2006/relationships/image" Target="media/image212.png"/><Relationship Id="rId227" Type="http://schemas.openxmlformats.org/officeDocument/2006/relationships/image" Target="media/image213.png"/><Relationship Id="rId228" Type="http://schemas.openxmlformats.org/officeDocument/2006/relationships/image" Target="media/image214.png"/><Relationship Id="rId229" Type="http://schemas.openxmlformats.org/officeDocument/2006/relationships/image" Target="media/image215.png"/><Relationship Id="rId230" Type="http://schemas.openxmlformats.org/officeDocument/2006/relationships/image" Target="media/image216.png"/><Relationship Id="rId231" Type="http://schemas.openxmlformats.org/officeDocument/2006/relationships/image" Target="media/image217.png"/><Relationship Id="rId232" Type="http://schemas.openxmlformats.org/officeDocument/2006/relationships/image" Target="media/image218.png"/><Relationship Id="rId233" Type="http://schemas.openxmlformats.org/officeDocument/2006/relationships/image" Target="media/image219.png"/><Relationship Id="rId234" Type="http://schemas.openxmlformats.org/officeDocument/2006/relationships/image" Target="media/image220.png"/><Relationship Id="rId235" Type="http://schemas.openxmlformats.org/officeDocument/2006/relationships/image" Target="media/image221.png"/><Relationship Id="rId236" Type="http://schemas.openxmlformats.org/officeDocument/2006/relationships/image" Target="media/image222.png"/><Relationship Id="rId211" Type="http://schemas.openxmlformats.org/officeDocument/2006/relationships/hyperlink" Target="https://www.sec.gov/Archives/edgar/data/0001840439/000119312521122857/d119708dex32.htm" TargetMode="External"/><Relationship Id="rId212" Type="http://schemas.openxmlformats.org/officeDocument/2006/relationships/hyperlink" Target="https://www.sec.gov/Archives/edgar/data/0001840439/000119312521122857/d119708dex34.htm" TargetMode="External"/><Relationship Id="rId213" Type="http://schemas.openxmlformats.org/officeDocument/2006/relationships/hyperlink" Target="https://www.sec.gov/Archives/edgar/data/0001840439/000119312521112498/d113388dex42.htm" TargetMode="External"/><Relationship Id="rId214" Type="http://schemas.openxmlformats.org/officeDocument/2006/relationships/hyperlink" Target="https://www.sec.gov/Archives/edgar/data/1840439/000119312526121825/bmea-ex4_2.htm" TargetMode="External"/><Relationship Id="rId215" Type="http://schemas.openxmlformats.org/officeDocument/2006/relationships/hyperlink" Target="https://www.sec.gov/Archives/edgar/data/0001840439/000119312521096737/d113388dex101.htm" TargetMode="External"/><Relationship Id="rId216" Type="http://schemas.openxmlformats.org/officeDocument/2006/relationships/hyperlink" Target="https://www.sec.gov/Archives/edgar/data/1840439/000119312525143747/d877313dex41.htm" TargetMode="External"/><Relationship Id="rId217" Type="http://schemas.openxmlformats.org/officeDocument/2006/relationships/hyperlink" Target="https://www.sec.gov/Archives/edgar/data/1840439/000119312525143747/d877313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2026-05-11T16:10:31Z</dcterms:created>
  <dcterms:modified xsi:type="dcterms:W3CDTF">2026-05-11T16:10:31Z</dcterms:modified>
</cp:coreProperties>
</file>