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Biomea Fusion,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001-40335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82-2520134</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1599 Industrial Road</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Carlos,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650 980-9099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BMEA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11, 2026, Biomea Fusion, Inc. issued a press release announcing its financial results for the quarter ended March 31, 2026. The full text of the press release is being furnished as Exhibit 99.1 to this Current Report on Form 8-K.</w:t>
      </w:r>
    </w:p>
    <w:p>
      <w:pPr>
        <w:spacing w:after="0" w:line="16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0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28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11, 2026, furnished herewith.</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78" w:lineRule="exact"/>
        <w:rPr>
          <w:sz w:val="20"/>
          <w:szCs w:val="20"/>
          <w:color w:val="auto"/>
        </w:rPr>
      </w:pPr>
    </w:p>
    <w:p>
      <w:pPr>
        <w:spacing w:after="0"/>
        <w:tabs>
          <w:tab w:leader="none" w:pos="660" w:val="left"/>
          <w:tab w:leader="none" w:pos="5620" w:val="left"/>
          <w:tab w:leader="none" w:pos="7660" w:val="left"/>
        </w:tabs>
        <w:rPr>
          <w:sz w:val="20"/>
          <w:szCs w:val="20"/>
          <w:color w:val="auto"/>
        </w:rPr>
      </w:pPr>
      <w:r>
        <w:rPr>
          <w:rFonts w:ascii="Times New Roman" w:cs="Times New Roman" w:eastAsia="Times New Roman" w:hAnsi="Times New Roman"/>
          <w:sz w:val="18"/>
          <w:szCs w:val="18"/>
          <w:color w:val="auto"/>
        </w:rPr>
        <w:t>Date:</w:t>
        <w:tab/>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J.M. Hitchcock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Michael J.M. Hitchcock</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Interim Chief Executive Officer, Director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Biomea Fusion Reports First Quarter 2026 Financial Results and Corporate Highlights</w:t>
      </w:r>
    </w:p>
    <w:p>
      <w:pPr>
        <w:spacing w:after="0" w:line="319"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20"/>
          <w:szCs w:val="20"/>
          <w:color w:val="222B33"/>
        </w:rPr>
      </w:pPr>
      <w:r>
        <w:rPr>
          <w:rFonts w:ascii="Times New Roman" w:cs="Times New Roman" w:eastAsia="Times New Roman" w:hAnsi="Times New Roman"/>
          <w:sz w:val="20"/>
          <w:szCs w:val="20"/>
          <w:i w:val="1"/>
          <w:iCs w:val="1"/>
          <w:color w:val="222B33"/>
        </w:rPr>
        <w:t>Successfully completed chronic toxicology studies for icovamenib, providing the nonclinical support for advancing to chronic clinical</w:t>
      </w:r>
    </w:p>
    <w:p>
      <w:pPr>
        <w:spacing w:after="0" w:line="32" w:lineRule="exact"/>
        <w:rPr>
          <w:rFonts w:ascii="Times New Roman" w:cs="Times New Roman" w:eastAsia="Times New Roman" w:hAnsi="Times New Roman"/>
          <w:sz w:val="20"/>
          <w:szCs w:val="20"/>
          <w:color w:val="222B33"/>
        </w:rPr>
      </w:pPr>
    </w:p>
    <w:p>
      <w:pPr>
        <w:ind w:left="2980"/>
        <w:spacing w:after="0" w:line="230" w:lineRule="exact"/>
        <w:rPr>
          <w:rFonts w:ascii="Times New Roman" w:cs="Times New Roman" w:eastAsia="Times New Roman" w:hAnsi="Times New Roman"/>
          <w:sz w:val="20"/>
          <w:szCs w:val="20"/>
          <w:color w:val="222B33"/>
        </w:rPr>
      </w:pPr>
      <w:r>
        <w:rPr>
          <w:rFonts w:ascii="Times New Roman" w:cs="Times New Roman" w:eastAsia="Times New Roman" w:hAnsi="Times New Roman"/>
          <w:sz w:val="20"/>
          <w:szCs w:val="20"/>
          <w:i w:val="1"/>
          <w:iCs w:val="1"/>
          <w:color w:val="222B33"/>
        </w:rPr>
        <w:t>dosing, beyond the 12</w:t>
      </w:r>
      <w:r>
        <w:rPr>
          <w:rFonts w:ascii="MS PGothic" w:cs="MS PGothic" w:eastAsia="MS PGothic" w:hAnsi="MS PGothic"/>
          <w:sz w:val="20"/>
          <w:szCs w:val="20"/>
          <w:i w:val="1"/>
          <w:iCs w:val="1"/>
          <w:color w:val="222B33"/>
        </w:rPr>
        <w:t>‑</w:t>
      </w:r>
      <w:r>
        <w:rPr>
          <w:rFonts w:ascii="Times New Roman" w:cs="Times New Roman" w:eastAsia="Times New Roman" w:hAnsi="Times New Roman"/>
          <w:sz w:val="20"/>
          <w:szCs w:val="20"/>
          <w:i w:val="1"/>
          <w:iCs w:val="1"/>
          <w:color w:val="222B33"/>
        </w:rPr>
        <w:t>week clinical dosing that has been used to date</w:t>
      </w:r>
    </w:p>
    <w:p>
      <w:pPr>
        <w:spacing w:after="0" w:line="88" w:lineRule="exact"/>
        <w:rPr>
          <w:rFonts w:ascii="Times New Roman" w:cs="Times New Roman" w:eastAsia="Times New Roman" w:hAnsi="Times New Roman"/>
          <w:sz w:val="20"/>
          <w:szCs w:val="20"/>
          <w:color w:val="222B33"/>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222B33"/>
        </w:rPr>
      </w:pPr>
      <w:r>
        <w:rPr>
          <w:rFonts w:ascii="Times New Roman" w:cs="Times New Roman" w:eastAsia="Times New Roman" w:hAnsi="Times New Roman"/>
          <w:sz w:val="20"/>
          <w:szCs w:val="20"/>
          <w:i w:val="1"/>
          <w:iCs w:val="1"/>
          <w:color w:val="222B33"/>
        </w:rPr>
        <w:t>Topline data reported from the Phase II COVALENT-112 clinical trial of icovamenib in type 1 diabetes (“T1D”), supporting proposed</w:t>
      </w:r>
    </w:p>
    <w:p>
      <w:pPr>
        <w:spacing w:after="0" w:line="25" w:lineRule="exact"/>
        <w:rPr>
          <w:rFonts w:ascii="Times New Roman" w:cs="Times New Roman" w:eastAsia="Times New Roman" w:hAnsi="Times New Roman"/>
          <w:sz w:val="20"/>
          <w:szCs w:val="20"/>
          <w:color w:val="222B33"/>
        </w:rPr>
      </w:pPr>
    </w:p>
    <w:p>
      <w:pPr>
        <w:ind w:left="4940"/>
        <w:spacing w:after="0"/>
        <w:rPr>
          <w:rFonts w:ascii="Times New Roman" w:cs="Times New Roman" w:eastAsia="Times New Roman" w:hAnsi="Times New Roman"/>
          <w:sz w:val="20"/>
          <w:szCs w:val="20"/>
          <w:color w:val="222B33"/>
        </w:rPr>
      </w:pPr>
      <w:r>
        <w:rPr>
          <w:rFonts w:ascii="Times New Roman" w:cs="Times New Roman" w:eastAsia="Times New Roman" w:hAnsi="Times New Roman"/>
          <w:sz w:val="20"/>
          <w:szCs w:val="20"/>
          <w:i w:val="1"/>
          <w:iCs w:val="1"/>
          <w:color w:val="222B33"/>
        </w:rPr>
        <w:t>mechanism of action</w:t>
      </w:r>
    </w:p>
    <w:p>
      <w:pPr>
        <w:spacing w:after="0" w:line="81" w:lineRule="exact"/>
        <w:rPr>
          <w:rFonts w:ascii="Times New Roman" w:cs="Times New Roman" w:eastAsia="Times New Roman" w:hAnsi="Times New Roman"/>
          <w:sz w:val="20"/>
          <w:szCs w:val="20"/>
          <w:color w:val="222B33"/>
        </w:rPr>
      </w:pPr>
    </w:p>
    <w:p>
      <w:pPr>
        <w:ind w:left="300" w:hanging="292"/>
        <w:spacing w:after="0"/>
        <w:tabs>
          <w:tab w:leader="none" w:pos="300" w:val="left"/>
        </w:tabs>
        <w:numPr>
          <w:ilvl w:val="0"/>
          <w:numId w:val="2"/>
        </w:numPr>
        <w:rPr>
          <w:rFonts w:ascii="Times New Roman" w:cs="Times New Roman" w:eastAsia="Times New Roman" w:hAnsi="Times New Roman"/>
          <w:sz w:val="19"/>
          <w:szCs w:val="19"/>
          <w:color w:val="222B33"/>
        </w:rPr>
      </w:pPr>
      <w:r>
        <w:rPr>
          <w:rFonts w:ascii="Times New Roman" w:cs="Times New Roman" w:eastAsia="Times New Roman" w:hAnsi="Times New Roman"/>
          <w:sz w:val="19"/>
          <w:szCs w:val="19"/>
          <w:i w:val="1"/>
          <w:iCs w:val="1"/>
          <w:color w:val="222B33"/>
        </w:rPr>
        <w:t>First patients dosed in the Phase II COVALENT-211 and COVALENT-212 clinical trials of icovamenib in type 2 diabetes (“T2D”); both</w:t>
      </w:r>
    </w:p>
    <w:p>
      <w:pPr>
        <w:spacing w:after="0" w:line="37" w:lineRule="exact"/>
        <w:rPr>
          <w:rFonts w:ascii="Times New Roman" w:cs="Times New Roman" w:eastAsia="Times New Roman" w:hAnsi="Times New Roman"/>
          <w:sz w:val="19"/>
          <w:szCs w:val="19"/>
          <w:color w:val="222B33"/>
        </w:rPr>
      </w:pPr>
    </w:p>
    <w:p>
      <w:pPr>
        <w:ind w:left="2460"/>
        <w:spacing w:after="0"/>
        <w:rPr>
          <w:rFonts w:ascii="Times New Roman" w:cs="Times New Roman" w:eastAsia="Times New Roman" w:hAnsi="Times New Roman"/>
          <w:sz w:val="19"/>
          <w:szCs w:val="19"/>
          <w:color w:val="222B33"/>
        </w:rPr>
      </w:pPr>
      <w:r>
        <w:rPr>
          <w:rFonts w:ascii="Times New Roman" w:cs="Times New Roman" w:eastAsia="Times New Roman" w:hAnsi="Times New Roman"/>
          <w:sz w:val="20"/>
          <w:szCs w:val="20"/>
          <w:i w:val="1"/>
          <w:iCs w:val="1"/>
          <w:color w:val="222B33"/>
        </w:rPr>
        <w:t>trials are on track with topline 26-week data expected in the fourth quarter of 2026</w:t>
      </w:r>
    </w:p>
    <w:p>
      <w:pPr>
        <w:spacing w:after="0" w:line="81" w:lineRule="exact"/>
        <w:rPr>
          <w:rFonts w:ascii="Times New Roman" w:cs="Times New Roman" w:eastAsia="Times New Roman" w:hAnsi="Times New Roman"/>
          <w:sz w:val="19"/>
          <w:szCs w:val="19"/>
          <w:color w:val="222B33"/>
        </w:rPr>
      </w:pPr>
    </w:p>
    <w:p>
      <w:pPr>
        <w:ind w:left="300" w:hanging="292"/>
        <w:spacing w:after="0"/>
        <w:tabs>
          <w:tab w:leader="none" w:pos="300" w:val="left"/>
        </w:tabs>
        <w:numPr>
          <w:ilvl w:val="0"/>
          <w:numId w:val="2"/>
        </w:numPr>
        <w:rPr>
          <w:rFonts w:ascii="Times New Roman" w:cs="Times New Roman" w:eastAsia="Times New Roman" w:hAnsi="Times New Roman"/>
          <w:sz w:val="19"/>
          <w:szCs w:val="19"/>
          <w:color w:val="222B33"/>
        </w:rPr>
      </w:pPr>
      <w:r>
        <w:rPr>
          <w:rFonts w:ascii="Times New Roman" w:cs="Times New Roman" w:eastAsia="Times New Roman" w:hAnsi="Times New Roman"/>
          <w:sz w:val="19"/>
          <w:szCs w:val="19"/>
          <w:i w:val="1"/>
          <w:iCs w:val="1"/>
          <w:color w:val="222B33"/>
        </w:rPr>
        <w:t>The Phase I GLP-131 (BMF-650) obesity clinical trial is on track; initial 28-day weight reduction data expected in the second quarter of</w:t>
      </w:r>
    </w:p>
    <w:p>
      <w:pPr>
        <w:spacing w:after="0" w:line="37" w:lineRule="exact"/>
        <w:rPr>
          <w:rFonts w:ascii="Times New Roman" w:cs="Times New Roman" w:eastAsia="Times New Roman" w:hAnsi="Times New Roman"/>
          <w:sz w:val="19"/>
          <w:szCs w:val="19"/>
          <w:color w:val="222B33"/>
        </w:rPr>
      </w:pPr>
    </w:p>
    <w:p>
      <w:pPr>
        <w:ind w:left="5560"/>
        <w:spacing w:after="0"/>
        <w:rPr>
          <w:rFonts w:ascii="Times New Roman" w:cs="Times New Roman" w:eastAsia="Times New Roman" w:hAnsi="Times New Roman"/>
          <w:sz w:val="19"/>
          <w:szCs w:val="19"/>
          <w:color w:val="222B33"/>
        </w:rPr>
      </w:pPr>
      <w:r>
        <w:rPr>
          <w:rFonts w:ascii="Times New Roman" w:cs="Times New Roman" w:eastAsia="Times New Roman" w:hAnsi="Times New Roman"/>
          <w:sz w:val="20"/>
          <w:szCs w:val="20"/>
          <w:i w:val="1"/>
          <w:iCs w:val="1"/>
          <w:color w:val="222B33"/>
        </w:rPr>
        <w:t>2026</w:t>
      </w:r>
    </w:p>
    <w:p>
      <w:pPr>
        <w:spacing w:after="0" w:line="81" w:lineRule="exact"/>
        <w:rPr>
          <w:rFonts w:ascii="Times New Roman" w:cs="Times New Roman" w:eastAsia="Times New Roman" w:hAnsi="Times New Roman"/>
          <w:sz w:val="19"/>
          <w:szCs w:val="19"/>
          <w:color w:val="222B33"/>
        </w:rPr>
      </w:pPr>
    </w:p>
    <w:p>
      <w:pPr>
        <w:ind w:left="3680" w:hanging="261"/>
        <w:spacing w:after="0"/>
        <w:tabs>
          <w:tab w:leader="none" w:pos="3680" w:val="left"/>
        </w:tabs>
        <w:numPr>
          <w:ilvl w:val="1"/>
          <w:numId w:val="2"/>
        </w:numPr>
        <w:rPr>
          <w:rFonts w:ascii="Times New Roman" w:cs="Times New Roman" w:eastAsia="Times New Roman" w:hAnsi="Times New Roman"/>
          <w:sz w:val="20"/>
          <w:szCs w:val="20"/>
          <w:color w:val="222B33"/>
        </w:rPr>
      </w:pPr>
      <w:r>
        <w:rPr>
          <w:rFonts w:ascii="Times New Roman" w:cs="Times New Roman" w:eastAsia="Times New Roman" w:hAnsi="Times New Roman"/>
          <w:sz w:val="20"/>
          <w:szCs w:val="20"/>
          <w:i w:val="1"/>
          <w:iCs w:val="1"/>
          <w:color w:val="222B33"/>
        </w:rPr>
        <w:t>Cash runway projected into the first quarter of 2027</w:t>
      </w:r>
    </w:p>
    <w:p>
      <w:pPr>
        <w:spacing w:after="0" w:line="112"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20"/>
          <w:szCs w:val="20"/>
          <w:color w:val="auto"/>
        </w:rPr>
        <w:t>SAN CARLOS, Calif., May 11, 2026 (GLOBE NEWSWIRE) -- Biomea Fusion, Inc. (“Biomea” or “Biomea Fusion” or “the Company”) (Nasdaq: BMEA), a clinical-stage diabetes and obesity company, today reported its financial results for the first quarter ended March 31, 2026, and provided a business update.</w:t>
      </w:r>
    </w:p>
    <w:p>
      <w:pPr>
        <w:spacing w:after="0" w:line="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“Across our portfolio, we continue to execute with focus and discipline, with all of our key clinical programs progressing on track toward important upcoming milestones, while maintaining a disciplined approach to managing our cash burn,” said Mick Hitchcock, Ph.D., Interim Chief Executive Officer and Board Member of Biomea Fusion. “The recent 52-week data from the Phase II COVALENT-112 clinical trial in type 1 diabetes further support targeting menin as a novel approach across both type 1 and type 2 diabetes, which offers a paradigm shift and differs materially from existing therapeutic approaches. We are building on these findings with plans to initiate an investigator-sponsored Phase II clinical trial in collaboration with leading academic institutions specializing in T1D. We believe this collaboration, alongside the continued advancement of our type 2 diabetes and obesity programs, positions Biomea to deliver meaningful data across multiple indications in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Corporate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Icovamenib</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First-in-Class Oral Small Molecule Product Candidate Targeting Menin for Diabetes</w:t>
      </w:r>
    </w:p>
    <w:p>
      <w:pPr>
        <w:spacing w:after="0" w:line="112" w:lineRule="exact"/>
        <w:rPr>
          <w:sz w:val="20"/>
          <w:szCs w:val="20"/>
          <w:color w:val="auto"/>
        </w:rPr>
      </w:pPr>
    </w:p>
    <w:p>
      <w:pPr>
        <w:ind w:left="380" w:right="320" w:hanging="372"/>
        <w:spacing w:after="0" w:line="254"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Chronic toxicology studies in two species were successfully completed for icovamenib, providing nonclinical support for chronic clinical dosing beyond the 12-week duration used to date; findings demonstrated a favorable safety profile consistent with previously reported preclinical and clinical data.</w:t>
      </w:r>
    </w:p>
    <w:p>
      <w:pPr>
        <w:spacing w:after="0" w:line="66" w:lineRule="exact"/>
        <w:rPr>
          <w:rFonts w:ascii="Times New Roman" w:cs="Times New Roman" w:eastAsia="Times New Roman" w:hAnsi="Times New Roman"/>
          <w:sz w:val="20"/>
          <w:szCs w:val="20"/>
          <w:color w:val="auto"/>
        </w:rPr>
      </w:pPr>
    </w:p>
    <w:p>
      <w:pPr>
        <w:ind w:left="380" w:right="700" w:hanging="372"/>
        <w:spacing w:after="0" w:line="269"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more than 400 subjects dosed to date, icovamenib was generally well tolerated and demonstrated a favorable safety profile throughout the observation periods.</w:t>
      </w:r>
    </w:p>
    <w:p>
      <w:pPr>
        <w:spacing w:after="0" w:line="5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Phase II clinical trials evaluating icovamenib in T2D have been initiated and enrollment is ongoing:</w:t>
      </w:r>
    </w:p>
    <w:p>
      <w:pPr>
        <w:spacing w:after="0" w:line="107" w:lineRule="exact"/>
        <w:rPr>
          <w:rFonts w:ascii="Times New Roman" w:cs="Times New Roman" w:eastAsia="Times New Roman" w:hAnsi="Times New Roman"/>
          <w:sz w:val="20"/>
          <w:szCs w:val="20"/>
          <w:color w:val="auto"/>
        </w:rPr>
      </w:pPr>
    </w:p>
    <w:p>
      <w:pPr>
        <w:ind w:left="1140" w:right="380" w:hanging="290"/>
        <w:spacing w:after="0" w:line="269" w:lineRule="auto"/>
        <w:tabs>
          <w:tab w:leader="none" w:pos="11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COVALENT-211, a Phase II, randomized, double-blind, placebo-controlled trial in patients with insulin-deficient T2D not achieving glycemic targets despite standard of care therapy.</w:t>
      </w:r>
    </w:p>
    <w:p>
      <w:pPr>
        <w:spacing w:after="0" w:line="51" w:lineRule="exact"/>
        <w:rPr>
          <w:rFonts w:ascii="Times New Roman" w:cs="Times New Roman" w:eastAsia="Times New Roman" w:hAnsi="Times New Roman"/>
          <w:sz w:val="20"/>
          <w:szCs w:val="20"/>
          <w:color w:val="auto"/>
        </w:rPr>
      </w:pPr>
    </w:p>
    <w:p>
      <w:pPr>
        <w:ind w:left="1140" w:right="140" w:hanging="290"/>
        <w:spacing w:after="0" w:line="269" w:lineRule="auto"/>
        <w:tabs>
          <w:tab w:leader="none" w:pos="11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COVALENT-212, a Phase II, randomized, double-blind, placebo-controlled trial in patients with T2D not achieving glycemic targets while on a GLP-1 RA-based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140" w:hanging="290"/>
        <w:spacing w:after="0"/>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trials include a 26-week primary endpoint, with topline data anticipated in the fourth quarter of 2026.</w:t>
      </w:r>
    </w:p>
    <w:p>
      <w:pPr>
        <w:spacing w:after="0" w:line="107" w:lineRule="exact"/>
        <w:rPr>
          <w:rFonts w:ascii="Times New Roman" w:cs="Times New Roman" w:eastAsia="Times New Roman" w:hAnsi="Times New Roman"/>
          <w:sz w:val="20"/>
          <w:szCs w:val="20"/>
          <w:color w:val="auto"/>
        </w:rPr>
      </w:pPr>
    </w:p>
    <w:p>
      <w:pPr>
        <w:ind w:left="380" w:right="200" w:hanging="372"/>
        <w:spacing w:after="0" w:line="269" w:lineRule="auto"/>
        <w:tabs>
          <w:tab w:leader="none" w:pos="3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from the Phase II COVALENT-112 clinical trial evaluating icovamenib in T1D patients were reported from the 52-week follow-up:</w:t>
      </w:r>
    </w:p>
    <w:p>
      <w:pPr>
        <w:spacing w:after="0" w:line="51" w:lineRule="exact"/>
        <w:rPr>
          <w:rFonts w:ascii="Times New Roman" w:cs="Times New Roman" w:eastAsia="Times New Roman" w:hAnsi="Times New Roman"/>
          <w:sz w:val="20"/>
          <w:szCs w:val="20"/>
          <w:color w:val="auto"/>
        </w:rPr>
      </w:pPr>
    </w:p>
    <w:p>
      <w:pPr>
        <w:ind w:left="1140" w:right="180" w:hanging="290"/>
        <w:spacing w:after="0" w:line="274" w:lineRule="auto"/>
        <w:tabs>
          <w:tab w:leader="none" w:pos="114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52% increase from baseline in mean C-peptide AUC at Week 12, after completion of the dosing period, in patients diagnosed within 0-3 years (n=5) receiving icovamenib 200 mg, with a dose response observed vs 100 mg (n=6). Persistence observed through Week 52, with mean C-peptide AUC largely preserved in the 200 mg group (~7% decline from baseline).</w:t>
      </w:r>
    </w:p>
    <w:p>
      <w:pPr>
        <w:spacing w:after="0" w:line="48" w:lineRule="exact"/>
        <w:rPr>
          <w:rFonts w:ascii="Times New Roman" w:cs="Times New Roman" w:eastAsia="Times New Roman" w:hAnsi="Times New Roman"/>
          <w:sz w:val="19"/>
          <w:szCs w:val="19"/>
          <w:color w:val="auto"/>
        </w:rPr>
      </w:pPr>
    </w:p>
    <w:p>
      <w:pPr>
        <w:ind w:left="1140" w:hanging="290"/>
        <w:spacing w:after="0"/>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Preservation of C-peptide also observed in patients diagnosed between 3-15 years (n=9).</w:t>
      </w:r>
    </w:p>
    <w:p>
      <w:pPr>
        <w:spacing w:after="0" w:line="107" w:lineRule="exact"/>
        <w:rPr>
          <w:rFonts w:ascii="Times New Roman" w:cs="Times New Roman" w:eastAsia="Times New Roman" w:hAnsi="Times New Roman"/>
          <w:sz w:val="20"/>
          <w:szCs w:val="20"/>
          <w:color w:val="auto"/>
        </w:rPr>
      </w:pPr>
    </w:p>
    <w:p>
      <w:pPr>
        <w:ind w:left="1140" w:right="320" w:hanging="290"/>
        <w:spacing w:after="0" w:line="269" w:lineRule="auto"/>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Icovamenib was generally well tolerated across all dosing arms and demonstrated a favorable safety and tolerability profile through Week 52.</w:t>
      </w:r>
    </w:p>
    <w:p>
      <w:pPr>
        <w:spacing w:after="0" w:line="51" w:lineRule="exact"/>
        <w:rPr>
          <w:rFonts w:ascii="Times New Roman" w:cs="Times New Roman" w:eastAsia="Times New Roman" w:hAnsi="Times New Roman"/>
          <w:sz w:val="20"/>
          <w:szCs w:val="20"/>
          <w:color w:val="auto"/>
        </w:rPr>
      </w:pPr>
    </w:p>
    <w:p>
      <w:pPr>
        <w:ind w:left="1140" w:right="740" w:hanging="290"/>
        <w:spacing w:after="0" w:line="269" w:lineRule="auto"/>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dataset to be presented at the American Diabetes Association’s (ADA) Scientific Sessions (abstract is preliminary until time of presentation; full release scheduled for June 5, 2026 at 6:30 pm CDT).</w:t>
      </w:r>
    </w:p>
    <w:p>
      <w:pPr>
        <w:spacing w:after="0" w:line="51" w:lineRule="exact"/>
        <w:rPr>
          <w:rFonts w:ascii="Times New Roman" w:cs="Times New Roman" w:eastAsia="Times New Roman" w:hAnsi="Times New Roman"/>
          <w:sz w:val="20"/>
          <w:szCs w:val="20"/>
          <w:color w:val="auto"/>
        </w:rPr>
      </w:pPr>
    </w:p>
    <w:p>
      <w:pPr>
        <w:ind w:left="1140" w:right="20" w:hanging="290"/>
        <w:spacing w:after="0" w:line="246" w:lineRule="auto"/>
        <w:tabs>
          <w:tab w:leader="none" w:pos="11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Planning a Phase II trial in recently diagnosed T1D patients (≤ 3 years since diagnosis), in collaboration with four U.S. academic centers, to evaluate extended dosing (6–12 months) of icovamenib 200 mg and assess potential combination with an immunosuppressive agent; trial initiation expected in the second half of the year at leading centers including the Barbara Davis Center for Diabetes, Joslin Diabetes Center, University of Texas Health Science Center at San Antonio Diabetes Division, and the University of Miami Diabetes Research Institute.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BMF-650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Next-generation Oral Small Molecule GLP-1 RA Product Candidate for Obesity</w:t>
      </w:r>
    </w:p>
    <w:p>
      <w:pPr>
        <w:spacing w:after="0" w:line="86" w:lineRule="exact"/>
        <w:rPr>
          <w:sz w:val="20"/>
          <w:szCs w:val="20"/>
          <w:color w:val="auto"/>
        </w:rPr>
      </w:pPr>
    </w:p>
    <w:p>
      <w:pPr>
        <w:ind w:left="1140" w:right="440" w:hanging="290"/>
        <w:spacing w:after="0" w:line="295" w:lineRule="auto"/>
        <w:tabs>
          <w:tab w:leader="none" w:pos="11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GLP-131, a Phase I randomized, double-blind, placebo-controlled clinical trial evaluating the safety, tolerability, pharmacokinetics, and pharmacodynamics of BMF-650 in otherwise healthy overweight or obese participants is ongoing.</w:t>
      </w:r>
    </w:p>
    <w:p>
      <w:pPr>
        <w:spacing w:after="0" w:line="29" w:lineRule="exact"/>
        <w:rPr>
          <w:rFonts w:ascii="Times New Roman" w:cs="Times New Roman" w:eastAsia="Times New Roman" w:hAnsi="Times New Roman"/>
          <w:sz w:val="19"/>
          <w:szCs w:val="19"/>
          <w:color w:val="auto"/>
        </w:rPr>
      </w:pPr>
    </w:p>
    <w:p>
      <w:pPr>
        <w:ind w:left="1140" w:right="440" w:hanging="290"/>
        <w:spacing w:after="0" w:line="269" w:lineRule="auto"/>
        <w:tabs>
          <w:tab w:leader="none" w:pos="11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28-day clinical weight reduction data from the Phase I GLP-131 clinical trial is anticipated in the second quarter of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Results</w:t>
      </w:r>
    </w:p>
    <w:p>
      <w:pPr>
        <w:spacing w:after="0" w:line="108" w:lineRule="exact"/>
        <w:rPr>
          <w:sz w:val="20"/>
          <w:szCs w:val="20"/>
          <w:color w:val="auto"/>
        </w:rPr>
      </w:pPr>
    </w:p>
    <w:p>
      <w:pPr>
        <w:ind w:left="1020" w:right="80" w:hanging="503"/>
        <w:spacing w:after="0" w:line="27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Cash, Cash Equivalents, and Restricted Cash: </w:t>
      </w:r>
      <w:r>
        <w:rPr>
          <w:rFonts w:ascii="Times New Roman" w:cs="Times New Roman" w:eastAsia="Times New Roman" w:hAnsi="Times New Roman"/>
          <w:sz w:val="20"/>
          <w:szCs w:val="20"/>
          <w:color w:val="auto"/>
        </w:rPr>
        <w:t>As of March 31, 2026, the Company had cash, cash equivalents and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of $45.1 million.</w:t>
      </w:r>
    </w:p>
    <w:p>
      <w:pPr>
        <w:spacing w:after="0" w:line="43"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The Company reported a net loss attributable to common stockholders of $12.4 million for the three months 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31, 2026, which included $1.6 million of stock-based compensation, compared to a net loss of $29.3 million for the same period in 2025, which included $3.2 million of stock-based compensation.</w:t>
      </w:r>
    </w:p>
    <w:p>
      <w:pPr>
        <w:spacing w:after="0" w:line="60" w:lineRule="exact"/>
        <w:rPr>
          <w:rFonts w:ascii="Times New Roman" w:cs="Times New Roman" w:eastAsia="Times New Roman" w:hAnsi="Times New Roman"/>
          <w:sz w:val="18"/>
          <w:szCs w:val="18"/>
          <w:color w:val="auto"/>
        </w:rPr>
      </w:pPr>
    </w:p>
    <w:p>
      <w:pPr>
        <w:ind w:left="1020" w:hanging="503"/>
        <w:spacing w:after="0" w:line="245"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$9.1 million for the three months ended March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 compared to $22.9 million for the same period in 2025. The decrease of approximately $13.8 million was primarily driven by a decrease of $7.6 million in external costs primarily driven by a decrease of $3.8 million related to clinical activities, a decrease of $1.9 million related to preclinical and exploratory programs, and a decrease of $1.9 million in other external costs related to consultants, advisors and other professional services to support our clinical trials. Personnel-related expenses decreased by $4.5 million, including stock-based compensation, due to a decrease in headcount. Facilities and other allocated expenses decreased by $1.7 million due to a decrease in rent and facilities-related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spacing w:after="0" w:line="77" w:lineRule="exact"/>
        <w:rPr>
          <w:sz w:val="20"/>
          <w:szCs w:val="20"/>
          <w:color w:val="auto"/>
        </w:rPr>
      </w:pPr>
    </w:p>
    <w:p>
      <w:pPr>
        <w:ind w:left="503" w:hanging="503"/>
        <w:spacing w:after="0" w:line="250" w:lineRule="auto"/>
        <w:tabs>
          <w:tab w:leader="none" w:pos="50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$3.7 million for the three months ended March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 compared to $6.8 million for the same period in 2025. The decrease of $3.2 million was primarily driven by a decrease of $1.9 million related to personnel-related expenses, including stock-based compensation, due to a decrease in headcount and a decrease of $1.1 million of corporate-related expenses. Facilities and other allocated expenses decreased by $0.2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939165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837" w:top="144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About Biomea Fusion</w:t>
      </w:r>
    </w:p>
    <w:p>
      <w:pPr>
        <w:spacing w:after="0" w:line="11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Biomea Fusion is a clinical-stage diabetes and obesity medicines company focused on the development of its oral small molecule therapies, icovamenib and BMF-650, for diabetes and obesity. These programs target metabolic disorders, a global health challenge affecting nearly half of Americans and one-fifth of the world’s population. Biomea’s mission is to deliver transformative treatments that restore health for patients living with diabetes, obesity, and related conditions. We aim to cure.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 xml:space="preserve">Visit us at biomeafusion.com and follow us on </w:t>
      </w:r>
      <w:r>
        <w:rPr>
          <w:rFonts w:ascii="Times New Roman" w:cs="Times New Roman" w:eastAsia="Times New Roman" w:hAnsi="Times New Roman"/>
          <w:sz w:val="20"/>
          <w:szCs w:val="20"/>
          <w:color w:val="000000"/>
        </w:rPr>
        <w:t>LinkedIn</w:t>
      </w:r>
      <w:r>
        <w:rPr>
          <w:rFonts w:ascii="Times New Roman" w:cs="Times New Roman" w:eastAsia="Times New Roman" w:hAnsi="Times New Roman"/>
          <w:sz w:val="20"/>
          <w:szCs w:val="20"/>
          <w:color w:val="222222"/>
        </w:rPr>
        <w:t xml:space="preserve">, X and </w:t>
      </w:r>
      <w:r>
        <w:rPr>
          <w:rFonts w:ascii="Times New Roman" w:cs="Times New Roman" w:eastAsia="Times New Roman" w:hAnsi="Times New Roman"/>
          <w:sz w:val="20"/>
          <w:szCs w:val="20"/>
          <w:color w:val="000000"/>
        </w:rPr>
        <w:t>Facebook</w:t>
      </w:r>
      <w:r>
        <w:rPr>
          <w:rFonts w:ascii="Times New Roman" w:cs="Times New Roman" w:eastAsia="Times New Roman" w:hAnsi="Times New Roman"/>
          <w:sz w:val="20"/>
          <w:szCs w:val="20"/>
          <w:color w:val="222222"/>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we make in this press release may include statements which are not historical facts and are considered forward-looking statements within the meaning of Section 27A of the Securities Act of 1933, as amended (the “Securities Act”), and Section 21E of the Securities Exchange Act of 1934, as amended (the “Exchange Act”).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including statements regarding the expected benefits resulting from the implementation of the cost saving measures and potential ability to fund key value drivers; clinical and therapeutic potential of our product candidates and development programs, including icovamenib and BMF-650, the potential of icovamenib as a treatment for T1D and T2D, the potential of BMF-650 as a treatment for obesity; our research, development and regulatory plans; the mechanism of action of our product candidates and development programs; the progress and initiation of our ongoing and upcoming clinical trials, including our plans to initiate a Phase II clinical trial in T1D, our Phase II COVALENT-211 clinical trial, our Phase II COVALENT-212 clinical trial and our Phase I GLP-131 clinical trial; the anticipated availability of data from our clinical trials; our planned interactions with regulators, and the timing of such events; and our expected cash runway may be deemed to be forward-looking statements.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Any forward-looking statements in this press release are based on our current expectations, estimates and projections only as of the date of this release and are subject to a number of risks and uncertainties that could cause actual results to differ materially and adversely from those set forth in or implied by such forward-looking statements, including the risk that preliminary or interim results of preclinical studies or clinical trials may not be predictive of future or final results in connection with future clinical trials and the risk that we may encounter delays in preclinical or clinical development, patient enrollment and in the initiation, conduct and completion of our ongoing and planned clinical trials and other research and development activities. These risks concerning Biomea Fusion’s business and operations are described in additional detail in its periodic filings with the U.S. Securities and Exchange Commission (“SEC”), including its most recent periodic report filed with the SEC and subsequent filings thereafter. Biomea Fusion explicitly disclaims any obligation to update any forward-looking statements except to the extent required by law.</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93849"/>
        </w:rPr>
        <w:t>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Meichiel Jennifer Weiss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Sr. Director of Investor Relations and Corporate Development</w:t>
      </w:r>
    </w:p>
    <w:p>
      <w:pPr>
        <w:spacing w:after="0"/>
        <w:rPr>
          <w:sz w:val="20"/>
          <w:szCs w:val="20"/>
          <w:color w:val="auto"/>
        </w:rPr>
      </w:pPr>
      <w:r>
        <w:rPr>
          <w:rFonts w:ascii="Times New Roman" w:cs="Times New Roman" w:eastAsia="Times New Roman" w:hAnsi="Times New Roman"/>
          <w:sz w:val="20"/>
          <w:szCs w:val="20"/>
          <w:color w:val="222222"/>
        </w:rPr>
        <w:t>mweiss@biomeafusion.com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4"/>
                <w:szCs w:val="24"/>
                <w:color w:val="auto"/>
                <w:vertAlign w:val="superscript"/>
              </w:rPr>
              <w:t>(1)</w:t>
            </w:r>
          </w:p>
        </w:tc>
        <w:tc>
          <w:tcPr>
            <w:tcW w:w="2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17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(12,774)</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(29,712)</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warrant liability</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7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(12,415)</w:t>
            </w:r>
          </w:p>
        </w:tc>
        <w:tc>
          <w:tcPr>
            <w:tcW w:w="8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(29,262)</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76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800" w:type="dxa"/>
            <w:vAlign w:val="bottom"/>
            <w:gridSpan w:val="2"/>
          </w:tcPr>
          <w:p>
            <w:pPr>
              <w:jc w:val="right"/>
              <w:ind w:righ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17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used to compute basic and diluted net loss per</w:t>
            </w:r>
          </w:p>
        </w:tc>
        <w:tc>
          <w:tcPr>
            <w:tcW w:w="1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72,299,440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36,627,148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common share</w:t>
            </w:r>
          </w:p>
        </w:tc>
        <w:tc>
          <w:tcPr>
            <w:tcW w:w="17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-1448435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-599440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-582295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5"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Includes stock-based compensation as follows (non-cash operating expenses):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FF0FC"/>
          </w:tcPr>
          <w:p>
            <w:pPr>
              <w:spacing w:after="0"/>
              <w:rPr>
                <w:sz w:val="21"/>
                <w:szCs w:val="21"/>
                <w:color w:val="auto"/>
              </w:rPr>
            </w:pPr>
          </w:p>
        </w:tc>
      </w:tr>
      <w:tr>
        <w:trPr>
          <w:trHeight w:val="1608"/>
        </w:trPr>
        <w:tc>
          <w:tcPr>
            <w:tcW w:w="5080" w:type="dxa"/>
            <w:vAlign w:val="bottom"/>
            <w:tcBorders>
              <w:top w:val="single" w:sz="8" w:color="CFF0FC"/>
              <w:bottom w:val="single" w:sz="8" w:color="9A9A9A"/>
            </w:tcBorders>
          </w:tcPr>
          <w:p>
            <w:pPr>
              <w:spacing w:after="0"/>
              <w:rPr>
                <w:sz w:val="24"/>
                <w:szCs w:val="24"/>
                <w:color w:val="auto"/>
              </w:rPr>
            </w:pPr>
          </w:p>
        </w:tc>
        <w:tc>
          <w:tcPr>
            <w:tcW w:w="2120" w:type="dxa"/>
            <w:vAlign w:val="bottom"/>
            <w:tcBorders>
              <w:top w:val="single" w:sz="8" w:color="CFF0FC"/>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-1071245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-1053465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BIOMEA FUSION,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60" w:type="dxa"/>
            <w:vAlign w:val="bottom"/>
          </w:tcPr>
          <w:p>
            <w:pPr>
              <w:spacing w:after="0"/>
              <w:rPr>
                <w:sz w:val="20"/>
                <w:szCs w:val="20"/>
                <w:color w:val="auto"/>
              </w:rPr>
            </w:pP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0" w:type="dxa"/>
            <w:vAlign w:val="bottom"/>
            <w:shd w:val="clear" w:color="auto" w:fill="CFF0FC"/>
          </w:tcPr>
          <w:p>
            <w:pPr>
              <w:jc w:val="right"/>
              <w:ind w:right="14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0" w:type="dxa"/>
            <w:vAlign w:val="bottom"/>
          </w:tcPr>
          <w:p>
            <w:pPr>
              <w:jc w:val="right"/>
              <w:ind w:right="14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shd w:val="clear" w:color="auto" w:fill="CFF0FC"/>
          </w:tcPr>
          <w:p>
            <w:pPr>
              <w:jc w:val="right"/>
              <w:ind w:right="14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58,572</w:t>
            </w:r>
          </w:p>
        </w:tc>
        <w:tc>
          <w:tcPr>
            <w:tcW w:w="100" w:type="dxa"/>
            <w:vAlign w:val="bottom"/>
            <w:shd w:val="clear" w:color="auto" w:fill="CFF0FC"/>
          </w:tcPr>
          <w:p>
            <w:pPr>
              <w:spacing w:after="0"/>
              <w:rPr>
                <w:sz w:val="18"/>
                <w:szCs w:val="18"/>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0" w:type="dxa"/>
            <w:vAlign w:val="bottom"/>
          </w:tcPr>
          <w:p>
            <w:pPr>
              <w:jc w:val="right"/>
              <w:ind w:right="14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tcPr>
          <w:p>
            <w:pPr>
              <w:spacing w:after="0"/>
              <w:rPr>
                <w:sz w:val="20"/>
                <w:szCs w:val="20"/>
                <w:color w:val="auto"/>
              </w:rPr>
            </w:pPr>
          </w:p>
        </w:tc>
      </w:tr>
      <w:tr>
        <w:trPr>
          <w:trHeight w:val="1609"/>
        </w:trPr>
        <w:tc>
          <w:tcPr>
            <w:tcW w:w="6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2026-05-11T16:11:57Z</dcterms:created>
  <dcterms:modified xsi:type="dcterms:W3CDTF">2026-05-11T16:11:57Z</dcterms:modified>
</cp:coreProperties>
</file>