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Ray Sumita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BIOMEA FUSION,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900 MIDDLEFIELD ROAD, 4TH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Biomea Fusion,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BMEA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51,025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51,025</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51,025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will vest in full upon the earlier of (i) the one-year anniversary of the date of grant or (ii) immediately prior to the annual meeting of the Issuer's stockholders that occurs following the date of grant, subject to the Reporting Person's continued service to the Issuer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Franco Valle as Attorney-in- </w:t>
      </w:r>
      <w:r>
        <w:rPr>
          <w:rFonts w:ascii="Times New Roman" w:cs="Times New Roman" w:eastAsia="Times New Roman" w:hAnsi="Times New Roman"/>
          <w:sz w:val="32"/>
          <w:szCs w:val="32"/>
          <w:color w:val="0000FF"/>
          <w:vertAlign w:val="subscript"/>
        </w:rPr>
        <w:t>06/13/2024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Sumita Ray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860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604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9629" TargetMode="External"/><Relationship Id="rId13" Type="http://schemas.openxmlformats.org/officeDocument/2006/relationships/hyperlink" Target="http://www.sec.gov/cgi-bin/browse-edgar?action=getcompany&amp;CIK=00018404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2024-06-13T15:43:10Z</dcterms:created>
  <dcterms:modified xsi:type="dcterms:W3CDTF">2024-06-13T15:43:10Z</dcterms:modified>
</cp:coreProperties>
</file>