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bmea-20251231.htm"/>
      <w:bookmarkStart w:id="1" w:name="ksbmea20251231"/>
      <w:bookmarkEnd w:id="0"/>
      <w:bookmarkEnd w:id="1"/>
      <w:r>
        <w:rPr>
          <w:rFonts w:ascii="Times New Roman" w:hAnsi="Times New Roman"/>
          <w:b/>
          <w:color w:val="000000"/>
          <w:sz w:val="2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0"/>
        </w:rPr>
        <w:t>FORM 10-K</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962" w:type="dxa"/>
        <w:jc w:val="left"/>
        <w:tblInd w:w="0" w:type="dxa"/>
        <w:tblLayout w:type="fixed"/>
        <w:tblCellMar>
          <w:top w:w="28" w:type="dxa"/>
          <w:left w:w="28" w:type="dxa"/>
          <w:bottom w:w="28" w:type="dxa"/>
          <w:right w:w="28" w:type="dxa"/>
        </w:tblCellMar>
      </w:tblPr>
      <w:tblGrid>
        <w:gridCol w:w="331"/>
        <w:gridCol w:w="9631"/>
      </w:tblGrid>
      <w:tr>
        <w:trPr/>
        <w:tc>
          <w:tcPr>
            <w:tcW w:w="331" w:type="dxa"/>
            <w:tcBorders/>
            <w:vAlign w:val="center"/>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001-40335</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Biomea Fusion,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82-2520134</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 xml:space="preserve">1599 Industrial Road </w:t>
            </w:r>
          </w:p>
          <w:p>
            <w:pPr>
              <w:pStyle w:val="TableContents"/>
              <w:bidi w:val="0"/>
              <w:spacing w:before="0" w:after="15"/>
              <w:jc w:val="center"/>
              <w:rPr>
                <w:rFonts w:ascii="Times New Roman" w:hAnsi="Times New Roman"/>
                <w:sz w:val="20"/>
              </w:rPr>
            </w:pPr>
            <w:r>
              <w:rPr>
                <w:rFonts w:ascii="Times New Roman" w:hAnsi="Times New Roman"/>
                <w:b/>
                <w:color w:val="000000"/>
                <w:sz w:val="20"/>
              </w:rPr>
              <w:t>San Carlos, California</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94070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Registrant’s telephone number, including area code: (650) 980-9099</w:t>
      </w:r>
    </w:p>
    <w:p>
      <w:pPr>
        <w:pStyle w:val="TextBody"/>
        <w:bidi w:val="0"/>
        <w:spacing w:before="60" w:after="283"/>
        <w:jc w:val="left"/>
        <w:rPr>
          <w:rFonts w:ascii="Times New Roman" w:hAnsi="Times New Roman"/>
          <w:sz w:val="20"/>
        </w:rPr>
      </w:pPr>
      <w:r>
        <w:rPr>
          <w:rFonts w:ascii="Times New Roman" w:hAnsi="Times New Roman"/>
          <w:color w:val="000000"/>
          <w:sz w:val="14"/>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6265" w:type="dxa"/>
        <w:jc w:val="left"/>
        <w:tblInd w:w="0" w:type="dxa"/>
        <w:tblLayout w:type="fixed"/>
        <w:tblCellMar>
          <w:top w:w="28" w:type="dxa"/>
          <w:left w:w="28" w:type="dxa"/>
          <w:bottom w:w="28" w:type="dxa"/>
          <w:right w:w="28" w:type="dxa"/>
        </w:tblCellMar>
      </w:tblPr>
      <w:tblGrid>
        <w:gridCol w:w="2566"/>
        <w:gridCol w:w="146"/>
        <w:gridCol w:w="706"/>
        <w:gridCol w:w="146"/>
        <w:gridCol w:w="270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BMEA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spacing w:before="60" w:after="283"/>
        <w:jc w:val="left"/>
        <w:rPr>
          <w:rFonts w:ascii="Times New Roman" w:hAnsi="Times New Roman"/>
          <w:sz w:val="20"/>
        </w:rPr>
      </w:pPr>
      <w:r>
        <w:rPr>
          <w:rFonts w:ascii="Times New Roman" w:hAnsi="Times New Roman"/>
          <w:color w:val="000000"/>
          <w:sz w:val="14"/>
        </w:rPr>
        <w:t xml:space="preserve">Securities registered pursuant to Section 12(g) of the Act: </w:t>
      </w:r>
      <w:r>
        <w:rPr>
          <w:rFonts w:ascii="Times New Roman" w:hAnsi="Times New Roman"/>
          <w:b/>
          <w:color w:val="000000"/>
          <w:sz w:val="14"/>
        </w:rPr>
        <w:t>None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Indicate by check mark if the Registrant is a well-known seasoned issuer, as defined in Rule 405 of the Securities Act. Yes ☐ 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Indicate by check mark if the Registrant is not required to file reports pursuant to Section 13 or 15(d) of the Act. Yes ☐ 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4"/>
        </w:rPr>
        <w:t>No ☐</w:t>
      </w:r>
    </w:p>
    <w:p>
      <w:pPr>
        <w:pStyle w:val="TextBody"/>
        <w:bidi w:val="0"/>
        <w:spacing w:before="60" w:after="283"/>
        <w:jc w:val="left"/>
        <w:rPr>
          <w:rFonts w:ascii="Times New Roman" w:hAnsi="Times New Roman"/>
          <w:sz w:val="20"/>
        </w:rPr>
      </w:pPr>
      <w:r>
        <w:rPr>
          <w:rFonts w:ascii="Times New Roman" w:hAnsi="Times New Roman"/>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4"/>
        </w:rPr>
        <w:t>No ☐</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447" w:type="dxa"/>
        <w:jc w:val="left"/>
        <w:tblInd w:w="0" w:type="dxa"/>
        <w:tblLayout w:type="fixed"/>
        <w:tblCellMar>
          <w:top w:w="28" w:type="dxa"/>
          <w:left w:w="28" w:type="dxa"/>
          <w:bottom w:w="28" w:type="dxa"/>
          <w:right w:w="28" w:type="dxa"/>
        </w:tblCellMar>
      </w:tblPr>
      <w:tblGrid>
        <w:gridCol w:w="1666"/>
        <w:gridCol w:w="146"/>
        <w:gridCol w:w="316"/>
        <w:gridCol w:w="146"/>
        <w:gridCol w:w="166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The aggregate market value of the voting equity held by non-affiliates of the Registrant, based on the closing price of the shares of common stock on the Nasdaq Global Select Market on June 30, 2025, was $93,614,787.</w:t>
      </w:r>
    </w:p>
    <w:p>
      <w:pPr>
        <w:pStyle w:val="TextBody"/>
        <w:bidi w:val="0"/>
        <w:spacing w:before="60" w:after="283"/>
        <w:jc w:val="left"/>
        <w:rPr>
          <w:rFonts w:ascii="Times New Roman" w:hAnsi="Times New Roman"/>
          <w:sz w:val="20"/>
        </w:rPr>
      </w:pPr>
      <w:r>
        <w:rPr>
          <w:rFonts w:ascii="Times New Roman" w:hAnsi="Times New Roman"/>
          <w:color w:val="000000"/>
          <w:sz w:val="14"/>
        </w:rPr>
        <w:t>The number of shares of Registrant’s Common Stock outstanding as of March 18, 2026 was 72,299,440.</w:t>
      </w:r>
      <w:r>
        <w:rPr>
          <w:rFonts w:ascii="Times New Roman" w:hAnsi="Times New Roman"/>
          <w:color w:val="000000"/>
          <w:sz w:val="20"/>
        </w:rPr>
        <w:t xml:space="preserve"> </w:t>
      </w:r>
    </w:p>
    <w:p>
      <w:pPr>
        <w:pStyle w:val="TextBody"/>
        <w:bidi w:val="0"/>
        <w:spacing w:before="80" w:after="283"/>
        <w:jc w:val="center"/>
        <w:rPr>
          <w:rFonts w:ascii="Times New Roman" w:hAnsi="Times New Roman"/>
          <w:color w:val="000000"/>
          <w:sz w:val="14"/>
        </w:rPr>
      </w:pPr>
      <w:r>
        <w:rPr>
          <w:rFonts w:ascii="Times New Roman" w:hAnsi="Times New Roman"/>
          <w:color w:val="000000"/>
          <w:sz w:val="14"/>
        </w:rPr>
        <w:t>DOCUMENTS INCORPORATED BY REFERENCE</w:t>
      </w:r>
    </w:p>
    <w:p>
      <w:pPr>
        <w:pStyle w:val="TextBody"/>
        <w:bidi w:val="0"/>
        <w:spacing w:before="60" w:after="283"/>
        <w:jc w:val="left"/>
        <w:rPr>
          <w:rFonts w:ascii="Times New Roman" w:hAnsi="Times New Roman"/>
          <w:sz w:val="20"/>
        </w:rPr>
      </w:pPr>
      <w:r>
        <w:rPr>
          <w:rFonts w:ascii="Times New Roman" w:hAnsi="Times New Roman"/>
          <w:color w:val="000000"/>
          <w:sz w:val="14"/>
        </w:rPr>
        <w:t>Portions of the Registrant’s definitive proxy statement to be filed with the Securities and Exchange Commission, or SEC, on or before the date 120 days after the conclusion of the Registrant’s fiscal year ended December 31, 2025</w:t>
      </w:r>
      <w:r>
        <w:rPr>
          <w:rFonts w:ascii="Times New Roman" w:hAnsi="Times New Roman"/>
          <w:color w:val="000000"/>
          <w:sz w:val="20"/>
        </w:rPr>
        <w:t xml:space="preserve"> </w:t>
      </w:r>
      <w:r>
        <w:rPr>
          <w:rFonts w:ascii="Times New Roman" w:hAnsi="Times New Roman"/>
          <w:color w:val="000000"/>
          <w:sz w:val="14"/>
        </w:rPr>
        <w:t>pursuant to Regulation 14A in connection with the Registrant’s 2026 Annual Meeting of Stockholders are incorporated by reference into Part III of this Annual Report on Form 10-K.</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Selected Financial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Accountant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Special Note Regarding Forward 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strategy, future financial condition, future operations, projected costs, prospects, plans, objectives of management and expected market growth, are forward-looking statements.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existing cash, cash equivalents and restricted cash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 of our existing cash, cash equivalents and restricted cash;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strategic plans for our business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market opportunity for our product candidates and our ability to maximize those opportunities;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progress and results of our research and development programs, preclinical studies, clinical trials and investigational new drug applications (IND) and other regulatory submissions;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our product candidates for the treatment of type 1 and type 2 diabetes mellitus or other metabolic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progress and focus of our ongoing and future clinical trials, and the reporting of data from those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clinical trials to demonstrate safety and efficacy of our product candidates, and other favorable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the clinical development of our product candidates, including the disease areas to be evaluated;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regulatory approval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commercializing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the patient populations addressable by our product candidates, if approved, and the number of participants that will enroll in our ongoing and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benefits of potential future strategic collaborations with third parties and our ability to attract collaborators with development, regulatory and commercialization expertise;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or likelihood of regulatory filings and approvals, including our expectation to seek special designations, such as orphan drug designation,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the further development and manufacturing of our product candidates, including for additional indications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regulations and regulatory developments in the United States and other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obtain or protect intellectual property rights, including extensions of existing patent terms where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sufficient funding or enter into strategic collaborations for the advancement of certain of our product candidate programs, such as for BMF-500;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 to rely on third parties to conduct and support preclinical and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retain the continued service of our key personnel and to identify, hire and then retain additional qualified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global health emergencies or other related disruptions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new laws and regulations, amendments to existing laws and regulations, or changes in government agencies,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macroeconomic conditions or market volatility resulting from global economic conditions or geopolitical developments, including supply chain issues, inflationary pressures, market volatility, international tariffs, trade protection measures, economic sanctions, economic slowdowns or recessions, acts of war, and civil and political unrest;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Jumpstart Our Business Startups Act of 2012, as amended (JOBS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Annual Report on Form 10-K,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 We qualify all of the forward-looking statements in this Annual Report on Form 10-K by these cautionary statements.</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Summary Risk Factors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is a summary of the principal factors that make an investment in our common stock speculative or risky. This summary does not address every aspect of our risk factors, all of the risks that we face, or other factors not presently known to us or that we currently believe are immaterial. Additional discussion of the risks summarized in these summary risk factors, and other risks that we face, can be found under the heading “Risk Factors” in this Annual Report on Form 10-K and should be carefully considered, together with other information in this Annual Report on Form 10-K and our other filings with the U.S. Securities and Exchange Commission (SEC), before making investment decisions regarding our common stock.</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limited experience in conducting clinical trials, have not completed the clinical development of any product candidates, have no products approved for commercial sale, and have not generated any revenue, which may make it difficult for you to evaluate our current business and likelihood of success and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capital to finance our operations. If we are unable to raise such capital when needed, or on acceptable terms, we may be forced to delay, reduce and/or eliminate one or more of our research and product development programs or future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discovery and development activities are focused on the development of novel small molecule therapies to treat patients with diabetes and obesity, and the approach we are taking to discover and develop such product candidates is novel, may never lead to marketable products and may not ultimately represent a significant or viable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early in our development efforts and are substantially dependent on our product candidates, icovamenib (formerly BMF-219) and BMF-650. If we are unable to advance icovamenib, BMF-650 or any of our future product candidates through clinical development, obtain regulatory approval and ultimately commercialize icovamenib, BMF-650 or any of our future product candidates, or experience significant delays in doing so, our business, financial condition and results of operations will be materially adversely affected.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Preclinical and clinical drug development is a lengthy and expensive process, with an uncertain outcome. Our preclinical and clinical programs may experience delays or may never be initiated or completed, which would adversely affect our ability to obtain regulatory approvals or commercialize our product candidates on a timely basis or at all, which could have an adverse effect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preclinical testing and early clinical trials may not be predictive of the success of later clinical trials, and the results of our clinical trials may not satisfy the requirements of the U.S. Food and Drug Administration (FDA) or other comparable foreign regulatory authorities. Successful preclinical studies and clinical trials cannot provide assurance of successful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global economic conditions, including supply chain issues, tariffs and inflationary pressures, could materially adversely impact our business, results of operations, and financial condition, including our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stock has been and is likely to continue to be volatile, and you may not be able to resell shares of our common stock at or above the price you paid.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stockholders have experienced, and may continue to experience, substantial dilution from future sales and issuances of our capital stock, including upon the exercise of outstanding warrants issued in our underwritten public offerings completed in June 2025 and October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Heading1"/>
        <w:bidi w:val="0"/>
        <w:spacing w:before="360" w:after="283"/>
        <w:jc w:val="left"/>
        <w:rPr>
          <w:rFonts w:ascii="Times New Roman" w:hAnsi="Times New Roman"/>
          <w:color w:val="000000"/>
          <w:sz w:val="20"/>
        </w:rPr>
      </w:pPr>
      <w:bookmarkStart w:id="3" w:name="item_1_business"/>
      <w:bookmarkEnd w:id="3"/>
      <w:r>
        <w:rPr>
          <w:rFonts w:ascii="Times New Roman" w:hAnsi="Times New Roman"/>
          <w:color w:val="000000"/>
          <w:sz w:val="20"/>
        </w:rPr>
        <w:t>Item 1.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a clinical</w:t>
        <w:noBreakHyphen/>
        <w:t>stage diabetes and obesity medicines company focused on the discovery and development of oral, small molecule drugs to treat and improve the lives of patients with diabetes, obesity, and other metabolic diseases.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was founded in 2017 with the goal of creating targeted treatments built through expertise in chemistry and a deep understanding of metabolic biology. Following the strategic realignment announced in 2025, we now operate as an organization centered on two of our core drug candidate development programs: (i) icovamenib, our lead clinical program’s drug candidate, currently being developed as an orally bioavailable, and selective, covalent inhibitor of menin in two clinical and multiple preclinical studies, investigating icovamenib’s potential in type 1 and type 2 diabetes, as well as its impact in obesity, and (ii) BMF-650, our investigational, next-generation oral glucagon-like peptide-1 GLP-1 receptor agonist (GLP-1 RA) in development for the treatment of obesity.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Today, we have approximately 40 employees and a streamlined operating structure that we believe emphasizes capital efficiency, scientific discipline and focused execution. Our research and development functions are supported by integrated clinical development, clinical operations, clinical pharmacology, regulatory affairs, pharmacovigilance and quality functions.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Members of our leadership and scientific teams have held roles at leading biotechnology and pharmaceutical companies such as Gilead Sciences, Inc. (Nasdaq: GILD), Genentech, Inc., Pharmacyclics, AbbVie Inc. (NYSE: ABBV), Johnson and Johnson, Inc. (NYSE: JNJ), and others. The team includes individuals who contributed to the invention or advancement of several approved medicines including imbruvica, remdesivir, and Harvoni. Our board of directors and scientific advisory board include experts in diabetes, obesity, metabolic disease, and drug development.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mission is to deliver transformative treatments that restore metabolic health. We aim to cure.</w:t>
      </w:r>
    </w:p>
    <w:p>
      <w:pPr>
        <w:pStyle w:val="TextBody"/>
        <w:bidi w:val="0"/>
        <w:spacing w:before="0" w:after="120"/>
        <w:jc w:val="left"/>
        <w:rPr>
          <w:rFonts w:ascii="Times New Roman" w:hAnsi="Times New Roman"/>
          <w:sz w:val="20"/>
        </w:rPr>
      </w:pPr>
      <w:r>
        <w:rPr>
          <w:rFonts w:ascii="Times New Roman" w:hAnsi="Times New Roman"/>
          <w:b/>
          <w:color w:val="000000"/>
          <w:sz w:val="20"/>
        </w:rPr>
        <w:t>OUR PROGRAMS</w:t>
      </w:r>
      <w:r>
        <w:rPr>
          <w:rFonts w:ascii="Times New Roman" w:hAnsi="Times New Roman"/>
          <w:color w:val="000000"/>
          <w:sz w:val="20"/>
        </w:rPr>
        <w:t xml:space="preserve"> </w:t>
      </w:r>
    </w:p>
    <w:p>
      <w:pPr>
        <w:pStyle w:val="TextBody"/>
        <w:bidi w:val="0"/>
        <w:jc w:val="center"/>
        <w:rPr/>
      </w:pPr>
      <w:r>
        <w:rPr/>
        <w:drawing>
          <wp:inline distT="0" distB="0" distL="0" distR="0">
            <wp:extent cx="6400800" cy="3019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00800" cy="30194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Our current pipeline</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OUR INITIAL FOCUS</w:t>
      </w:r>
    </w:p>
    <w:p>
      <w:pPr>
        <w:pStyle w:val="TextBody"/>
        <w:bidi w:val="0"/>
        <w:jc w:val="left"/>
        <w:rPr>
          <w:rFonts w:ascii="Times New Roman" w:hAnsi="Times New Roman"/>
          <w:sz w:val="20"/>
        </w:rPr>
      </w:pPr>
      <w:r>
        <w:rPr>
          <w:rFonts w:ascii="Times New Roman" w:hAnsi="Times New Roman"/>
          <w:b/>
          <w:color w:val="000000"/>
          <w:sz w:val="20"/>
        </w:rPr>
        <w:t>Menin and Beta Cell Biology in Diabetes and Other Metabolic Diseases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Diabetes is a chronic metabolic disease that affects the body’s ability to regulate blood sugar levels, leading to elevated glucose in the bloodstream. Over time, uncontrolled blood sugar can result in serious complications, including cardiovascular disease, kidney failure, nerve damage, and vision impairment. People with diabetes often have a reduced life expectancy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compared to those without this disease. Diabetes is also a significant economic burden on the U.S. health care system, ranking as the 7th leading cause of death in the U.S. and accounting for approximately one out of every four dollars spent on healthcare in the country. According to a study published in The Lancet, worldwide over 800 million adults are estimated to live with diabetes. The CDC estimates about two in five of the adult population in the U.S. are now expected to develop diabetes during their lifetime. More than 38.4 million people of all ages (about 11% of the U.S. population) have diabetes today, while an additional 97.6 million adults (more than one in three) have pre-diabetes, blood sugars that are higher than normal but not high enough to be classified as diabetes.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Despite the availability of numerous treatment options, there remains a critical need for improved therapies that can modify disease progression rather than simply managing symptoms. The American Diabetes Association (ADA) categorizes diabetes based on etiology and onset. Type 1 diabetes is caused by an autoimmune attack on pancreatic beta cells leading to absolute insulin deficiency, including latent autoimmune diabetes of adulthood. Type 2 diabetes is characterized by progressive beta cell dysfunction and insulin resistance. The primary treatment objective, based on the ADA guidelines, is to achieve glycemic control, typically measured by reductions in HbA1c </w:t>
      </w:r>
      <w:r>
        <w:rPr>
          <w:rFonts w:ascii="Segoe UI;sans-serif" w:hAnsi="Segoe UI;sans-serif"/>
          <w:color w:val="000000"/>
          <w:sz w:val="20"/>
        </w:rPr>
        <w:t>(</w:t>
      </w:r>
      <w:r>
        <w:rPr>
          <w:rFonts w:ascii="Times New Roman" w:hAnsi="Times New Roman"/>
          <w:color w:val="000000"/>
          <w:sz w:val="20"/>
        </w:rPr>
        <w:t>glycated hemoglobin), a marker indicating average blood glucose over the past two to three months, to 6.5% or lower. Effective glycemic control is critical in preventing or delaying complications such as kidney disease, heart disease and nerve damage.</w:t>
      </w:r>
    </w:p>
    <w:p>
      <w:pPr>
        <w:pStyle w:val="TextBody"/>
        <w:bidi w:val="0"/>
        <w:jc w:val="left"/>
        <w:rPr>
          <w:rFonts w:ascii="Times New Roman" w:hAnsi="Times New Roman"/>
          <w:color w:val="000000"/>
          <w:sz w:val="20"/>
        </w:rPr>
      </w:pPr>
      <w:r>
        <w:rPr>
          <w:rFonts w:ascii="Times New Roman" w:hAnsi="Times New Roman"/>
          <w:color w:val="000000"/>
          <w:sz w:val="20"/>
        </w:rPr>
        <w:t>The loss of functional beta cell mass is a fundamental driver of disease progression in both type 1 diabetes and type 2 diabetes. Beta cells, located in the pancreas, are responsible for producing and secreting insulin, a hormone essential for glucose metabolism and regulation. In diabetes, beta cell dysfunction and depletion lead to impaired insulin secretion, resulting in hyperglycemia. Researchers suggest that menin, a regulatory protein, plays a key role in beta cell proliferation. Inhibiting menin may remove this restriction, allowing for the regeneration and restoration of functional beta cells.</w:t>
      </w:r>
    </w:p>
    <w:p>
      <w:pPr>
        <w:pStyle w:val="TextBody"/>
        <w:bidi w:val="0"/>
        <w:jc w:val="center"/>
        <w:rPr/>
      </w:pPr>
      <w:r>
        <w:rPr/>
        <w:drawing>
          <wp:inline distT="0" distB="0" distL="0" distR="0">
            <wp:extent cx="6391275" cy="3248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391275" cy="3248025"/>
                    </a:xfrm>
                    <a:prstGeom prst="rect">
                      <a:avLst/>
                    </a:prstGeom>
                  </pic:spPr>
                </pic:pic>
              </a:graphicData>
            </a:graphic>
          </wp:inline>
        </w:drawing>
      </w:r>
    </w:p>
    <w:p>
      <w:pPr>
        <w:pStyle w:val="TextBody"/>
        <w:bidi w:val="0"/>
        <w:spacing w:before="120" w:after="240"/>
        <w:jc w:val="center"/>
        <w:rPr>
          <w:rFonts w:ascii="Times New Roman" w:hAnsi="Times New Roman"/>
          <w:i/>
          <w:color w:val="000000"/>
          <w:sz w:val="20"/>
        </w:rPr>
      </w:pPr>
      <w:r>
        <w:rPr>
          <w:rFonts w:ascii="Times New Roman" w:hAnsi="Times New Roman"/>
          <w:i/>
          <w:color w:val="000000"/>
          <w:sz w:val="20"/>
        </w:rPr>
        <w:t>Diabetes progression of type 1 and type 2 driven by beta cell loss</w:t>
      </w:r>
    </w:p>
    <w:p>
      <w:pPr>
        <w:pStyle w:val="TextBody"/>
        <w:bidi w:val="0"/>
        <w:jc w:val="left"/>
        <w:rPr>
          <w:rFonts w:ascii="Times New Roman" w:hAnsi="Times New Roman"/>
          <w:b/>
          <w:color w:val="000000"/>
          <w:sz w:val="20"/>
        </w:rPr>
      </w:pPr>
      <w:r>
        <w:rPr>
          <w:rFonts w:ascii="Times New Roman" w:hAnsi="Times New Roman"/>
          <w:b/>
          <w:color w:val="000000"/>
          <w:sz w:val="20"/>
        </w:rPr>
        <w:t>Icovamenib – Our Oral Menin Inhibitor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Icovamenib is an orally bioavailable, and selective, covalent inhibitor of menin being developed in two clinical and multiple preclinical studies, investigating icovamenib’s potential in type 1 and type 2 diabetes, as well as its impact in obesity. Menin is a transcriptional regulator implicated in beta-cell dysfunction, and has been observed to induce transient reductions in menin protein levels in pancreatic islets, thereby modulating pathways associated with insulin secretion and glycemic control. As a potential short course therapy, we believe icovamenib could become an important addition to the diabetes treatment landscape particularly addressing those patients who failed their standard of care therapies.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Dual Potential Mechanism of 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Icovamenib has demonstrated a generally well-tolerated safety profile in preclinical and early-stage clinical studies. Mechanistic studies support two potential modes of action: (i) increasing beta cell mass and function, thereby enhancing insulin synthesis and secretion, and (ii) upregulating GLP-1 receptor expression, which may contribute to improved glycemic control and metabolic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Restoration of Beta Cell Quantity and Function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Icovamenib has been observed in preclinical and early-stage clinical studies to increase beta cell quantity and function, addressing a fundamental deficiency in patients with diabetes. Through its proposed mechanism of action, icovamenib has been observed in non-clinical and early-stage clinical studies to promote glucose-regulated beta cell proliferation and enhance insulin synthesis and secretion. Through this targeted restoration of endogenous beta cell quantity and function, icovamenib has the potential to reestablish healthy insulin production and deliver a durable glycemic benefit beyond the treatment period.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w:t>
      </w:r>
    </w:p>
    <w:p>
      <w:pPr>
        <w:pStyle w:val="TextBody"/>
        <w:bidi w:val="0"/>
        <w:jc w:val="left"/>
        <w:rPr>
          <w:rFonts w:ascii="Times New Roman" w:hAnsi="Times New Roman"/>
          <w:color w:val="000000"/>
          <w:sz w:val="20"/>
        </w:rPr>
      </w:pPr>
      <w:r>
        <w:rPr>
          <w:rFonts w:ascii="Times New Roman" w:hAnsi="Times New Roman"/>
          <w:color w:val="000000"/>
          <w:sz w:val="20"/>
        </w:rPr>
        <w:t xml:space="preserve">GLP-1 Receptor Expression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addition to its observed effects on beta cell mass and function, icovamenib has been shown in preclinical studies to increase expression of the GLP-1 receptor, which may enhance incretin signaling and responsiveness to incretin-based therapies, thereby improving glucose metabolism. The findings from COVALENT-111 are consistent with the proposed mechanism, where patients already receiving a GLP-1 receptor-based therapy and remaining above glycemic targets experienced a reduction in HbA1c following a limited course of icovamenib. Icovamenib was also observed to increase the expression of GLP-1 in enterocyte cells cultured in vitro, suggesting the potential for additional incretin-based mechanisms in regulating blood glucose levels, enhancing appetite suppression and reducing body weight. In preclinical combination studies, icovamenib and a low dose of semaglutide together produced superior glycemic control, greater body weight reduction driven by selective fat loss, and preservation of lean mass compared to semaglutide alone. These findings support the potential for icovamenib to improve GLP-1 receptor activity in both preclinical and clinical settings and may provide benefit to patients who are not achieving treatment goals on GLP-1 therapy alone.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Due to the long half-life of beta cells, icovamenib is not intended as a chronic therapy for insulin deficient diabetes, but rather as a 12-week treatment produced lasting effects beyond the active dosing period.</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Icovamenib - Proposed Mechanism of Action</w:t>
      </w:r>
    </w:p>
    <w:p>
      <w:pPr>
        <w:pStyle w:val="TextBody"/>
        <w:bidi w:val="0"/>
        <w:jc w:val="center"/>
        <w:rPr/>
      </w:pPr>
      <w:r>
        <w:rPr/>
        <w:drawing>
          <wp:inline distT="0" distB="0" distL="0" distR="0">
            <wp:extent cx="6400800" cy="3371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400800" cy="3371850"/>
                    </a:xfrm>
                    <a:prstGeom prst="rect">
                      <a:avLst/>
                    </a:prstGeom>
                  </pic:spPr>
                </pic:pic>
              </a:graphicData>
            </a:graphic>
          </wp:inline>
        </w:drawing>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are currently investigating icovamenib in type 1 and type 2 diabetes through several clinical trials, as described more fully below. Through these trials, we are advancing icovamenib as a potential therapy for diabetes based on its observed ability to improve beta cell health and function. Loss of functional beta cell mass is a core characteristic in both type 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diabetes and type 2 diabetes. In type 1 diabetes, autoimmune destruction leads to nearly complete loss of insulin producing beta cells. In type 2 diabetes, progressive metabolic dysfunction and beta cell exhaustion results in declining insulin secretion over time. Beta cells release insulin, a hormone which is required for glucose regulation, and the decline in beta cell mass leads directly to chronic hyperglycemia and its complications. Menin is understood to regulate beta cell turnover and growth. Controlled inhibition of menin has the potential to restore healthy beta cell populations. Icovamenib is being developed to potentially address this underlying driver of diabetes rather than only managing symptoms.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RECENT DEVELOPMENT RESULTS</w:t>
      </w:r>
    </w:p>
    <w:p>
      <w:pPr>
        <w:pStyle w:val="TextBody"/>
        <w:bidi w:val="0"/>
        <w:spacing w:before="0" w:after="120"/>
        <w:jc w:val="left"/>
        <w:rPr>
          <w:rFonts w:ascii="Times New Roman" w:hAnsi="Times New Roman"/>
          <w:sz w:val="20"/>
        </w:rPr>
      </w:pPr>
      <w:r>
        <w:rPr>
          <w:rFonts w:ascii="Times New Roman" w:hAnsi="Times New Roman"/>
          <w:b/>
          <w:color w:val="000000"/>
          <w:sz w:val="20"/>
        </w:rPr>
        <w:t>Icovamenib - Phase II COVALENT-111 Clinical Results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completed the Phase II COVALENT-111 trial evaluating icovamenib in adults with type 2 diabetes. The full 52-week data showed durable and clinically meaningful improvements in glycemic control following a limited twelve-week dosing period. In the severe insulin deficient diabetes population receiving one or more antihyperglycemic agents at baseline, icovamenib achieved a sustained placebo adjusted HbA1c reduction of 1.5% at week 52. </w:t>
      </w:r>
    </w:p>
    <w:p>
      <w:pPr>
        <w:pStyle w:val="TextBody"/>
        <w:bidi w:val="0"/>
        <w:jc w:val="center"/>
        <w:rPr/>
      </w:pPr>
      <w:r>
        <w:rPr/>
        <w:drawing>
          <wp:inline distT="0" distB="0" distL="0" distR="0">
            <wp:extent cx="6400800" cy="2838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400800" cy="2838450"/>
                    </a:xfrm>
                    <a:prstGeom prst="rect">
                      <a:avLst/>
                    </a:prstGeom>
                  </pic:spPr>
                </pic:pic>
              </a:graphicData>
            </a:graphic>
          </wp:inline>
        </w:drawing>
      </w:r>
    </w:p>
    <w:p>
      <w:pPr>
        <w:pStyle w:val="TextBody"/>
        <w:bidi w:val="0"/>
        <w:spacing w:before="120" w:after="240"/>
        <w:jc w:val="center"/>
        <w:rPr>
          <w:rFonts w:ascii="Times New Roman" w:hAnsi="Times New Roman"/>
          <w:i/>
          <w:color w:val="000000"/>
          <w:sz w:val="20"/>
        </w:rPr>
      </w:pPr>
      <w:r>
        <w:rPr>
          <w:rFonts w:ascii="Times New Roman" w:hAnsi="Times New Roman"/>
          <w:i/>
          <w:color w:val="000000"/>
          <w:sz w:val="20"/>
        </w:rPr>
        <w:t>Severe insulin-deficient diabetes patients - 12 weeks of icovamenib dosing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also plan to evaluate icovamenib in the potential treatment of patients with type 2 diabetes who are not achieving glycemic target while receiving GLP-1 RA-based therapy. Data from the COVALENT-111 trial suggest that icovamenib may provide additional glycemic benefit in such patients. In the trial, patients receiving a GLP-1 receptor-based therapy at baseline who remained above glycemic targets achieved additional, clinically meaningful HbA1c improvement following a limited twelve-week course of icovamenib. At week 52, a post-hoc analysis of data from this population demonstrated a placebo adjusted mean HbA1c reduction of 1.8%. These findings are consistent with the mechanistic effects observed in non-clinical combination studies.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400800" cy="2857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00800" cy="2857500"/>
                    </a:xfrm>
                    <a:prstGeom prst="rect">
                      <a:avLst/>
                    </a:prstGeom>
                  </pic:spPr>
                </pic:pic>
              </a:graphicData>
            </a:graphic>
          </wp:inline>
        </w:drawing>
      </w:r>
    </w:p>
    <w:p>
      <w:pPr>
        <w:pStyle w:val="TextBody"/>
        <w:bidi w:val="0"/>
        <w:spacing w:before="120" w:after="240"/>
        <w:jc w:val="center"/>
        <w:rPr>
          <w:rFonts w:ascii="Times New Roman" w:hAnsi="Times New Roman"/>
          <w:i/>
          <w:color w:val="000000"/>
          <w:sz w:val="20"/>
        </w:rPr>
      </w:pPr>
      <w:r>
        <w:rPr>
          <w:rFonts w:ascii="Times New Roman" w:hAnsi="Times New Roman"/>
          <w:i/>
          <w:color w:val="000000"/>
          <w:sz w:val="20"/>
        </w:rPr>
        <w:t>Post-hoc analysis of patients on a GLP-1 RA-based therapy not achieving target HbA1c &lt;7% at enrollment</w:t>
      </w:r>
    </w:p>
    <w:p>
      <w:pPr>
        <w:pStyle w:val="TextBody"/>
        <w:bidi w:val="0"/>
        <w:spacing w:before="0" w:after="120"/>
        <w:jc w:val="left"/>
        <w:rPr>
          <w:rFonts w:ascii="Times New Roman" w:hAnsi="Times New Roman"/>
          <w:sz w:val="20"/>
        </w:rPr>
      </w:pPr>
      <w:r>
        <w:rPr>
          <w:rFonts w:ascii="Times New Roman" w:hAnsi="Times New Roman"/>
          <w:b/>
          <w:color w:val="000000"/>
          <w:sz w:val="20"/>
        </w:rPr>
        <w:t>Icovamenib - COVALENT-111 Safety Results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Icovamenib was generally well-tolerated across all dosing arms through the 52-week observation period. No treatment-related serious adverse events were reported, and no participants discontinued treatment due to adverse events.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we successfully completed chronic toxicology studies in two species for icovamenib, further strengthening the program’s safety foundation. These studies demonstrated a favorable safety profile consistent with previously reported preclinical and clinical data. To date, more than 400 subjects have been dosed with icovamenib, with results indicating that the compound has been generally well-tolerated. </w:t>
      </w:r>
    </w:p>
    <w:p>
      <w:pPr>
        <w:pStyle w:val="TextBody"/>
        <w:bidi w:val="0"/>
        <w:spacing w:before="0" w:after="120"/>
        <w:jc w:val="left"/>
        <w:rPr>
          <w:rFonts w:ascii="Times New Roman" w:hAnsi="Times New Roman"/>
          <w:sz w:val="20"/>
        </w:rPr>
      </w:pPr>
      <w:r>
        <w:rPr>
          <w:rFonts w:ascii="Times New Roman" w:hAnsi="Times New Roman"/>
          <w:b/>
          <w:color w:val="000000"/>
          <w:sz w:val="20"/>
        </w:rPr>
        <w:t>Icovamenib - COVALENT-121 Food Effect Study</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fourth quarter of 2025, we completed the COVALENT-121 food-effect study in 60 participants. The study demonstrated that icovamenib achieved optimal pharmacokinetic exposure and maintained a safety profile consistent with prior clinical experience, when administered within 30 minutes after a meal. The results from this study informed dosing instructions intended to support consistent drug exposure in subsequent Phase II clinical studies, including our recently initiated studies, COVALENT-211 and COVALENT-212.</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Icovamenib – COVALENT-211 and COVALENT-212 Clinical Studies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fourth quarter of 2025, the Company initiated two Phase II clinical studies to evaluate icovamenib in patients with type 2 diabetes. We expect to conduct a readout of the 26-week primary endpoint data in the fourth quarter of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COVALENT-211 is a Phase II, randomized, double-blind, placebo-controlled clinical trial assessing the efficacy and safety of icovamenib in participants with type 2 diabetes who are not achieving glycemic targets despite antihyperglycemic medications. The trial is expected to enroll approximately 60 patients. Participants are dosed with icovamenib 100 mg once daily for 12 weeks. The primary endpoint is mean change in HbA1c from baseline at week 26. Secondary endpoints include mean change in HbA1c from baseline at weeks 12 and 52, mean change in fasting plasma glucose from baseline at week 26 and safety.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COVALENT-212 is a Phase II, randomized, double-blind, placebo-controlled clinical trial assessing the efficacy and safety of icovamenib in participants with type 2 diabetes not achieving glycemic targets despite being on a GLP-1 RA-based therapy. The trial design, dosing regimen, and endpoints are similar in structure to COVALENT-211 and are intended to evaluate the efficacy and safety of icovamenib only in this patient population.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Icovamenib - COVALENT-112 Type 1 Diabetes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COVALENT-112 is a multi-site, randomized, double-blind, placebo-controlled Phase II trial evaluating icovamenib in healthy adults and adults with type 1 diabetes. The trial’s primary endpoint assesses the mean change from baseline in stimulated C-peptide AUC at Week 26. The former clinical hold imposed in June 2024 and lifted in September 2024, had a profound impact on the COVALENT-112 trial in type 1 diabetes, where over 90% of the targeted patient population was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able to complete dosing due to the clinical hold. We plan to conduct an analysis of patients who completed treatment, the results of which will inform future development decisions for icovamenib in type 1 diabetes, subject to the availability of resources.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BMF-650 – Our Oral, Next-Generation GLP-1 RA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other product candidate, BMF-650, is an investigational next-generation, oral, small molecule GLP-1 RA, for the treatment of obesity. GLP-1 is a naturally occurring incretin hormone that plays a vital role in glucose homeostasis and appetite regulation. GLP-1 RAs are a class of medications that bind to and activate GLP-1 receptors, mimicking the effects of native GLP-1. These agents have demonstrated robust clinical efficacy in improving glycemic control, promoting weight loss, and enhancing insulin sensitivity in individuals with type 2 diabetes and obesity.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BMF-650 demonstrated positive early preclinical activity, including improved glucose-stimulated insulin secretion, reduction in blood glucose concentration, and appetite suppression in cynomolgus monkeys. Comparative preclinical studies evaluating BMF-650 against a leading oral GLP-1 RA showed that BMF-650 exhibited higher oral bioavailability and a less variable pharmacokinetic profile, which may translate to improved tolerability and support successful dose escalation in clinical development.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cynomolgus monkey studies, BMF-650 showed robust effects on metabolic function, including significant improvements in glucose control and glucose-stimulated insulin secretion consistent with findings from human donor islet experiments. Appetite suppression studies demonstrated that once daily oral administration of BMF-650 resulted in a clear, dose-dependent reduction in daily food intake and continuous, progressive weight loss over a 28-day treatment period. BMF-650 was well tolerated and maintained a favorable safety profile.</w:t>
      </w:r>
    </w:p>
    <w:p>
      <w:pPr>
        <w:pStyle w:val="TextBody"/>
        <w:bidi w:val="0"/>
        <w:spacing w:before="0" w:after="120"/>
        <w:jc w:val="center"/>
        <w:rPr/>
      </w:pPr>
      <w:r>
        <w:rPr/>
        <w:drawing>
          <wp:inline distT="0" distB="0" distL="0" distR="0">
            <wp:extent cx="6400800" cy="3124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400800" cy="3124200"/>
                    </a:xfrm>
                    <a:prstGeom prst="rect">
                      <a:avLst/>
                    </a:prstGeom>
                  </pic:spPr>
                </pic:pic>
              </a:graphicData>
            </a:graphic>
          </wp:inline>
        </w:drawing>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findings support the potential of BMF-650 as an oral, next-generation GLP-1 RA designed to provide meaningful metabolic benefit while supporting long-term adherence for patients with obesity. Our development strategy with BMF-650 is centered on achieving enhanced oral bioavailability, reduced pharmacokinetic variability, and increased drug exposure overtime to support the development of a potential best-in-class, oral, small molecule GLP-1 RA.</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BMF-650 - Phase I Trial GLP-131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BMF-650 is currently being evaluated in an ongoing Phase I GLP-131 clinical trial.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GLP-131 is a Phase I, randomized, double-blind, placebo-controlled, single and multiple ascending dose clinical trial designed to evaluate the safety, tolerability, pharmacokinetics, and pharmacodynamics of BMF-650 in otherwise healthy overweight or obese participants. We expect to announce the initial 28-day weight loss clinical data in the second quarter of 2026. Additional information regarding the trial is available on ClinicalTrials.gov under identifier NCT07223216.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olor w:val="000000"/>
          <w:sz w:val="20"/>
        </w:rPr>
        <w:t>OUR STRATEGY</w:t>
      </w:r>
      <w:r>
        <w:rPr>
          <w:rFonts w:ascii="Times New Roman" w:hAnsi="Times New Roman"/>
          <w:color w:val="000000"/>
          <w:sz w:val="20"/>
        </w:rPr>
        <w:t xml:space="preserve">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Focused Execution to Advance to Late-Stage Development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committed to continue the development of our innovative therapies toward late-stage readiness. We believe we have the operational team in place to clinically advance each of our programs forward into late stage trials.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With our strategic focus to become a diabetes and medicines company, as announced in January 2025, we are concluding our studies exploring icovamenib’s potential in oncology and plan to explore partnerships to further advance our oncology assets (i.e. BMF-500), while concentrating internal resources on metabolic disorders.</w:t>
      </w:r>
    </w:p>
    <w:p>
      <w:pPr>
        <w:pStyle w:val="TextBody"/>
        <w:bidi w:val="0"/>
        <w:jc w:val="left"/>
        <w:rPr>
          <w:rFonts w:ascii="Times New Roman" w:hAnsi="Times New Roman"/>
          <w:b/>
          <w:color w:val="000000"/>
          <w:sz w:val="20"/>
        </w:rPr>
      </w:pPr>
      <w:r>
        <w:rPr>
          <w:rFonts w:ascii="Times New Roman" w:hAnsi="Times New Roman"/>
          <w:b/>
          <w:color w:val="000000"/>
          <w:sz w:val="20"/>
        </w:rPr>
        <w:t>Key Strategic Priorities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Execute Phase II Development of Icovamenib in Type 2 Diabetes: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Icovamenib, a potentially first-in-class oral, selective, covalent inhibitor of menin, has demonstrated the potential to restore beta cell function and mass, to improve glycemic control. We are prioritizing the development of icovamenib initially in two key patient populations with significant unmet medical need:</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Severe Insulin Deficient Diabetes Patients:</w:t>
      </w:r>
      <w:r>
        <w:rPr>
          <w:color w:val="000000"/>
        </w:rPr>
        <w:t xml:space="preserve"> </w:t>
      </w:r>
      <w:r>
        <w:rPr>
          <w:rFonts w:ascii="Times New Roman" w:hAnsi="Times New Roman"/>
          <w:color w:val="000000"/>
          <w:sz w:val="20"/>
        </w:rPr>
        <w:t>This population is estimated to include approximately 14 million of type 2 diabetes patients across the United States and European Union (EU), and more than 50 million patients in Asian countries. This population of patients exhibit the highest unmet medical need, experiencing high treatment failure rates, rapid progression to insulin-dependency, and poor cardiovascular outcomes. We are initiating a Phase II randomized, double, placebo-controlled clinical trial (COVALENT-211) assessing the efficacy and safety of icovamenib in participants with type 2 diabetes who are not achieving glycemic targets despite antihyperglycemic medications.</w:t>
        <w:br/>
      </w:r>
      <w:r>
        <w:rPr>
          <w:color w:val="000000"/>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 xml:space="preserve">Patients not Achieving Glycemic Targets on GLP-1 RA-Based Therapies: </w:t>
      </w:r>
      <w:r>
        <w:rPr>
          <w:rFonts w:ascii="Times New Roman" w:hAnsi="Times New Roman"/>
          <w:color w:val="000000"/>
          <w:sz w:val="20"/>
        </w:rPr>
        <w:t xml:space="preserve">Clinical and preclinical data support the potential of icovamenib to enhance the activity of GLP-1 RA-based therapies, leading to enhanced insulin production and superior glucose control. We are initiating a Phase II, randomized, double-blind, placebo-controlled clinical trial (COVALENT-212) assessing the efficacy and safety of icovamenib in participants with type 2 diabetes not achieving glycemic targets despite GLP-1 RA-based therapy.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Conclude the Phase I Trial of BMF-650 in Obesity and Advance BMF-650 within the Metabolic Pipeline:</w:t>
      </w:r>
      <w:r>
        <w:rPr>
          <w:color w:val="000000"/>
        </w:rPr>
        <w:t xml:space="preserve"> </w:t>
      </w:r>
      <w:r>
        <w:rPr>
          <w:rFonts w:ascii="Times New Roman" w:hAnsi="Times New Roman"/>
          <w:color w:val="000000"/>
          <w:sz w:val="20"/>
        </w:rPr>
        <w:t xml:space="preserve">BMF-650, our next-generation oral GLP-1 RA candidate, is currently being evaluated in a Phase I trial. With its unique pharmacokinetic properties and encouraging preclinical efficacy profile, BMF-650 has the potential to provide a differentiated oral GLP-1 RA option for obesity and metabolic disease. We expect to announce initial Phase I data in the second quarter of 2026.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Evaluate Opportunities to Enhance the Potential of our Programs in Collaboration with Third Parties: </w:t>
      </w:r>
      <w:r>
        <w:rPr>
          <w:rFonts w:ascii="Times New Roman" w:hAnsi="Times New Roman"/>
          <w:color w:val="000000"/>
          <w:sz w:val="20"/>
        </w:rPr>
        <w:t>We retain full worldwide development and commercialization rights to each of our product candidates. In the future, we may selectively enter into collaborations where we believe there is an opportunity to accelerate clinical development or enhance the potential of our product candidates. We intend to commercialize our product candidates in key markets either alone or with partners to maximize the value of our assets.</w:t>
      </w:r>
    </w:p>
    <w:p>
      <w:pPr>
        <w:pStyle w:val="TextBody"/>
        <w:bidi w:val="0"/>
        <w:spacing w:before="24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In addition, we believe we are currently the only company in the United States clinically developing irreversible covalent binders specifically against menin. We define ourselves as targeted drug developers focused on irreversible covalent drugs and as such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companies may be or may become interested in discovery and development of irreversible covalent binders that may compete with us against menin or related targets at scale and in an integrated way. Even if they do not advance programs with the same mechanism of action as ours, these companies could develop products or product candidates that are competitive with ours or that have a superior product profile and may do so at a rapid pace. These competitors also compete with us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 We face competition from segments of the pharmaceutical, biotechnology and other related markets that pursue the development of therapies that target irreversible covalent binding against protein targets of interest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our knowledge, there are no clinical-stage programs that aim to specifically regenerate insulin-producing beta cells in the islets by targeting menin for diabetes. There are over 60 approved agents and therapies being utilized to address diabetes. Such approved agents and therapies are intended to provide specific benefits to patients; however, we are not aware of any successfully addressing the root cause of diabetes, a depleted pool of functional beta cells. Several programs are targeting beta cell proliferation, including DYRK1A inhibitors. However, in addition to specific safety challenges, studies have shown that this approach may not only proliferate beta cells but also other pancreatic cells, which would not necessarily improve the ratio of alpha to beta cells in the pancreas. </w:t>
      </w:r>
    </w:p>
    <w:p>
      <w:pPr>
        <w:pStyle w:val="TextBody"/>
        <w:bidi w:val="0"/>
        <w:spacing w:before="120" w:after="283"/>
        <w:jc w:val="left"/>
        <w:rPr>
          <w:rFonts w:ascii="Times New Roman" w:hAnsi="Times New Roman"/>
          <w:sz w:val="20"/>
        </w:rPr>
      </w:pPr>
      <w:r>
        <w:rPr>
          <w:rFonts w:ascii="Times New Roman" w:hAnsi="Times New Roman"/>
          <w:color w:val="000000"/>
          <w:sz w:val="20"/>
        </w:rPr>
        <w:t>Our competitors also include companies that are or will be developing other targeted therapies, including small molecule, antibody, or protein degraders for the same indications that we are targeting. For example, the Wegovy</w:t>
      </w:r>
      <w:r>
        <w:rPr>
          <w:rFonts w:ascii="Times New Roman" w:hAnsi="Times New Roman"/>
          <w:color w:val="000000"/>
          <w:sz w:val="13"/>
        </w:rPr>
        <w:t>®</w:t>
      </w:r>
      <w:r>
        <w:rPr>
          <w:rFonts w:ascii="Times New Roman" w:hAnsi="Times New Roman"/>
          <w:color w:val="000000"/>
          <w:sz w:val="20"/>
        </w:rPr>
        <w:t xml:space="preserve"> pill was approved in December 2025 and is indicated with a reduced calorie diet and increased physical activity for adults with obesity, or with overweight who also have weight-related medical problems, to help them lose weight and keep it off. We could see a reduction or elimination in our commercial opportunity if our competitors develop and commercialize drugs that are safer, more effective, have fewer or less severe side effects, are more convenient to administer, are less expensive or with more favorable labeling than our product candidates.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potency, selectivity, inactivation of the target, therapeutic window, safety, convenience, price, the level of generic competition, our ability to market and commercialize the product candidate, and the availability of reimbursement from government and other third-party payors. </w:t>
      </w:r>
    </w:p>
    <w:p>
      <w:pPr>
        <w:pStyle w:val="TextBody"/>
        <w:bidi w:val="0"/>
        <w:spacing w:before="24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protect the intellectual property and proprietary technology that we consider important to our business, including by pursuing patent applications that cover our product candidates and methods of using the same, as well as other relevant inventions and improvements that we believe to be commercially important to the development of our business. We also rely on trade secrets, know-how and continuing technological innovation to develop and maintain our proprietary and intellectual property position. Our commercial success depends, in part, on our ability to obtain, maintain, enforce and protect our intellectual property and other proprietary rights for the technology, inventions and improvements we consider important to our business, and to defend any patents we may own or in-license in the future, prevent others from infringing any patents we may own or in-license in the future, preserve the confidentiality of our trade secrets, and operate without infringing, misappropriating or otherwise violating the valid and enforceable patents and proprietary rights of third parties. As with other biotechnology and pharmaceutical companies, our ability to maintain and solidify our proprietary and intellectual property position for our product candidates and technologies will depend on our success in obtaining effective patent claims and enforcing those claims if granted. However, our pending provisional and Patent Cooperation Treaty (PCT) applications, and any patent applications that we might in the future file or license from third parties, may not result in the issuance of patents and any issued patents we may obtain do not guarantee us the right to practice our technology or commercialize our product candidates. The PCT is a treaty with more than 150 contracting states that makes it possible to seek patent protection across multiple states by filing a single “international” application. We also cannot predict the breadth of claims that may be allowed or enforced in any patents we may own or in-license in the future. Any issued patents that we may own or in-license in the future may be challenged, invalidated, circumvented or have the scope of their claims narrowed.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the protection such patent would afford the respective product and any competitive advantage such patent may provide.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of individual patents depends upon the date of filing of the patent application, the date of patent issuance and the legal term of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United States Patent and Trademark Office (USPTO) in examining and granting a patent, or may be shortened if a patent is terminally disclaimed over an earlier filed patent. The term of a patent claiming a new drug product may also be eligible for a limited patent term extension when FDA approval of the new drug product is granted, provided statutory and regulatory requirements are met. The extension period granted on a patent covering a product is typically one-half the time between the effective date of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investigation involving human beings began and the submission date of a new drug application (NDA), plus the time between the submission date of a NDA and the ultimate approval date. The extension period cannot be longer than five years and the total patent term, including the extension period, must not exceed 14 years following the date of FDA approval. Only one patent applicable to an approved product is eligible for the extension, and only those claims covering the approved product, a method for using it, or a method for manufacturing it may be extended. A patent that covers multiple products for which extension is sought can be extended only in connection with one of the approvals. The USPTO reviews the application for any patent term extension or restoration in consultation with the FDA. In the future, if any of our product candidates receive approval by the FDA, we expect to apply for a patent term extension on issued patents covering the product, method of using it, or method for manufacturing it, depending upon the length of the clinical studies for the product and other factors. Outside the U.S., similar applications for patent term extensions or supplementary protection certificates are available in a limited number of countries. We expect to apply for such coverage where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the USPTO or any other patent office outside the U.S. will approve any of our applications for patent term extensions or supplementary protection certificates. There can be no assurance that patents will issue from our current or future pending patent applications, or that we will benefit from any patent term extension or favorable adjustments to the terms of any patents we may own or in-license in the future. In addition,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A patent term may be inadequate to protect our competitive position on our products, if approved, for an adequate amount of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owned seven issued U.S. patents, more than 100 U.S. and outside U.S. pending patent applications, directed to compositions of matter, methods of treatment, and methods of making with respect to our product candidates, including icovamenib, BMF-500 and BMF-650.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prosecution is a lengthy process, during which the scope of the claims initially submitted for examination by the USPTO or other foreign jurisdiction are often significantly narrowed by the time they issue, if they issue at all. None of our pending PCT patent applications are eligible to become issued patents until, among other things, we file national stage patent applications within 30 months in the countries in which we seek patent protection. If we do not timely file a national stage patent applications, we may lose our priority date in that country with respect to that PCT patent application and any patent protection on the inventions disclosed in such PCT patent application. Our provisional patent applications might never result in issued patents and are not eligible to become issued patents until, among other things, we file a non-provisional and/or PCT patent application within 12 months of filing the related provisional patent application. If we do not timely file non-provisional or PCT patent applications, we may lose our priority date with respect to our provisional patent applications and any patent protection on the inventions disclosed in our provisional patent applications. While we intend to timely file non-provisional and PCT patent applications relating to our provisional patent applications, and we intend to timely file national stage patent applications relating to our PCT patent applications, we cannot predict whether any of our current or future patent applications related to icovamenib, or any of our other product candidates, will issue as patents. If we do not successfully obtain patent protection, or, even if we do obtain patent protection, if the scope of the patent protection we obtain for our product candidates or technology is not sufficiently broad, we will be unable to prevent others from using our technology or from developing or commercializing technology and products similar or identical to ours or other competing products and technologies. Additionally, even if any of our patent applications issue as patents, the patents covering our proprietary technologies and our product candidates would be expected to expire between 2039 and 2045.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applications, we rely on unpatented trade secrets, know-how and continuing technological innovation to develop and maintain our competitive position. However, trade secrets and confidential know-how are difficult to protect. In particular, we consider various aspects of our irreversible binder discovery platform to constitute our trade secrets and know-how. We seek to protect our proprietary information, in part, by executing confidentiality agreements with our collaborators and scientific advisors and non-competition, non-solicitation, confidentiality and invention assignment agreements with our employees and consultants. We cannot guarantee that we have, or that we will have executed such agreements with all applicable employees and contractors, or that these agreements will afford us adequate protection of our intellectual property and proprietary information rights. In addition, our trade secrets and/or confidential know-how may become known or be independently developed by a third party or misused by any person to whom we disclose such information. These agreements may also be breached, and we may not have an adequate remedy for any such breach. Despite any measures taken to protect our intellectual property, unauthorized parties may attempt to copy aspects of our products or to obtain or use information that we regard as proprietary. Although we take steps to protect our product candidates and any future proprietary information, third parties may independently develop the same or similar proprietary information or may otherwise gain access to our proprietary information. As a result, we might be unable to meaningfully protect our trade secrets and proprietary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more information regarding the risks related to our intellectual property, please see “Risk Factors—Risks related to our intellectual property.”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License and Partnership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did not have any license or partnership agreements related to any of our programs. As these programs and our business evolve, we may consider entering into a potential license or partnership and may explore partnerships to further advance our oncology assets while concentrating our internal resources on metabolic disorders. A potential partnership could provide non-dilutive funding and access to additional capabilities and expertise that a partner could provide to enhance the overall probability of program success.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manufacturing facilities or personnel. We currently rely, and expect to continue to rely, on third parties for the manufacture of our product candidates undergoing preclinical studies, as well as for our clinical trials. This arrangement is also expected for commercial manufacturing if our product candidates receive marketing approval. Certain of our suppliers of ingredients, raw materials, components and materials are single source suppliers. All of our product candidates are small molecules and are manufactured in synthetic processes from available starting materials. We expect to continue to develop product candidates that can be produced cost-effectively at contract manufacturing facilities.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receiving marketing approvals, we expect to commence commercialization activities by building a focused sales and marketing organization in the United States to sell our products. We believe that such an organization will be able to address the community of endocrinologists who are the key specialists in treating the patient populations for which our product candidates are being developed. Outside the United States, we expect to enter into distribution and other marketing arrangements with third parties for any of our product candidates that obtain marketing approval. 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 </w:t>
      </w:r>
    </w:p>
    <w:p>
      <w:pPr>
        <w:pStyle w:val="TextBody"/>
        <w:bidi w:val="0"/>
        <w:spacing w:before="24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(NDA) process before it may be legally marketed in the United States. We, along with any third-party contractors, will be required to navigate the various preclinical, clinical and commercial approval requirements of the governing regulatory agencies of the countries in which we wish to conduct studies or seek approval of our products and product candidates. The process of obtaining regulatory approvals and the subsequent compliance with applicable federal, state, local and foreign statutes and regulations requires the expenditure of substantial time and financial resources. </w:t>
      </w:r>
    </w:p>
    <w:p>
      <w:pPr>
        <w:pStyle w:val="TextBody"/>
        <w:bidi w:val="0"/>
        <w:spacing w:before="240" w:after="283"/>
        <w:jc w:val="left"/>
        <w:rPr>
          <w:rFonts w:ascii="Times New Roman" w:hAnsi="Times New Roman"/>
          <w:sz w:val="20"/>
        </w:rPr>
      </w:pPr>
      <w:r>
        <w:rPr>
          <w:rFonts w:ascii="Times New Roman" w:hAnsi="Times New Roman"/>
          <w:b/>
          <w:i/>
          <w:color w:val="000000"/>
          <w:sz w:val="20"/>
        </w:rPr>
        <w:t>U.S. Drug Development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 FDA regulates drugs under the Federal Food, Drug, and Cosmetic Act (FDCA) and its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The process required by the FDA before a drug may be marketed in the United States generally involves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completion of preclinical laboratory studies, animal studies and formulation studies in accordance with the FDA’s good laboratory practice (GLP) requirements and other applicable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to the FDA of an IND, which must become effective before human clinical trials may begin and must be updated annually or when certain changes are made;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by an independent Institutional Review Board (IRB), or ethics committee at each clinical site before each trial may be initiated;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of adequate and well-controlled human clinical trials in accordance with applicable IND regulations, good clinical practices (GCPs), and other clinical-trial regulations, to establish the safety and efficacy of the proposed drug for its intended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preparation of and submission to the FDA of an NDA after completion of all pivotal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determination by the FDA within 60 days of its receipt of an NDA to file the application for review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an FDA advisory committee review, if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audit of the preclinical and/or clinical trial sites that generated the data in support of the NDA;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an FDA inspection of the manufacturing facilities at which the drug is produced to assess compliance with current good manufacturing practice (cGMP) requirements to ensure that the facilities, methods and controls are adequate to preserve the drug’s identity, strength, quality and purity, and of selected clinical investigation sites to assess compliance with GCPs;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review and approval of the NDA to permit commercial marketing of the product for particular indications for use in the United States.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Prior to beginning the first clinical trial with a product candidate in the United States, a sponsor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Times New Roman" w:hAnsi="Times New Roman"/>
          <w:i/>
          <w:color w:val="000000"/>
          <w:sz w:val="20"/>
        </w:rPr>
        <w:t xml:space="preserve">in vitro </w:t>
      </w:r>
      <w:r>
        <w:rPr>
          <w:rFonts w:ascii="Times New Roman" w:hAnsi="Times New Roman"/>
          <w:color w:val="000000"/>
          <w:sz w:val="20"/>
        </w:rPr>
        <w:t xml:space="preserve">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or imposes a full or partial clinical hold on the IND within that 30-day time period. In such a case, the IND sponsor and the FDA must resolve any outstanding concerns or questions before the clinical trial can begin. Submission of an IND therefore may or may not result in FDA authorization to begin a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participants are being exposed to an unacceptable health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Similarly, an IRB can suspend or terminate approval of a clinical trial at its institution if the clinical trial is not being conducted in accordance with the IRB’s requirements or if the drug has been associated with unexpected serious harm to participants. There are also requirements governing the reporting of ongoing clinical studies and clinical study results to public registries.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Human clinical trials are typically conducted in three sequential phases that may overlap or be combined: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I: The product candidate is initially introduced into healthy human subjects or participants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II: The product candidate is administered to a limited participant population with a specified disease or condition to evaluate the preliminary efficacy, optimal dosages and dosing schedule and to identify possible adverse side effects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safety risks. Multiple Phase II clinical trials may be conducted to obtain information prior to beginning larger and more expensive Phase III clinical trials.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III: The product candidate is administered to an expanded participant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cases, the FDA may require, or sponsors may voluntarily pursue, additional clinical trials after a product is approved to gain more information about the product. These so-called Phase IV studies may be conducted after initial marketing approval, and may be used to gain additional experience from the treatment of participants in the intended therapeutic indication. In certain instances, such as for drugs granted accelerated approval, the FDA may mandate the performance of Phase IV clinical trials as a condition of approval of an NDA.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also are requirements governing the registration and reporting of ongoing and completed clinical trials to public registries. For example, information about certain clinical trials must be submitted within specific timeframes for publication on </w:t>
      </w:r>
      <w:r>
        <w:rPr>
          <w:rFonts w:ascii="Times New Roman" w:hAnsi="Times New Roman"/>
          <w:i/>
          <w:color w:val="000000"/>
          <w:sz w:val="20"/>
        </w:rPr>
        <w:t>www.ClinicalTrials.gov</w:t>
      </w:r>
      <w:r>
        <w:rPr>
          <w:rFonts w:ascii="Times New Roman" w:hAnsi="Times New Roman"/>
          <w:color w:val="000000"/>
          <w:sz w:val="20"/>
        </w:rPr>
        <w:t>, a clinical trials database maintained by the National Institutes of Health. Sponsors are also obligated to disclose the results of their clinical trials after completion. Disclosure of the results of these trials can be delayed until the new product or new indication being studied has been approved. Competitors and patients may use this publicly available information to gain knowledge regarding the progress of development programs. Failure to timely register a covered clinical study or to submit study results as provided for in the law can give rise to public notifications of noncompliance, civil monetary penalties, and also prevent the non-compliant party from receiving future grant funds from the federal government.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hAnsi="Times New Roman"/>
          <w:i/>
          <w:color w:val="000000"/>
          <w:sz w:val="20"/>
        </w:rPr>
        <w:t xml:space="preserve">in vitro </w:t>
      </w:r>
      <w:r>
        <w:rPr>
          <w:rFonts w:ascii="Times New Roman" w:hAnsi="Times New Roman"/>
          <w:color w:val="000000"/>
          <w:sz w:val="20"/>
        </w:rPr>
        <w:t xml:space="preserve">testing suggesting a significant risk to humans, and any clinically important increased incidence of a serious suspected adverse reaction compared to that listed in the protocol or investigator brochure.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during the development of a new drug, sponsors are given opportunities to meet with the FDA at certain points. These points may be prior to submission of an IND, at the end of Phase II,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II trial to discuss Phase II clinical results and present plans for the pivotal Phase III clinical trials that they believe will support approval of the new drug. </w:t>
      </w:r>
    </w:p>
    <w:p>
      <w:pPr>
        <w:pStyle w:val="TextBody"/>
        <w:bidi w:val="0"/>
        <w:spacing w:before="240" w:after="283"/>
        <w:jc w:val="left"/>
        <w:rPr>
          <w:rFonts w:ascii="Times New Roman" w:hAnsi="Times New Roman"/>
          <w:sz w:val="20"/>
        </w:rPr>
      </w:pPr>
      <w:r>
        <w:rPr>
          <w:rFonts w:ascii="Times New Roman" w:hAnsi="Times New Roman"/>
          <w:b/>
          <w:i/>
          <w:color w:val="000000"/>
          <w:sz w:val="20"/>
        </w:rPr>
        <w:t>U.S. Review and Approval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can come from company-sponsored clinical studies intended to test the safety and effectiveness of a use of the product, or from a number of alternative sources, including studies initiated by independent investigators.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filing date to complete a standard review of an NDA for a drug that is a new molecular entity. This review typically takes twelve months from the date the NDA is submitted to FDA because the FDA has approximately two months to make a “filing” decision after it the application is submitted.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 specific indications. A CRL will describe all of the deficiencies that the FDA has identified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The FDA may delay or refuse approval of an NDA if applicable regulatory criteria are not satisfied, require additional testing or information and/or require post-marketing testing and surveillance to monitor safety or efficacy of a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(ETASU), such as restricted distribution methods, patient registries, and other risk minimization tools. If the FDA concludes a REMS is needed, the sponsor of the NDA must submit a proposed REMS; the FDA will not approve the NDA without a REMS, if required. The FDA also may condition approval on, among other things, changes to proposed labeling or the development of adequate controls and specifications. The FDA may also require one or more Phase IV post-market studies and surveillance to further assess and monitor the product’s safety and effectiveness after commercialization, and may limit further marketing of the product based on the results of these post-marketing studies.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fails to keep a deferral current or fails to submit a request for approval of a pediatric formulation. </w:t>
      </w:r>
    </w:p>
    <w:p>
      <w:pPr>
        <w:pStyle w:val="TextBody"/>
        <w:bidi w:val="0"/>
        <w:spacing w:before="240" w:after="283"/>
        <w:jc w:val="left"/>
        <w:rPr>
          <w:rFonts w:ascii="Times New Roman" w:hAnsi="Times New Roman"/>
          <w:sz w:val="20"/>
        </w:rPr>
      </w:pPr>
      <w:r>
        <w:rPr>
          <w:rFonts w:ascii="Times New Roman" w:hAnsi="Times New Roman"/>
          <w:b/>
          <w:i/>
          <w:color w:val="000000"/>
          <w:sz w:val="20"/>
        </w:rPr>
        <w:t>Expedited Development and Review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offers a number of expedited development and review programs for qualifying product candidates. For example, the Fast Track program is intended to expedite or facilitate the process for reviewing new products that are intended to treat a serious or life-threatening disease or condition and preclinical or clinical data demonstrate the potential to address unmet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medical needs for the disease or condition. Fast Track designation applies to the combination of the product and the specific indication for which it is being studied. The sponsor of a Fast Track product has opportunities for more frequent interactions with the applicable FDA review team during product development and, once an NDA is submitted, the product candidate may be eligible for priority review. A Fast Track product may also be eligible for rolling review, where the FDA may consider for review portions of the NDA on a rolling basis before the complete application is submitted, if the sponsor provides a schedule for the submission of the portions of the NDA, the FDA agrees to accept portions of the NDA and determines that the schedule is acceptable, and the sponsor pays any required user fees upon submission of the first portions of the NDA.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available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I and an organizational commitment to expedite the development and review of the product candidate, including involvement of senior managers.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rolling review, priority review and accelerated approval. A product candidate is eligible for priority review if it is designed to treat a serious or life-threatening disease or condition, and if approved, would provide a significant improvement in safety or effectiveness compared to available alternatives for such disease or condition. For new-molecular-entity NDAs, priority review designation means the FDA’s goal is to take action on the marketing application within six months of the 60-day filing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Under the Food and Drug Omnibus Reform Act of 2022 (FDORA), the FDA is permitted to require, as appropriate, that such trials be underway prior to approval or within a specific time period after the date of approval for a product granted accelerated approval. Under FDORA, the FDA has increased authority for expedited procedures to withdraw approval of a drug or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Under FDORA, the FDA is empowered to take action, such as issuing fines, against companies that fail to conduct with due diligence any post-approval confirmatory study or submit timely reports to the agency on their progress.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 </w:t>
      </w:r>
    </w:p>
    <w:p>
      <w:pPr>
        <w:pStyle w:val="TextBody"/>
        <w:bidi w:val="0"/>
        <w:spacing w:before="240" w:after="283"/>
        <w:jc w:val="left"/>
        <w:rPr>
          <w:rFonts w:ascii="Times New Roman" w:hAnsi="Times New Roman"/>
          <w:sz w:val="20"/>
        </w:rPr>
      </w:pPr>
      <w:r>
        <w:rPr>
          <w:rFonts w:ascii="Times New Roman" w:hAnsi="Times New Roman"/>
          <w:b/>
          <w:i/>
          <w:color w:val="000000"/>
          <w:sz w:val="20"/>
        </w:rPr>
        <w:t>Orphan Drug Designation and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Orphan Drug Act, the FDA may grant orphan designation to a drug intended to treat a rare disease or condition, defined as a disease or condition with a patient population of fewer than 200,000 individuals in the United States, or a patient population of 200,000 or more individuals in the United States and when there is no reasonable expectation that the cost of developing and making available the drug in the United States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that has orphan drug designation subsequently receives the first FDA approval for the approved used or indication for which it has such designation, the product is entitled to orphan product exclusivity, which means that the FDA may not approve any other applications, including a full NDA, to market the same drug for the same approved used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indication for seven years, except in limited circumstances, such as a showing of clinical superiority to the product with orphan drug exclusivity or in instances of drug supply issues. Orphan drug exclusivity does not prevent the FDA from approving a different drug for the same disease or condition, or the same drug for a different disease or condition. Among the other potential benefits of orphan drug designation are tax credits for certain research and a waiver of the NDA application user fee.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Post-approval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and those supplying products, ingredients, and components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complete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FDA Form 483s, warning letters,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holds on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of the FDA to approve pending applications or supplements to approved applications, or suspension or revocation of product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consent decrees, corporate integrity agreements, debarment or exclusion from federal healthcare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mandated modification of promotional materials and labeling and the issuance of corrective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safety alerts, Dear Healthcare Provider letters, press releases and other communications containing warnings or other safety information about the product;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guidances, and policies are often revised or reinterpreted by the agency in ways that may significantly affect the manner in which pharmaceutical products are regulated and marketed.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United States Regulatory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and Medicaid Services (CMS), other divisions of the Department of Health and Human Services (HHS), the Department of Justice, the Drug Enforcement Administration, the Consumer Product Safety Commission, the Federal Trade Commission (FTC), the Occupational Safety and Health Administration, the Environmental Protection Agency and state and local governments and governmental agencies.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United States Patent Term Restoration and Marketing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FDA approval of our future product candidates, some of our United States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Patent-term restoration, however, cannot extend the remaining term of a patent beyond a total of 14 years from the product’s approval date and only those claims covering such approved drug product, a method for using it or a method for manufacturing it may be extended. The patent-term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 Patent and Trademark Office, in consultation with the FDA, reviews and approves the application for any patent term extension or restoration.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NDA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FDCA also provides three years of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for other conditions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drugs can also obtain pediatric exclusivity in the United States. Pediatric exclusivity, if granted, adds six months to existing regulatory exclusivity periods and, for drugs, patent terms. This six-month exclusivity, which runs from the end of other exclusivity protection or patent term, may be granted based on the voluntary completion of a pediatric study in accordance with an FDA-issued “Written Request” for such a study.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Healthcare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The laws that may affect our ability to operate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the False Claims Act (FCA), which can be enforced through civil “qui tam” or “whistleblower” actions, and civil monetary penalty laws, which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these statutes without actual knowledge of the statutes or specific intent to violate them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(HITECH), imposes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FTC, failing to take appropriate steps to keep consumers’ personal information secure constitutes unfair acts or practices in or affecting commerce in violation of Section 5(a) of the FTC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 Sunshine Act, created under the Patient Protection and Affordable Care Act of 2010, as amended (ACA) and its implementing regulations, which requires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certain other licensed health care practitioners and teaching hospitals, as well as ownership and investment interests held by physicians and their immediate family members;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California Consumer Privacy Act (CCPA), which went into effect on January 1, 2020, which affords consumers expanded privacy protections. For example, the CCPA gives California residents expanded rights to access and request deletion of their personal information, opt-out of certain personal information sharing, and receive detailed information about how their personal information is used. The CCPA also provides for civil penalties for violations, as well as a private right of action for data breaches that may increase our risk to data breach class action litigation. The CCPA was expanded substantially on January 1, 2023, when the California Privacy Rights Act of 2020 (CPRA) became fully operative. The CPRA, among other things, gave California residents the ability to limit use of certain sensitive personal information, further restricted the use of cross-contextual advertising, established restrictions on the retention of personal information, expanded the types of data breaches subject to the CCPA’s private right of action, provided for increased penalties for CPRA violations concerning California residents under the age of 16, and established a new privacy protection agency, now known as CalPrivacy;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government price reporting laws, which require us to calculate and report complex pricing metrics in an accurate and timely manner to government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pStyle w:val="TextBody"/>
        <w:bidi w:val="0"/>
        <w:spacing w:before="240" w:after="283"/>
        <w:jc w:val="left"/>
        <w:rPr>
          <w:rFonts w:ascii="Times New Roman" w:hAnsi="Times New Roman"/>
          <w:sz w:val="20"/>
        </w:rPr>
      </w:pPr>
      <w:r>
        <w:rPr>
          <w:rFonts w:ascii="Times New Roman" w:hAnsi="Times New Roman"/>
          <w:b/>
          <w:i/>
          <w:color w:val="000000"/>
          <w:sz w:val="20"/>
        </w:rPr>
        <w:t>Coverage and Reimbursement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reimbursements for medical products, drugs and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Factors payors consider in determining reimbursement are based on whether the product is: </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jc w:val="left"/>
        <w:rPr>
          <w:rFonts w:ascii="Times New Roman" w:hAnsi="Times New Roman"/>
          <w:color w:val="000000"/>
          <w:sz w:val="20"/>
        </w:rPr>
      </w:pPr>
      <w:r>
        <w:rPr>
          <w:rFonts w:ascii="Times New Roman" w:hAnsi="Times New Roman"/>
          <w:color w:val="000000"/>
          <w:sz w:val="20"/>
        </w:rPr>
        <w:t>No uniform policy for coverage and reimbursement for products exists among third-party payors in the U.S.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product or a decision by a third-party payor not to cover a product could reduce physician usage and patient demand for the product and also have a material adverse effect on sales.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Reform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2010,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the minimum level of Medicaid rebates payable by manufacturers of brand name drugs from 15.1% to 23.1% of the average manufacturer price;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required collection of rebates for drugs paid by Medicaid managed care organizations;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required manufacturers to participate in a coverage gap discount program, under which they must agree to offer 70% point-of-sale discounts off negotiated prices of applicable brand drugs to eligible beneficiaries during their coverage gap period, as a condition for the manufacturer’s outpatient drugs to be covered under Medicare Part D (a requirement later replaced under the Inflation Reduction Act of 2022 (IRA) by the Medicare Part D manufacturer discount program);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imposed a non-deductible annual fee on pharmaceutical manufacturers or importers who sell “branded prescription drugs” to specified federal government programs.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Both the Trump administration and Congress have indicated that they will continue to seek new legislative and executive measures to control drug costs. In addition, other legislative and regulatory changes have been proposed and adopted in the United States since the ACA was enacted: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Budget Control Act of 2011, among other things, included aggregate reductions of Medicare payments to providers of two percent per fiscal year that remain in effect through 2031.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American Taxpayer Relief Act of 2012 was signed into law, which, among other things, further reduced Medicare payments to several types of providers and increased the statute of limitations period for the government to recover overpayments to providers from three to five years.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American Rescue Plan Act of 2021 eliminates the statutory Medicaid drug rebate cap, previously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were further reduced starting in 2025 absent further legislation.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IRA also includes several provisions that will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at least one orphan designation and any approved indications are for rare diseases. The implementation of the IRA is currently subject to ongoing litigation challenging the constitutionality of the IRA’s Medicare drug price negotiation program. The effect of IRA on our business and the healthcare industry in general is not yet known.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One Big Beautiful Bill Act of 2025 (OBBBA) imposed significant reductions in Medicaid funding, additional work requirements for Medicaid recipients, and more frequent reenrollment requirements. These changes are expected to place substantial pressure on state Medicaid budgets, reduce enrollment, and limit covered services, which could decrease utilization of, and reimbursement for, our products, if approved.</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prescription pharmaceuticals have also been the subject of considerable discussion in the United States. To date, there have been several recent U.S. congressional inquiries, as well as proposed and enacted federal and state legislation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to, among other things, bring more transparency to drug pricing, review the relationship between pricing and manufacturer patient programs, reduce the costs of drugs under Medicare and reform government program reimbursement methodologies for drug products. The Trump Administration has issued executive orders and supported proposed regulatory initiatives in 2025 that could have a significant impact on the prices that we, or any collaborators, may receive for any approved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12, 2025, President Trump signed an executive order directing the Secretary of HHS to set and communicate most-favored-nation (MFN) price targets to manufacturers and propose a rulemaking plan to impose MFN pricing if “significant progress” is not made, and also directing the federal government to support regulatory paths to allow direct-to-patient sales for companies that meet these targets. The executive order further states that the Administration will take additional action (for example, examining whether marketing approvals should be modified or rescinded or considering individual drug importation waiver authorities) should manufacturers fail to offer American consumers the MFN lowest price. In July 2025, President Trump sent letters to certain pharmaceutical companies demanding that these companies extend MFN pricing to Medicaid and newly launched drugs as well as move to direct-to-consumer models priced at MFN pricing, and soliciting binding commitments by September 29, 2025. Since this time, multiple drug manufacturers have announced plans to, for certain of their drugs, lower prices to reflect similar pricing around the world, and to sell these reduced-price drugs on a direct-to-consumer purchasing platform developed by the federal government; however, it is not known what results will occur to the extent the recipients of these letters do not reduce their U.S.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Individual states have also been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We expect that additional state and federal healthcare reform measures will be adopted in the future, particularly in light of the new presidential administration, any of which could limit the amounts that federal and state governments will pay for healthcare products and services.</w:t>
      </w:r>
    </w:p>
    <w:p>
      <w:pPr>
        <w:pStyle w:val="TextBody"/>
        <w:bidi w:val="0"/>
        <w:spacing w:before="240" w:after="283"/>
        <w:jc w:val="left"/>
        <w:rPr>
          <w:rFonts w:ascii="Times New Roman" w:hAnsi="Times New Roman"/>
          <w:sz w:val="20"/>
        </w:rPr>
      </w:pPr>
      <w:r>
        <w:rPr>
          <w:rFonts w:ascii="Times New Roman" w:hAnsi="Times New Roman"/>
          <w:b/>
          <w:color w:val="000000"/>
          <w:sz w:val="20"/>
        </w:rPr>
        <w:t>Human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41 full-time employees, 27 of whom were engaged in research and development activities. We believe we have good relationships with our employees. None of our employees are represented by a labor union or covered under a collective bargaining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established in the state of Delaware in August 2017 as Biomea Fusion, LLC. In December 2020, all outstanding membership interests in Biomea Fusion, LLC were converted into equity interests in the Company.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principal executive office is located at 1599 Industrial Road, San Carlos, California 94070, and our telephone number is (650) 980-9099. Our website address is </w:t>
      </w:r>
      <w:r>
        <w:rPr>
          <w:rFonts w:ascii="Times New Roman" w:hAnsi="Times New Roman"/>
          <w:color w:val="000000"/>
          <w:sz w:val="20"/>
          <w:u w:val="single"/>
        </w:rPr>
        <w:t>www.biomeafusion.com</w:t>
      </w:r>
      <w:r>
        <w:rPr>
          <w:rFonts w:ascii="Times New Roman" w:hAnsi="Times New Roman"/>
          <w:color w:val="000000"/>
          <w:sz w:val="20"/>
        </w:rPr>
        <w:t>. We do not incorporate the information on or accessible through our website into this Annual Report on Form 10-K, and you should not consider any information on, or that can be accessed through, our website a part of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Biomea Fusion, Inc., the Biomea logo, FUSION</w:t>
      </w:r>
      <w:r>
        <w:rPr>
          <w:rFonts w:ascii="Times New Roman" w:hAnsi="Times New Roman"/>
          <w:color w:val="000000"/>
          <w:sz w:val="24"/>
        </w:rPr>
        <w:t></w:t>
      </w:r>
      <w:r>
        <w:rPr>
          <w:rFonts w:ascii="Times New Roman" w:hAnsi="Times New Roman"/>
          <w:color w:val="000000"/>
          <w:sz w:val="20"/>
        </w:rPr>
        <w:t xml:space="preserve"> System and our other registered or common law trademarks, trade names or service marks appearing in this Annual Report on Form 10-K are owned by us. This Annual Report on Form 10-K contains references to our trademarks and to trademarks belonging to other entities. Solely for convenience, trademarks and trade names referred to in this Annual Report on Form 10-K, including logos, artwork and other visual displays, generally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Annual Reports on Form 10</w:t>
        <w:noBreakHyphen/>
        <w:t>K, Quarterly Reports on Form 10</w:t>
        <w:noBreakHyphen/>
        <w:t>Q, Current Reports on Form 8</w:t>
        <w:noBreakHyphen/>
        <w:t>K, proxy and information statements and amendments to reports filed pursuant to Sections 13(a), and 15(d) of the Securities Exchange Act of 1934, as amended (Exchange Act) are filed with the SEC. We are subject to the informational requirements of the Exchange Act and file or furnish reports, proxy statements and other information with the SEC. The SEC maintains an Internet site that contains reports, proxy and information statements and other information regarding issuers that file electronically with the SEC at www.sec.gov. Such documents and other information filed by us with the SEC are available free of charge on the “Investors &amp; Media” section of our website when such reports are available on the SEC’s website. The contents of websites referred to above are not incorporated into this Annual Report on Form 10-K. Further, our references to the URLs for these websites are intended to be inactive textual references only.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4" w:name="item_1a_risk_factors"/>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Our business is subject to various risks and uncertainties, including those described below, that we believe apply to our business and the industry in which we operate. You should carefully consider these risks, as well as the other information in this Annual Report on Form 10-K, including our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Additional risks and uncertainties not presently known to us or that we currently deem immaterial may also impair our business.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Our Limited Operating History, Business, Financial Condition, Results of Operations, and Need for Additional Capital</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We have a limited operating history, limited experience in conducting clinical trials, have not completed the clinical development of any product candidates, have no products approved for commercial sale, and have not generated any revenue, which may make it difficult for you to evaluate our current business and likelihood of success and viability.</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a clinical-stage biotechnology company with a limited operating history with which investors can evaluate our business and prospects. We commenced operations in August 2017, have not completed the clinical development of any product candidates, have no products approved for commercial sale and have never generated any revenue, and our operations to date have been primarily limited to organizing and staffing our company, business planning, raising capital, conducting discovery and research activities, filing patent applications, identifying potential product candidates, undertaking preclinical studies, preparing for and initiating our initial clinical trials, and establishing arrangements with third parties for the manufacture of initial quantities of product candidates. Our lead product candidate, icovamenib, is currently under investigation in Phase II clinical trials in type 2 diabetes. In September 2025, we announced that we received IND clearance from the FDA for BMF-650, and initiated our ongoing Phase I trial in obese, otherwise healthy volunteers. In January 2025, we announced that we plan to conclude our studies exploring icovamenib’s potential in oncology and explore partnerships to further advance our oncology assets, including BMF-500.</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limited experience as a company in conducting clinical trials and have not successfully completed the clinical development of any product candidates to date. Consequently, any predictions you make about our future success or viability may not be as accurate as they could be if we had a longer operating history.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 </w:t>
      </w:r>
    </w:p>
    <w:p>
      <w:pPr>
        <w:pStyle w:val="TextBody"/>
        <w:bidi w:val="0"/>
        <w:spacing w:before="0" w:after="120"/>
        <w:jc w:val="left"/>
        <w:rPr>
          <w:rFonts w:ascii="Times New Roman" w:hAnsi="Times New Roman"/>
          <w:sz w:val="20"/>
        </w:rPr>
      </w:pPr>
      <w:r>
        <w:rPr>
          <w:rFonts w:ascii="Times New Roman" w:hAnsi="Times New Roman"/>
          <w:b/>
          <w:i/>
          <w:color w:val="000000"/>
          <w:sz w:val="20"/>
        </w:rPr>
        <w:t>We have incurred significant net losses in each period since our inception, and we expect to incur significant net losses for the foreseeable future.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early in our development efforts and have not yet completed the development of any of our product candidates. We have no products approved for commercial sale and have not generated any revenue from product sales to date, and we continue to incur significant research and development and other expenses related to our ongoing operations.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 We have financed our operations primarily through sales of our common stock, warrants and convertible preferred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incurred significant net losses in each reporting period since we commenced operations in August 2017. Our net losses were $61.8 million and $138.4 million, for the years ended December 31, 2025 and 2024, respectively. As of December 31, 2025, we had an accumulated deficit of $449.0 million. Substantially all of our losses have resulted from expenses incurred in connection with our research and development programs and from general and administrative costs associated with our operations. We expect to continue to incur significant losses for the foreseeable future, and we expect these losses to increase substantially if and as we: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continue our research and development efforts and submit additional INDs;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continue the clinical development of icovamenib for the treatment of patients with type 2 diabetes;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explore the potential clinical utility of icovamenib in other metabolic disorders, including pre-diabetes and obesity;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explore partnerships to further advance our oncology assets (BMF-500, a covalent inhibitor of FLT3, currently in a Phase I study), while concentrating internal resources on metabolic disorders;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conduct clinical development of BMF-650;</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seek marketing approvals for any product candidates that successfully complete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experience any delays or encounter any issues with any of the above, including but not limited to failed studies, complex results,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safety issues, or other regulatory challenges;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establish a sales, marketing, and distribution infrastructure and scale-up manufacturing capabilities, whether alone or with third parties, to commercialize any product candidates for which we may obtain regulatory approval, if any;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obtain, expand, maintain, enforce, and protect our intellectual property portfolio;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hire additional clinical, regulatory, and scientific personnel;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operate as a public company.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not generated any revenue from our product candidates and may never generate revenue or be profitable. Our ability to generate revenue and achieve profitability depends significantly on our ability to achieve several objectives relating to the discovery and development of our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become profitable depends upon our ability to generate revenue. We have not received marketing approval for any product candidate, and we have not generated any revenue from any product sales or other sources since our inception. We do not expect to generate revenue unless or until we successfully complete preclinical and clinical development and obtain regulatory approval of, and then successfully commercialize, at least one product candidate. Icovamenib, our lead product candidate, is advancing in clinical development. As such, we face significant translational risk as our product candidates advance further in clinical development, and promising results in preclinical studies or early clinical trials may not be replicated in later-stage clinical trials. If approved, icovamenib is not intended as a chronic therapy for insulin deficient diabetes, which could further limit our ability to achieve profitability.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timely initiation and completion of our preclinical studies and clinical trials for icovamenib, BMF-650 and our future product candidates, which may be significantly slower or cost more than we currently anticipate and will depend substantially upon the performance of third-party contractors;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establishing and maintaining relationships with contract research organizations (CROs) and clinical sites for the ongoing clinical and preclinical development of icovamenib, BMF-650 and any future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complete IND-enabling studies and successfully submit and receive authorization to proceed under INDs or comparable regulatory applications;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whether we are required by the FDA or other comparable foreign regulatory authorities to conduct additional clinical trials or other studies beyond those planned to support the approval and commercialization of our product candidates or any future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demonstrate to the satisfaction of the FDA and comparable foreign regulatory authorities the safety, efficacy, consistent manufacturing quality, and acceptable risk-benefit profile of our novel small molecule product candidates or any future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prevalence, duration, and severity of potential side effects or other safety issues experienced with our product candidates or future product candidates, if any;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timely receipt of necessary regulatory approvals from the FDA and comparable foreign regulatory authorities;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willingness of physicians, operators of clinics, and patients to utilize or adopt any of our product candidates or future product candidates over alternative or more conventional therapies;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actual and perceived availability, cost, risk profile and side effects and efficacy of our product candidates, if approved, relative to existing and future alternative therapies in our target indications, including diabetes and obesity, and competitive product candidates and technologies;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cGMP;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patient demand for our current product candidates and any future product candidates, if approved;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establish and enforce intellectual property rights in and to our product candidates or any future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obtaining coverage and adequate reimbursement by third-party payors for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addressing any competing therapies and technological and market developments;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Many of the factors listed above are beyond our control and could cause us to experience significant delays or prevent us from obtaining regulatory approvals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adequate funding. </w:t>
      </w:r>
    </w:p>
    <w:p>
      <w:pPr>
        <w:pStyle w:val="TextBody"/>
        <w:bidi w:val="0"/>
        <w:spacing w:before="0" w:after="120"/>
        <w:jc w:val="left"/>
        <w:rPr>
          <w:rFonts w:ascii="Times New Roman" w:hAnsi="Times New Roman"/>
          <w:sz w:val="20"/>
        </w:rPr>
      </w:pPr>
      <w:r>
        <w:rPr>
          <w:rFonts w:ascii="Times New Roman" w:hAnsi="Times New Roman"/>
          <w:b/>
          <w:i/>
          <w:color w:val="000000"/>
          <w:sz w:val="20"/>
        </w:rPr>
        <w:t>Due to the significant resources required for the development of our product candidates, we must prioritize development of certain product candidates and/or certain indications. 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currently focused on the discovery and development of novel small molecules to treat patients with diabetes and obesity. We seek to maintain a process of prioritization and resource allocation among our programs to maintain a balance between advancing our current product candidates and any future product candidates. Although we had previously pursued the development of icovamenib in cancer and metabolic diseases, in January 2025, we announced that our strategic focus for icovamenib will be in metabolic disorders and that we will conclude our studies exploring BMF-500’s potential in oncology and explore partnerships to advance our oncology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In addition, if our determination to focus our internal resources on the development of icovamenib in metabolic disorders and seek partnerships to advance our oncology assets does not lead to clinical or commercial success, or we otherwise make incorrect determinations regarding the viability or market potential of any of our programs or product candidates or misread trends in the diabetes or obesity disease treatment landscape or in the pharmaceutical, biopharmaceutical or biotechnology industry more generally, our business, financial condition and results of operations could be materially adversely affected. </w:t>
      </w:r>
    </w:p>
    <w:p>
      <w:pPr>
        <w:pStyle w:val="TextBody"/>
        <w:bidi w:val="0"/>
        <w:spacing w:before="0" w:after="120"/>
        <w:jc w:val="left"/>
        <w:rPr>
          <w:rFonts w:ascii="Times New Roman" w:hAnsi="Times New Roman"/>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and/or eliminate one or more of our research and product development programs or future commercialization efforts.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Since our inception, we have used substantial amounts of cash to fund our operations, and our expenses will increase substantially in the foreseeable future in connection with our ongoing activities, particularly as we continue the research and development of, initiate and conduct clinical trials of, and seek marketing approval for our product candidates. Developing biopharmaceutical products, including conducting preclinical studies and clinical trials, is a very time-consuming, expensive and uncertain process that takes years to complete. Our operations have consumed significant amounts of cash since inception, and we expect our expenses to increase in connection with our ongoing activities, particularly as we conduct clinical trials of, and seek marketing approval for our current product candidates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 we currently anticipate. Other unanticipated costs may also arise. Because the design and outcome of our ongoing and planned clinical trials are highly uncertain, we cannot reasonably estimate the actual amount of resources and funding that will be necessary to successfully complete the development and commercialization of any product candidate we develop. We also expect to incur additional costs associated with our continuing operation as a public company. Accordingly, we will need to obtain substantial additional funding in order to continue our operations.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December 31, 2025, we had $56.2 million in cash, cash equivalents and restricted cash. Based on our current operating plan, we believe that our existing cash and cash equivalents, and restricted cash as of December 31, 2025, without any future financing, will not be sufficient for us to continue as a going concern for at least one year from the issuance date of the financial statements appearing elsewhere in this Annual Report on Form 10-K. Our estimate as to how long we expect our existing capital resources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through public or private equity offerings, debt financings, collaborations and licensing arrangements or other sources. Such financing may dilute our stockholders or restrict our operating activities. To the extent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other rights to our product candidates in certain territories or indications that we would prefer to develop and commercialize ourselves. In addition, we may seek additional capital due to favorable market conditions or strategic considerations even if we believe we have sufficient funds for our current or future operating plans.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future capital requirements depend on many factors, including but not limited to: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scope, timing, progress, duration, costs and results of our clinical trials, drug discovery, preclinical development activities, and laboratory testing for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and scope of clinical programs we decide to pursue;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scope and costs of manufacturing development and commercial manufacturing activities;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extent to which we discover and develop additional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 timing, and outcome of regulatory review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 and timing of establishing sales and marketing capabilities, if any of our product candidates receive marketing approval;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establish and maintain collaborations on favorable terms, if at all;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licensing, or other arrangements into which we may enter in the future, including the timing of receipt of any milestone or royalty payments under these agreements;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timing, receipt, and amount of sales from our potential products;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need and ability to hire additional management, scientific, and medical personnel;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efforts to enhance operational systems and our ability to attract, hire, and retain qualified personnel, including personnel to support the development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costs associated with being a public company;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 associated with commercializing our product candidates, if they receive regulatory approval;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establish and maintain strategic collaborations and other similar partnerships for the development and commercialization of our product candidates;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impact of adverse global economic conditions on our business, which may exacerbate the magnitude of the factors discussed above.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do not have any committed external source of funds and adequate additional financing may not be available to us on acceptable terms, or at all. In addition, our ability to raise additional capital may be adversely impacted by potential worsening global economic and political conditions, inflationary pressures, increases in interest rates and disruptions to and volatility in the credit and financial markets in the United States and worldwide or other factors.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There is substantial doubt about our ability to continue as a going concern.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date, we have not generated any revenues from product sales and have incurred significant operating losses in each year since our inception and we anticipate that losses may continue for the next several years or until such time as we can generate substantial revenues and achieve profitability. In connection with the preparation of this Annual Report on Form 10-K for the year ended December 31, 2025, our management has concluded that there is substantial doubt as to whether we can continue as a going concern for the twelve months following the issuance of this Annual Report on Form 10-K. Our ability to continue as a going concern is dependent upon raising capital to maintain current operations and continue research and development efforts. We plan to raise additional capital to fund our operations through public or private equity offerings, debt financings, and/or potential collaborations and license arrangement or other sources. There is no assurance, however, that any additional financing or any revenue-generating collaboration will be available when needed or that we will be able to obtain financing or enter into a collaboration on terms acceptable to us.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our current operating plan, we will not be able to continue as a going concern over the next twelve months unless we raise additional capital by other means. These factors raise substantial doubt about our ability to continue as a going concern.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Volatility in capital markets and lower market prices for many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operations consume substantial amounts of cash, and we intend to continue to make significant investments to support our business growth, pursue the preclinical and clinical development of our product candidates, respond to business challenges or opportunities, retain or expand our current levels of personnel, enhance our operating infrastructure, and potentially acquire complementary businesses and technologies. Our future capital requirements may be significantly different from our current estimates and will depend on many factors, including the need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finance unanticipated working capital requirements;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develop or enhance our technological infrastructure and our existing research and development capabilities;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pursue acquisitions or other strategic relationships;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respond to competitive pressures.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require us to pay significant interest on borrowings or involve additional restrictive covenants relating to our capital-raising activities and other financial and operational matters, which may make it more difficult for us to obtain additional capital and to pursue business opportunities, including potential acquisitions. Our inability to obtain adequate financing or financing on terms satisfactory to us could have a negative impact on our financial condition and we could face significant limitations on our ability to pursue our business strategies, and we may have to delay, reduce the scope of, suspend or eliminate one or more of our research-stage programs, clinical trials or future commercialization efforts.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such as in the case of the closure and subsequent placement into receivership with the Federal Deposit Insurance Corporation (FDIC) of Silicon Valley Bank (SVB) in March 2023, and may in the future lead to market-wide liquidity problems. In these cases, borrowers under credit agreements, letters of credit and certain other financial instruments with any financial institution that is placed into receivership by the FDIC may be unable to access undrawn amounts thereunder. If any of our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or may enter into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with which we have or may enter into financial or business relationships, but could also include factors involving financial markets or the financial services industry generally.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Delayed access to deposits or other financial assets or the uninsured loss of deposits or other financial assets;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Delayed or lost access to working capital sources and/or delays, inability or reductions in our ability to enter into new credit facilities or access other working capital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Potential or actual breach of contractual obligations that require us to maintain letters of credit or other credit support arrangements; or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Potential or actual breach of financial covenants in any credit agreements or credit arrangements.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and otherwise have a material adverse impact on our business.</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Product Development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Our discovery and development activities are focused on the development of novel small molecule therapies, initially targeted at menin, to treat patients with diabetes and obesity, and the approach we are taking to discover and develop such product candidates is novel, may never lead to marketable products and may not ultimately represent a significant market.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discovery and development of small molecule therapies for patients with diabetes and obesity, with a particular focus on menin, is an emerging field. While there is scientific evidence to support the feasibility of developing covalent therapies, the significant complexity and potential safety and toxicity concerns associated with poorly designed covalent binders have historically discouraged drug developers from pursuing this drug class. In particular, a significant risk for toxicity is posed by these small molecule binders if they demonstrate a more promiscuous binding profile than intended, which can potentially cause unacceptable levels of off-target interactions. While we believe the significant expertise, foundational knowledge and capabilities that our management team members have accumulated over their extensive careers and that we have expanded and refined since our inception positions us to overcome such challenges, there can be no assurance that we will be successful. Even if we are able to limit off-target interaction, there can be no assurance that treatment with any of our novel small molecule product candidates will demonstrate the deep inactivation of their targets or offer greater therapeutic windows than conventional non-covalent drugs. It is possible that the targets we select, such as menin, could be effectively and safely treated by more frequent dosing of non-covalent drugs, which could limit the potential advantages or perceived benefits of our covalent and non-covalent product candidates.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lead product candidate, icovamenib, and our next-generation product candidate, BMF-650, are in clinical development. Our current data is primarily limited to clinical data in a relatively small patient population for icovamenib, as well as animal models and preclinical cell lines for icovamenib, BMF-500 and BMF-650. These results may not be replicated in larger clinical trials, or, in the case of preclinical data, translate into humans. As such, even if we are able to develop novel small molecule therapy candidates that demonstrate positive results in preclinical studies or early-stage clinical trials, there can be no assurance that such product candidates will subsequently demonstrate significant clinical benefit in vivo or in larger trials or will be well-tolerated. </w:t>
      </w:r>
    </w:p>
    <w:p>
      <w:pPr>
        <w:pStyle w:val="TextBody"/>
        <w:bidi w:val="0"/>
        <w:spacing w:before="0" w:after="120"/>
        <w:jc w:val="left"/>
        <w:rPr>
          <w:rFonts w:ascii="Times New Roman" w:hAnsi="Times New Roman"/>
          <w:sz w:val="20"/>
        </w:rPr>
      </w:pPr>
      <w:r>
        <w:rPr>
          <w:rFonts w:ascii="Times New Roman" w:hAnsi="Times New Roman"/>
          <w:b/>
          <w:i/>
          <w:color w:val="000000"/>
          <w:sz w:val="20"/>
        </w:rPr>
        <w:t>We are early in our development efforts and are substantially dependent on our product candidates, icovamenib and BMF-650. If we are unable to advance icovamenib, BMF-650 or any other product candidates through clinical development, obtain regulatory approval and ultimately commercialize icovamenib, BMF-650 or any other product candidates, or experience significant delays in doing so, our business, financial condition and results of operations will be materially adversely affected.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early in our development efforts. We have not yet successfully completed clinical testing of our lead product candidate, icovamenib, in human subjects for various types of type 2 diabetes or type 1 diabetes, or our second product candidate, BMF-650, as a next-generation oral GLP-1 RA. Our ability to generate product revenue, which we do not expect will occur for many years, if ever, will depend heavily on the successful clinical development and eventual commercialization of icovamenib, BMF-650. The success of our product candidates will depend on several factors, including the following: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continue our business operations and product candidate research and development, and adapt to any changes in the regulatory approval process, manufacturing supply or clinical trial requirements, disruptions of staffing and operations at the FDA or other government agencies and timing due to any continued and prolonged public health emergencies;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successful completion of preclinical studies, regulatory submissions and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receipt of authorization to proceed under INDs for our planned clinical trials or future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successful initiation, patient enrollment in, and completion of current and future clinical trials, including our ongoing Phase II clinical trial of icovamenib in type 2 diabetes and our Phase II clinical trial of icovamenib in insulin-deficient type 2 diabetes as well as our Phase I clinical trial for BMF-650;</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successful partnerships to further advance our oncology assets;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whether icovamenib, BMF-650 or any other product candidates that we may identify and pursue will demonstrate safety, tolerability and efficacy profiles that are satisfactory to the FDA or any foreign regulatory authority for marketing approval;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receipt of marketing approvals for our product candidates from applicable regulatory authorities;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completion of any required post-marketing approval commitments to applicable regulatory authorities in order to maintain marketing authorization for any of our product candidates that receive regulatory approval;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for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making arrangements with third-party manufacturers, or establishing manufacturing capabilities, for both clinical and commercial supplies of our product candidates, if any product candidates are approved;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launching commercial sales of our products, if and when approved, whether alone or in collaboration with others;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acceptance of our products, if and when approved, by patients, the medical community and third-party payors;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effectively competing with other therapies for diabetes and obesity;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obtaining and maintaining third-party coverage and adequate reimbursement;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maintaining a continued acceptable safety profile of our products following approval.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could materially adversely affect our business. If we do not receive regulatory approvals for our current or future product candidates, we will not be able to continue our operations.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building of a commercial organization, and substantial investment and significant marketing efforts before we generate any revenue from product sales, if ever. We may also experience delays in developing a sustainable, reproducible and scalable manufacturing process or transferring that process to commercial partners, which may prevent us from completing our preclinical studies or clinical trials or commercializing our product candidates on a timely or profitable basis, if at all. Changes in the manufacturing process or facilities will require further comparability analysis and approval by FDA before implementation, which could delay our preclinical studies, clinical trials and product candidate development, and could require additional preclinical studies and clinical trials, including bridging studies, to demonstrate consistent and continued safety and efficacy.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not previously submitted an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Preclinical and clinical drug development is a lengthy and expensive process, with an uncertain outcome. Our preclinical and clinical programs may experience delays or may never be initiated or completed, which would adversely affect our ability to obtain regulatory approvals or commercialize our product candidates on a timely basis or at all, which could have an adverse effect on our business.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order to obtain FDA approval to market a novel small molecule product, we must demonstrate the safety and efficacy of our product candidates in humans to meet the FDA requirements. To meet these requirements, we will have to conduct adequate and well-controlled clinical trials. Clinical testing is expensive, time-consuming, and subject to uncertainty. Before we can commence clinical trials for a product candidate, we must complete extensive preclinical studies that support our planned and future INDs in the United States. At present, we are advancing two product candidates, icovamenib and BMF-650. We cannot be certain of the timely completion or outcome of our preclinical studies and clinical trials and cannot predict if the FDA will allow our existing and proposed clinical programs to proceed or continue to proceed, or if the outcomes of our preclinical studies and clinical trials will ultimately support further development of our programs. Our lead product candidate, icovamenib, is in clinical development for type 2 diabetes, and we cannot be sure that we will be able to submit INDs or similar applications with respect to additional indications or other product candidates on the timelines we expect, if at all, and we cannot be sure that submission of IND or similar applications will result in the FDA or other regulatory authorities allowing clinical trials to begin.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Conducting preclinical testing and clinical trials represents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for example:</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0"/>
        </w:rPr>
        <w:t xml:space="preserve">inability to generate sufficient preclinical or other </w:t>
      </w:r>
      <w:r>
        <w:rPr>
          <w:rFonts w:ascii="Times New Roman" w:hAnsi="Times New Roman"/>
          <w:i/>
          <w:color w:val="000000"/>
          <w:sz w:val="20"/>
        </w:rPr>
        <w:t xml:space="preserve">in vivo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data to support the initiation of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timely completion of preclinical laboratory tests, animal studies and formulation studies in accordance with the FDA’s GLP requirements and other applicable regulations;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approval by an independent IRB ethics committee at each clinical site before each trial may be initiated;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study design and obtaining regulatory authorization to commence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in reaching agreement on acceptable terms with prospective CROs, and clinical trial sites, the terms of which can be subject to extensive negotiation and may vary significantly among different CROs and clinical trial sites;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in identifying, recruiting and training suitable clinical investigators;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in recruiting suitable participants to participate in our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in manufacturing, testing, releasing, validating or importing/exporting sufficient stable quantities of our product candidates for use in clinical trials or the inability to do any of the foregoing;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insufficient or inadequate supply or quality of product candidates or other materials necessary for use in clinical trials, or delays in sufficiently developing, characterizing or controlling a manufacturing process suitable for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imposition of a temporary or permanent clinical hold by regulatory authorities;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in recruiting, screening and enrolling participants and delays caused by participants withdrawing from clinical trials or failing to return for post-treatment follow-up;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difficulty collaborating with patient groups and investigators;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failure by our CROs, other third parties or us to adhere to clinical trial protocols;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failure to perform in accordance with the FDA’s or any other regulatory authority’s Good Clinical Practices (GCPs), or applicable regulatory guidelines in other countries;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occurrence of adverse events associated with the product candidate that are viewed to outweigh its potential benefits, or occurrence of adverse events in trial of the same class of agents conducted by other companies;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to the clinical trial protocols;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in the standard of care on which a clinical development plan was based, which may require new or additional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selection of clinical endpoints that require prolonged periods of observation or analyses of resulting data;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 of clinical trials of our product candidates being greater than we anticipate;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development of such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transfer of manufacturing processes to larger-scale facilities operated by a contract manufacturing organization (CMO), and delays or failure by our CMOs or us to make any necessary changes to such manufacturing process;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third parties being unwilling or unable to satisfy their contractual obligations to us.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disruptions caused by continued and prolonged public health emergencies, may increase the likelihood that we encounter such difficulties or delays in initiating, enrolling, conducting or completing our planned and ongoing preclinical studies and clinical trials. Any inability to successfully initiate or complete preclinical studies or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if and when approved, have patent protection and may allow our competitors to bring products to market before we do, which could impair our ability to successfully commercialize our product candidates and may seriously harm our business.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preclinical studies or clinical trials, such as the previous clinical hold imposed by the FDA on our INDs for icovamenib in type 1 and type 2 diabetes, which was lifted in September 2024,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The results of preclinical testing and early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will be required to demonstrate with substantial evidence through well-controlled clinical trials that our product candidates are safe and effective before we can seek regulatory and marketing approvals for their commercial sale. Success in preclinical studies does not mean that future clinical trials will be successful. For instance, we do not know whether icovamenib, or BMF-650 will perform in clinical trials as they have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product candidates, which can cause side effects or adverse events that are unrelated to our product candidates. As a result, assessments of efficacy can vary widely for a particular participant, and from patient to patient and site to site within a clinical trial. This subjectivity can increase the uncertainty of, and adversely impact, our clinical trial outcomes. </w:t>
      </w:r>
    </w:p>
    <w:p>
      <w:pPr>
        <w:pStyle w:val="TextBody"/>
        <w:bidi w:val="0"/>
        <w:spacing w:before="0" w:after="120"/>
        <w:jc w:val="left"/>
        <w:rPr>
          <w:rFonts w:ascii="Times New Roman" w:hAnsi="Times New Roman"/>
          <w:sz w:val="20"/>
        </w:rPr>
      </w:pPr>
      <w:r>
        <w:rPr>
          <w:rFonts w:ascii="Times New Roman" w:hAnsi="Times New Roman"/>
          <w:b/>
          <w:i/>
          <w:color w:val="000000"/>
          <w:sz w:val="20"/>
        </w:rPr>
        <w:t>We face risks related to global health emergencies such as a pandemic, epidemic, or outbreak of an infectious disease, which could materially adversely impact our business, results of operations, and financial condition, including our preclinical studies and clinical trials.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Any global health emergency such as a pandemic, epidemic, or outbreak of an infectious disease, we have experienced, and may in the future experience disruptions that could severely impact our business, preclinical studies and clinical trials, including: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or difficulties in clinical site initiation, including difficulties in recruiting CROs for our preclinical studies and clinical site investigators and clinical site staff for our ongoing and planned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delays or difficulties in enrolling and retaining participants in our ongoing and planned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diversion of healthcare resources away from the conduct of clinical trials, including the diversion of hospitals serving as our clinical trial sites and hospital staff supporting the conduct of our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interruption of key clinical trial activities, such as clinical trial site data monitoring, due to limitations on travel imposed or recommended by federal or state governments, employers and others or interruption of clinical trial participant visits and study procedures (such as endoscopies that are deemed non-essential), which may impact the integrity of participant data and clinical study endpoints;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interruption or delays in the operations of the FDA or other regulatory authorities, which may impact review and approval timelines;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interruption of, or delays in receiving, supplies of our product candidates from our CMOs due to staffing shortages, production slowdowns or stoppages and disruptions in delivery systems;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limitations on employee resources that would otherwise be focused on the conduct of our preclinical studies and clinical trials, including because of sickness of employees or their families or the desire of employees to avoid contact with large groups of people;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interruptions or delays to our sourced discovery and clinical activities;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clinical site procedures and requirements as well as regulatory requirements for conducting clinical trials during any global health emergency.</w:t>
      </w:r>
    </w:p>
    <w:p>
      <w:pPr>
        <w:pStyle w:val="TextBody"/>
        <w:bidi w:val="0"/>
        <w:spacing w:before="0" w:after="120"/>
        <w:jc w:val="left"/>
        <w:rPr>
          <w:rFonts w:ascii="Times New Roman" w:hAnsi="Times New Roman"/>
          <w:sz w:val="20"/>
        </w:rPr>
      </w:pPr>
      <w:r>
        <w:rPr>
          <w:rFonts w:ascii="Times New Roman" w:hAnsi="Times New Roman"/>
          <w:b/>
          <w:i/>
          <w:color w:val="000000"/>
          <w:sz w:val="20"/>
        </w:rPr>
        <w:t>If we experience delays or difficulties in the enrollment and/or retention of eligible participants in clinical trials,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not be able to initiate or continue our ongoing and planned clinical trials on a timely basis or at all for our product candidates if we are unable to recruit and enroll a sufficient number of eligible participants to participate in these trials through completion of such trials as required by the FDA or other comparable foreign regulatory authorities. Participant enrollment is a significant factor in the timing of clinical trials. Our ability to enroll eligible participants may be limited or may result in slower enrollment than we anticipate.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clinical trials will compete with other clinical trials that are in the same therapeutic areas as our product candidates, and this competition reduces the number and types of participants available to us, as some participants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participants who are available for our clinical trials at such clinical trial sites. In addition, there may be limited participant pools from which to draw for clinical studies. In addition to the rarity of some diseases, the eligibility criteria of our clinical trials will further limit the pool of available study participants as we will require that participants have specific characteristics that we can measure or to assure their disease is either severe enough or not too advanced to include them in a study. Participant enrollment for our ongoing and planned clinical trials may be affected by other factors, including: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identify clinical trial sites and recruit clinical trial investigators with the appropriate capabilities, competencies and experiences;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size and nature of the participant population;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availability and efficacy of approved drugs or other methods of treatment for the disease under investigation, or availability of competing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design of clinical trials and whether the FDA or foreign regulatory agencies agree to the design and implementation of the trial;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participant eligibility criteria for the trial in question as defined in the protocol;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clinicians’ and participants’ perceptions as to the potential advantages of the product candidate being studied in relation to other available therapies, including any new products that may be approved or future product candidates being investigated for the indications we are pursuing;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clinicians’ willingness to screen their participants for biomarkers to indicate which participants may be eligible for enrollment in our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in or temporary suspension of the enrollment of participants in our planned clinical trials due to any continued and prolonged public health emergency;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ability to obtain and maintain participant consents;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participant referral practices of physicians;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to monitor participants adequately during and after treatment;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proximity and availability of clinical trial sites for prospective participants.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These factors may make it difficult for us to enroll enough participants to complete our clinical trials in a timely and cost-effective manner. Our inability to enroll a sufficient number of eligible participants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eligible participants for our clinical trials, we may have difficulty maintaining participation in our clinical trials through the treatment and any follow-up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The market opportunities for our product candidates may be relatively small as it will be limited to those patients who are ineligible for or have failed prior treatments and our estimates of the prevalence of our target patient populations may be inaccurate.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Type 2 diabetes is a highly heterogeneous disease, and there are over sixty approved therapies being utilized in treating diabetes at various stages of the disease progression, with early lines of therapies largely genericized. There is also a significant industry pipeline of potentially emerging new treatments all addressing patients either in front line or as a follow-on treatment either in monotherapy or in combination.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to initially seek approval of our product candidates in second or later lines of therapy. Subsequently, depending on the nature of the clinical data and experience with any approved products or product candidates, if any, we may pursue approval as an earlier line therapy and potentially as a first line therapy. There is no guarantee, however, that our product candidates that we may identify and pursue, even if approved as a second or subsequent line of therapy, would be approved for an earlier line of therapy, and, prior to seeking any such approvals, we may have to conduct additional clinical trials.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pharmaceutical industry is characterized by rapidly advancing technologies, intense competition, and a strong emphasis on proprietary products. While we believe that icovamenib, BMF-650, knowledge, and scientific resources provide us with competitive advantages, we face potential competition from many different sources, including commercial biopharmaceutical enterprises, academic institutions, government agencies and private and public research institutions. Many of our competitors, either alone or with their collaborators,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timing and scope of marketing approvals for these products, the availability and cost of manufacturing, marketing and sales capabilities, price, reimbursement coverage and patent position. Any drug candidates that we successfully develop and commercialize will likely compete with existing therapies and new therapies that may become available in the future.</w:t>
      </w:r>
    </w:p>
    <w:p>
      <w:pPr>
        <w:pStyle w:val="TextBody"/>
        <w:bidi w:val="0"/>
        <w:spacing w:before="0" w:after="120"/>
        <w:jc w:val="left"/>
        <w:rPr>
          <w:rFonts w:ascii="Times New Roman" w:hAnsi="Times New Roman"/>
          <w:sz w:val="20"/>
        </w:rPr>
      </w:pPr>
      <w:r>
        <w:rPr>
          <w:rFonts w:ascii="Times New Roman" w:hAnsi="Times New Roman"/>
          <w:b/>
          <w:i/>
          <w:color w:val="000000"/>
          <w:sz w:val="20"/>
        </w:rPr>
        <w:t>The incidence and prevalence for target patient populations of icovamenib and BMF-650 are based on estimates and third-party sources. If the market opportunities for icovamenib and BMF-650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Periodically, we make estimates regarding the incidence and prevalence of target patient populations for particular diseases based on various third-party sources and internally generated analysis and use such estimates in making decisions regarding our drug development strategy and determining indications on which to focus in non-clinical or clinical trials.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incidence and prevalence for target patient populations of icovamenib and BMF-650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icovamenib, BMF-650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 </w:t>
      </w:r>
    </w:p>
    <w:p>
      <w:pPr>
        <w:pStyle w:val="TextBody"/>
        <w:bidi w:val="0"/>
        <w:spacing w:before="0" w:after="120"/>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In addition, we believe we are currently the only company in the United States clinically developing irreversible covalent binders specifically against menin. We define ourselves as targeted drug developers focused on covalent small molecule therapeutics and as such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Smaller or early-stage companies may also prove to be significant competitors, particularly through collaborative arrangements with large and established companies. These companies may be or may become interested in discovery and development of covalent binders that may compete with us against menin or related targets at scale and in an integrated way. Even if they do not advance programs with the same mechanism of action as ours, these companies could develop products or product candidates that are competitive with ours or that have a superior product profile, and may do so at a rapid pace. These competitors also compete with us in recruiting and retaining qualified scientific and management personnel and establishing clinical trial sites and participant enrollment in clinical trials, as well as in acquiring technologies complementary to, or necessary for, our programs. As a result, our competitors may discover, develop, license or commercialize products before or more successfully than we do. We face competition from segments of the pharmaceutical, biotechnology and other related markets that pursue the development of therapies that target binding against protein targets of interest to us.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our knowledge, there are no clinical-stage programs that aim to specifically regenerate insulin-producing beta cells in the islets by targeting menin for diabetes. There are over 60 approved agents and therapies being utilized to address diabetes. Such approved agents and therapies are intended to provide specific benefits to patients; however, we are not aware of any successfully addressing the root cause of diabetes, a depleted pool of functional beta cells. Several programs are targeting beta cell proliferation, including DYRK1A inhibitors. However, in addition to specific safety challenges, studies have shown that this approach may not only proliferate beta cells but also other pancreatic cells, which would not necessarily improve the ratio of alpha to beta cells in the pancreas.</w:t>
      </w:r>
    </w:p>
    <w:p>
      <w:pPr>
        <w:pStyle w:val="TextBody"/>
        <w:bidi w:val="0"/>
        <w:spacing w:before="0" w:after="120"/>
        <w:jc w:val="left"/>
        <w:rPr>
          <w:rFonts w:ascii="Times New Roman" w:hAnsi="Times New Roman"/>
          <w:sz w:val="20"/>
        </w:rPr>
      </w:pPr>
      <w:r>
        <w:rPr>
          <w:rFonts w:ascii="Times New Roman" w:hAnsi="Times New Roman"/>
          <w:color w:val="000000"/>
          <w:sz w:val="20"/>
        </w:rPr>
        <w:t>We face competition with respect to our current product candidates and will face competition with respect to future product candidates, from segments of the pharmaceutical, biotechnology, and other related markets that pursue targeted therapies for patients with diabetes and obesity. Our competitors will also include companies that are or will be developing other targeted therapies, including small molecule, antibody, or protein degraders for the same indications that we are targeting. For example, the Wegovy</w:t>
      </w:r>
      <w:r>
        <w:rPr>
          <w:rFonts w:ascii="Times New Roman" w:hAnsi="Times New Roman"/>
          <w:color w:val="000000"/>
          <w:sz w:val="13"/>
        </w:rPr>
        <w:t>®</w:t>
      </w:r>
      <w:r>
        <w:rPr>
          <w:rFonts w:ascii="Times New Roman" w:hAnsi="Times New Roman"/>
          <w:color w:val="000000"/>
          <w:sz w:val="20"/>
        </w:rPr>
        <w:t xml:space="preserve"> pill was approved in December 2025 and is indicated with a reduced calorie diet and increased physical activity for adults with obesity, or with overweight who also have weight-related medical problems, to help them lose weight and keep it off. If icovamenib, BMF-650 or our future product candidates do not offer sustainable advantages over competing products, we may otherwise not be able to successfully compete against current and future competitors.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competitors may obtain regulatory approval of their product candidates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competitors will also compete with us in recruiting and retaining qualified scientific, management and commercial personnel, establishing clinical trial sites and participant registration for clinical trials, as well as in acquiring technologies complementary to, or necessary for, our programs.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Product candidates that we may successfully develop and commercialize will compete with existing therapies and new therapies that may become available in the future. The key competitive factors affecting the success of all of our product candidates, if approved, are likely to be their potency, selectivity, inactivation of the target, therapeutic window, safety, convenience, price, the level of generic competition, our ability to market and commercialize the product candidate and the availability of reimbursement from government and other third-party payors. For additional information regarding our competition, see the section of this Annual Report on Form 10-K titled “Business—Competition.”</w:t>
      </w:r>
    </w:p>
    <w:p>
      <w:pPr>
        <w:pStyle w:val="TextBody"/>
        <w:bidi w:val="0"/>
        <w:spacing w:before="0" w:after="120"/>
        <w:jc w:val="left"/>
        <w:rPr>
          <w:rFonts w:ascii="Times New Roman" w:hAnsi="Times New Roman"/>
          <w:sz w:val="20"/>
        </w:rPr>
      </w:pPr>
      <w:r>
        <w:rPr>
          <w:rFonts w:ascii="Times New Roman" w:hAnsi="Times New Roman"/>
          <w:b/>
          <w:i/>
          <w:color w:val="000000"/>
          <w:sz w:val="20"/>
        </w:rPr>
        <w:t>Our novel small molecule product candidates may cause significant adverse events, toxicities or other undesirable side effects when used alone or in combination with other approved products or investigational product candidates that may result in a safety profile that could prevent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our product candidates are associated with undesirable side effects or have unexpected characteristics in preclinical studies or clinical trials when used alone or in combination with other approved products or investigational product candidates,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participant recruitment or the ability of enrolled participants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Icovamenib, BMF-500, BMF-650 or future product candidates may be used in populations for which safety concerns may be reviewed by regulatory agencies. For example, if the administration of icovamenib leads to levels of menin inhibition that far exceed those achieved by well-studied non-covalent menin inhibitors, it is possible that participants' responses could be both unexpected and negative. In addition, we or our future collaborators may study icovamenib in combination with other therapies, which may exacerbate adverse events associated with the therapy. Further, our product candidates may be used in participants that have weakened immune systems, which may exacerbate any potential side effects associated with their use. Participants treated with icovamenib, BMF-500, BMF-650 or any of our future product candidates may also be undergoing surgical, radiation and chemotherapy treatments, which can cause side effects or adverse events that are unrelated to our product candidate but may still impact the success of our clinical trials. The inclusion of critically ill participants in our clinical trials may result in deaths or other adverse medical events due to other therapies or medications that such participants may be using or due to the gravity of such participants’ illnesses. For example, it is expected that some of the participants enrolled in our clinical trials of icovamenib will die or experience major clinical events either during the course of our clinical trials or after participating in such trials. Results of our trials could reveal a high and unacceptable severity and prevalence of these or other side effects.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further significant adverse events or other side effects are observed in any of our current or future clinical trials, we may have difficulty recruiting participants to the clinical trials, participants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 if any of our product candidates obtains marketing approval, toxicities associated with such product candidates previously not seen during clinical testing may also develop after such approval and lead to a number of potentially significant negative consequences, including, but not limited to: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regulatory authorities may suspend, limit or withdraw approvals of such product, or seek an injunction against its manufacture or distribution;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including “boxed” warnings, or issue safety alerts, Dear Healthcare Provider letters, press releases or other communications containing warnings or other safety information about the product;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or conduct additional clinical trials or post-approval studies;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be required to create a risk evaluation and mitigation strategy (REMS), which could include a medication guide outlining the risks of such side effects for distribution to participants;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be subject to fines, injunctions or the imposition of criminal penalties;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could be sued and held liable for harm caused to participants;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believe that any of these events could prevent us from achieving or maintaining market acceptance of the particular product candidate, if approved, and could seriously harm our business. </w:t>
      </w:r>
    </w:p>
    <w:p>
      <w:pPr>
        <w:pStyle w:val="TextBody"/>
        <w:bidi w:val="0"/>
        <w:spacing w:before="0" w:after="120"/>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participants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From time to time, we have announced or published, and may continue to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we may also disclose interim data from our preclinical studies and clinical trials. Interim data from clinical trials that we may complete are subject to the risk that one or more of the clinical outcomes may materially change as participant enrollment continues and more participant data become available or as participants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study population size, safety database size, interpretations of data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 </w:t>
      </w:r>
    </w:p>
    <w:p>
      <w:pPr>
        <w:pStyle w:val="TextBody"/>
        <w:bidi w:val="0"/>
        <w:spacing w:before="0" w:after="120"/>
        <w:jc w:val="left"/>
        <w:rPr>
          <w:rFonts w:ascii="Times New Roman" w:hAnsi="Times New Roman"/>
          <w:sz w:val="20"/>
        </w:rPr>
      </w:pPr>
      <w:r>
        <w:rPr>
          <w:rFonts w:ascii="Times New Roman" w:hAnsi="Times New Roman"/>
          <w:b/>
          <w:i/>
          <w:color w:val="000000"/>
          <w:sz w:val="20"/>
        </w:rPr>
        <w:t>Even if we obtain regulatory approval of our product candidates, the products may not gain market acceptance among physicians, patients, hospitals, and others in the medical community.</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Various factors will influence whether our product candidates, if approved, are accepted in the market, including: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clinical indications for which our product candidates are approved;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physicians, hospitals, and patients considering our product candidates as a safe and effective treatment;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potential and perceived advantages of our product candidates over alternative treatments;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demonstrate the advantages of our product candidates over other available medicines;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prevalence and severity of any side effects for other precision medicines and public perception of other precision medicines;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or other regulatory authorities;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limitations or warnings contained in the labeling approved by the FDA;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timing of market introduction of our product candidates as well as competitive products;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 of treatment in relation to alternative treatments;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pricing and the availability of adequate coverage and reimbursement by third-party payors and government authorities;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willingness of patients to pay out-of-pocket in the absence of coverage by third-party payors and government authorities;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relative convenience and ease of administration, including as compared to alternative treatments and competitive therapies;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effectiveness of our sales and marketing efforts.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our product candidates are approved but fail to achieve market acceptance among physicians, patients, hospitals, or others in the medical community, we will not be able to generate significant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Even if any products we develop achieve market acceptance, we may not be able to maintain that market acceptance over time if new products or technologies are introduced that are more favorably received than our products, are more cost effective or render our products obsolete. </w:t>
      </w:r>
    </w:p>
    <w:p>
      <w:pPr>
        <w:pStyle w:val="TextBody"/>
        <w:bidi w:val="0"/>
        <w:spacing w:before="0" w:after="120"/>
        <w:jc w:val="left"/>
        <w:rPr>
          <w:rFonts w:ascii="Times New Roman" w:hAnsi="Times New Roman"/>
          <w:sz w:val="20"/>
        </w:rPr>
      </w:pPr>
      <w:r>
        <w:rPr>
          <w:rFonts w:ascii="Times New Roman" w:hAnsi="Times New Roman"/>
          <w:b/>
          <w:i/>
          <w:color w:val="000000"/>
          <w:sz w:val="20"/>
        </w:rPr>
        <w:t>Coverage and reimbursement of newly-approved products from third-party payors is uncertain. Our product candidates may become subject to unfavorable pricing regulations and/or third-party coverage and reimbursement policies, either of which would adversely affect our business. Failure to obtain or maintain adequate coverage and reimbursement for our product candidates, if approved,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are not available, or are available only to limited levels, we may not be able to successfully commercialize our product candidates.</w:t>
      </w:r>
      <w:r>
        <w:rPr>
          <w:rFonts w:ascii="Times New Roman" w:hAnsi="Times New Roman"/>
          <w:color w:val="FF0000"/>
          <w:sz w:val="20"/>
        </w:rPr>
        <w:t xml:space="preserve"> </w:t>
      </w:r>
      <w:r>
        <w:rPr>
          <w:rFonts w:ascii="Times New Roman" w:hAnsi="Times New Roman"/>
          <w:color w:val="000000"/>
          <w:sz w:val="20"/>
        </w:rPr>
        <w:t>For additional information, see the section of this Annual Report on Form 10-K titled “Business—Government Regulation—Coverage and Reimbursement.”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regulations that govern marketing approvals, pricing, coverage and reimbursement for new drugs vary widely from country to country. In the United States, recently enacted legislation may 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business, financial condition and results of operations, our ability to raise capital needed to commercialize products and our overall financial condition.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which may not be sufficiently covered by insurance, and may be required to limit commercialization of our product candidates.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decreased demand for our product candidates or products that we may develop;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initiation of investigations by regulators restrictions on product development plans, or clinical holds;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diversion of management’s time and our resources;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inability to commercialize any product candidate;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decline in our share price.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that we believe is appropriate for our stage of development, our insurance policies also have various exclusions, and we may be subject to a product liability claim for which we have no coverage and may need to obtain higher levels prior to marketing any of our product candidates if approved.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w:t>
      </w:r>
    </w:p>
    <w:p>
      <w:pPr>
        <w:pStyle w:val="TextBody"/>
        <w:bidi w:val="0"/>
        <w:spacing w:before="0" w:after="120"/>
        <w:jc w:val="left"/>
        <w:rPr>
          <w:rFonts w:ascii="Times New Roman" w:hAnsi="Times New Roman"/>
          <w:sz w:val="20"/>
        </w:rPr>
      </w:pPr>
      <w:r>
        <w:rPr>
          <w:rFonts w:ascii="Times New Roman" w:hAnsi="Times New Roman"/>
          <w:b/>
          <w:i/>
          <w:color w:val="000000"/>
          <w:sz w:val="20"/>
        </w:rPr>
        <w:t>We have never commercialized a product candidate before and may lack the necessary expertise, personnel and resources to successfully commercialize any products on our own or together with suitable collaborators.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never commercialized a product candidate and we currently have no sales force, marketing or distribution capabilities. To achieve commercial success for the product candidates which we may license to others, we will rely on the assistance and guidance of those collaborators. For product candidates for which we retain commercialization rights and marketing approval, we will have to develop our own sales, marketing and supply organization or outsource these activities to a third party.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product candidates, ensuring regulatory compliance of our future approved products, the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 from them or be able to reach or sustain profitability. </w:t>
      </w:r>
    </w:p>
    <w:p>
      <w:pPr>
        <w:pStyle w:val="TextBody"/>
        <w:bidi w:val="0"/>
        <w:jc w:val="left"/>
        <w:rPr>
          <w:rFonts w:ascii="Times New Roman" w:hAnsi="Times New Roman"/>
          <w:sz w:val="20"/>
        </w:rPr>
      </w:pPr>
      <w:r>
        <w:rPr>
          <w:rFonts w:ascii="Times New Roman" w:hAnsi="Times New Roman"/>
          <w:b/>
          <w:color w:val="000000"/>
          <w:sz w:val="20"/>
        </w:rPr>
        <w:t>Risks Related to Regulatory Process and Other Legal Compliance Matters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icovamenib, we must demonstrate through lengthy, complex and expensive preclinical studies and clinical trials that our product candidates are both safe and effective for each targeted indication.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us obtaining marketing approval.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following: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suspend or prohibit completion of our clinical trials, such as through the clinical hold placed on our INDs for the Phase I/II clinical trials of icovamenib in type 2 and type 1 diabetes, which was lifted in September 2024, or they may disagree with the design or implementation of our clinical trials or require us to modify the design of our clinical trials, including additional procedures and contingency measures in response to public health emergencies like a pandemic, or as required by clinical sites, IRBs, the FDA or other regulatory authorities;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population studied in the clinical trial may not be sufficiently broad or representative to assure efficacy and safety in the full population for which we seek approval;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and effective for its proposed indication;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or that a product candidate has an acceptable benefit-risk ratio for its proposed indication;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studies or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an NDA or other submission or to obtain regulatory approval in the United States or elsewhere;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staffing changes and backlogs at the FDA, or other comparable foreign regulatory authorities may create unexpected delays in the review and approval of any applications we may submit;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fail to approve the manufacturing processes, test procedures, specifications, or facilities of third-party manufacturers with which we contract for clinical and commercial supplies;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otherwise fail or be unable to adequately perform their obligations to allow for the conduct of our planned or future clinical studies;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studies, or may approve a product candidate with a label that does not include the labeling claims necessary or desirable for the successful commercialization of that product candidate. </w:t>
      </w:r>
    </w:p>
    <w:p>
      <w:pPr>
        <w:pStyle w:val="TextBody"/>
        <w:bidi w:val="0"/>
        <w:spacing w:before="0" w:after="120"/>
        <w:jc w:val="left"/>
        <w:rPr>
          <w:rFonts w:ascii="Times New Roman" w:hAnsi="Times New Roman"/>
          <w:sz w:val="20"/>
        </w:rPr>
      </w:pPr>
      <w:r>
        <w:rPr>
          <w:rFonts w:ascii="Times New Roman" w:hAnsi="Times New Roman"/>
          <w:b/>
          <w:i/>
          <w:color w:val="000000"/>
          <w:sz w:val="20"/>
        </w:rPr>
        <w:t>A condition or disease we are conducting or plan to conduct clinical trials for may not be a rare disease or condition that is eligible for orphan drug designation or we may not be able to obtain orphan drug designation or obtain or maintain the benefits associated with orphan drug designation, such as orphan drug exclusivity and, even if we do, that exclusivity may not prevent the FDA or other comparable foreign regulatory authorities, from approving competing products.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part of our business strategy, we may seek orphan drug designation (ODD) for any eligible product candidates we develop, and we may be unsuccessful. Regulatory authorities in some jurisdictions, including the United States,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the United States, ODD entitles a party to financial incentives such as opportunities for grant funding towards clinical trial costs, tax advantages, and user-fee waivers. In addition, if a product that has ODD subsequently receives the first FDA approval for the use or indication for which it has such designation, the product is entitled to orphan drug exclusivity. Orphan drug exclusivity in the United States provides that the FDA may not approve any other applications, including a full NDA, to market the same drug for the same approved use or indication for seven years, except in circumstances such as a showing of clinical superiority to the product with orphan product exclusivity in instances of supply issues.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may be approved for the same approved use or indication. Even after an orphan drug is approved, the FDA can subsequently approve the same drug with the same active moiety for the same approved use or indication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seek Fast Track designations for some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These confirmatory trials must be completed with due diligence. Under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seek priority review designation for one or more of our other product candidates, but we might not receive such designation, and even if we do, such designation may not lead to a faster regulatory review or approval process.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pStyle w:val="TextBody"/>
        <w:bidi w:val="0"/>
        <w:spacing w:before="0" w:after="120"/>
        <w:jc w:val="left"/>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any products we develop is also subject to approval.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any products we develop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 </w:t>
      </w:r>
    </w:p>
    <w:p>
      <w:pPr>
        <w:pStyle w:val="TextBody"/>
        <w:bidi w:val="0"/>
        <w:spacing w:before="0" w:after="120"/>
        <w:jc w:val="left"/>
        <w:rPr>
          <w:rFonts w:ascii="Times New Roman" w:hAnsi="Times New Roman"/>
          <w:sz w:val="20"/>
        </w:rPr>
      </w:pPr>
      <w:r>
        <w:rPr>
          <w:rFonts w:ascii="Times New Roman" w:hAnsi="Times New Roman"/>
          <w:b/>
          <w:i/>
          <w:color w:val="000000"/>
          <w:sz w:val="20"/>
        </w:rPr>
        <w:t>Changes in funding or disruptions at the FDA, the SEC and other government agencies caused by reduction in staffing,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Federal agencies in the U.S., including the FDA and the SEC, operate pursuant to annual appropriations and other political and budgetary processes, and may from time to time be subject to continuing resolutions, funding lapses, or other fiscal constraints.The FDA is currently funded through September 30, 2026. Without appropriation of sufficient funding to federal agencies, our business operations related to our product development activities for the U.S. market could be impacted. Inadequate funding for the FDA, the SEC, the United States Patent and Trademark Office (USPTO)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For example, the Trump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leadership and policy changes and other events that may otherwise affect the FDA’s ability to perform routine functions. Average review times at the FDA have fluctuated in recent years and may continue to fluctuate as a result of these factors. Disruptions at the FDA, the SEC, the USPTO and other agencies, including substantial leadership departures, personnel cuts and policy changes, may also slow the time necessary for new drugs to be reviewed and/or approved by necessary government agencies, which would adversely affect our business. Changes and cuts in FDA staffing have been reported by some within the pharmaceutical industry as creating instances of delays in the FDA’s responsiveness or in its ability to review IND submissions or applications, issue regulations or guidance, or implement or enforce regulatory requirements in a timely fashion or at all. Moreover, disruptions at the NIH or changes to the NIH’s budget may negatively impact our operations and ongoing clinical trials.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example, the U.S. government has shut down several times. Most recently, from October 1, 2025 through November 12, 2025, the government experienced a full shutdown and from January 31, 2026 through February 3, 2026, the government experienced a partial shutdown, and certain regulatory agencies, such as the FDA and the SEC, had to furlough critical employees and stop critical activities. As of February 2026, most government agencies have been funded through September 2026, however if a future prolonged government shutdown occurs again, it could result in significant delays in the of FDA's ability to timely review and process any submissions we have filed or may file or cause other regulatory delays, which could have a material adverse effect on our business.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 in our operations as a public company, future government shutdowns or delays could impact our ability to access the public markets and obtain necessary capital in order to properly capitalize and continue our operations. </w:t>
      </w:r>
    </w:p>
    <w:p>
      <w:pPr>
        <w:pStyle w:val="TextBody"/>
        <w:bidi w:val="0"/>
        <w:spacing w:before="0" w:after="120"/>
        <w:jc w:val="left"/>
        <w:rPr>
          <w:rFonts w:ascii="Times New Roman" w:hAnsi="Times New Roman"/>
          <w:sz w:val="20"/>
        </w:rPr>
      </w:pPr>
      <w:r>
        <w:rPr>
          <w:rFonts w:ascii="Times New Roman" w:hAnsi="Times New Roman"/>
          <w:b/>
          <w:i/>
          <w:color w:val="000000"/>
          <w:sz w:val="20"/>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product candidates and the activities associated with their development and potential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Following potential approval of any of our current or future product candidates, the FDA or other comparable regulatory authorities may impose significant restrictions on a product’s indicated uses or marketing or impose ongoing requirements for potentially costly and time-consuming post-approval studies, post-market surveillance or clinical trials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tracking and tracing requirements, GLP requirements, and GCP requirements, for any clinical trials that we conduct post-approval. Additionally, under FDORA, sponsors of approved drugs and biologics must provide six months’ notice to the FDA of any changes in marketing status, such as the withdrawal of a drug. Failure to do so could result in the FDA sending a noncompliance letter, or placing the product on a list of discontinued products.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restrictions on the marketing or manufacturing of our product candidates, withdrawal of the product from the market or voluntary or mandatory product recalls;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manufacturing delays and supply disruptions where regulatory inspections identify observations of noncompliance requiring remediation;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revisions to the labeling, including limitation on approved uses or the addition of additional warnings, contraindications or other safety information, including boxed warnings;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imposition of a REMS, which may include distribution or use restrictions;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requirements to conduct additional post-market clinical trials to assess the safety of the product;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fines, FDA Form 483s, warning or untitled letters or holds on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refusal by the FDA to approve pending applications or supplements to approved applications filed by us or suspension or revocation of approvals;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our product candidates;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The occurrence of any event or penalty described above may inhibit our ability to commercialize our product candidates and generate revenue and could require us to expend significant time and resources in response and could generate negative publicity.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0" w:after="120"/>
        <w:jc w:val="left"/>
        <w:rPr>
          <w:rFonts w:ascii="Times New Roman" w:hAnsi="Times New Roman"/>
          <w:sz w:val="20"/>
        </w:rPr>
      </w:pPr>
      <w:r>
        <w:rPr>
          <w:rFonts w:ascii="Times New Roman" w:hAnsi="Times New Roman"/>
          <w:b/>
          <w:i/>
          <w:color w:val="000000"/>
          <w:sz w:val="20"/>
        </w:rPr>
        <w:t>Healthcare legislative measures aimed at reducing healthcare costs may have a material adverse effect on our business and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additional information, see the section of this Annual Report on Form 10-K titled “Business—Government Regulation —Healthcare Reform.”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continuing efforts of the government, insurance companies, managed care organizations and other payers of healthcare services to contain or reduce costs of healthcare may adversely affect: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demand for any of our product candidates, if approved;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to set a price that we believe is fair for any of our product candidates, if approved;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generate revenues and achieve or maintain profitability;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Any reduction in reimbursement from Medicare or other government programs may result in a similar reduction in payments from private payors, which may adversely affect our future profitability. </w:t>
      </w:r>
    </w:p>
    <w:p>
      <w:pPr>
        <w:pStyle w:val="TextBody"/>
        <w:bidi w:val="0"/>
        <w:spacing w:before="0" w:after="120"/>
        <w:jc w:val="left"/>
        <w:rPr>
          <w:rFonts w:ascii="Times New Roman" w:hAnsi="Times New Roman"/>
          <w:sz w:val="20"/>
        </w:rPr>
      </w:pPr>
      <w:r>
        <w:rPr>
          <w:rFonts w:ascii="Times New Roman" w:hAnsi="Times New Roman"/>
          <w:b/>
          <w:i/>
          <w:color w:val="000000"/>
          <w:sz w:val="20"/>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Further, FDA’s Office of Prescription Drug Promotion (“OPDP”) actively scrutinizes promotional communications, including digital and social media; any materials that are false, misleading or promote unapproved uses can lead to enforcement actions and could necessitate corrective communications.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Although physicians may prescribe products for “off-label” uses in the exercise of their independent professional judgment,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government has also imposed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 </w:t>
      </w:r>
    </w:p>
    <w:p>
      <w:pPr>
        <w:pStyle w:val="TextBody"/>
        <w:bidi w:val="0"/>
        <w:spacing w:before="0" w:after="120"/>
        <w:jc w:val="left"/>
        <w:rPr>
          <w:rFonts w:ascii="Times New Roman" w:hAnsi="Times New Roman"/>
          <w:sz w:val="20"/>
        </w:rPr>
      </w:pPr>
      <w:r>
        <w:rPr>
          <w:rFonts w:ascii="Times New Roman" w:hAnsi="Times New Roman"/>
          <w:b/>
          <w:i/>
          <w:color w:val="000000"/>
          <w:sz w:val="20"/>
        </w:rPr>
        <w:t>Our employees, independent contractors, consultants, principal investigators, CROs, suppliers,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consultants,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w:t>
      </w:r>
    </w:p>
    <w:p>
      <w:pPr>
        <w:pStyle w:val="TextBody"/>
        <w:bidi w:val="0"/>
        <w:spacing w:before="0" w:after="120"/>
        <w:jc w:val="left"/>
        <w:rPr>
          <w:rFonts w:ascii="Times New Roman" w:hAnsi="Times New Roman"/>
          <w:sz w:val="20"/>
        </w:rPr>
      </w:pPr>
      <w:r>
        <w:rPr>
          <w:rFonts w:ascii="Times New Roman" w:hAnsi="Times New Roman"/>
          <w:b/>
          <w:i/>
          <w:color w:val="000000"/>
          <w:sz w:val="20"/>
        </w:rPr>
        <w:t>Our business operations and current and future relationships with investigators, healthcare professionals, consultants, third-party payors, patient organizations, and customers will be subject to applicable healthcare regulatory laws, which could expose us to penalties.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Pharmaceutical companies are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products for which we obtain marketing approval. Such laws include, without limitation, federal and state anti-kickback, fraud and abuse, false claims, data privacy and security and physician and other healthcare provider payment transparency laws and regulations. If their operations are found to be in violation of any such laws or any other governmental regulations that apply, they may be subject to significant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w:t>
      </w:r>
      <w:r>
        <w:rPr>
          <w:rFonts w:ascii="Times New Roman" w:hAnsi="Times New Roman"/>
          <w:color w:val="FF0000"/>
          <w:sz w:val="20"/>
        </w:rPr>
        <w:t xml:space="preserve"> </w:t>
      </w:r>
      <w:r>
        <w:rPr>
          <w:rFonts w:ascii="Times New Roman" w:hAnsi="Times New Roman"/>
          <w:color w:val="000000"/>
          <w:sz w:val="20"/>
        </w:rPr>
        <w:t>For additional information, see the section of this Annual Report on Form 10-K titled “Business—Government Regulation—Other Healthcare 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scope and enforcement of each of these laws is uncertain and subject to rapid change in the current environment of healthcare reform. 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be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significant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bidi w:val="0"/>
        <w:spacing w:before="0" w:after="120"/>
        <w:jc w:val="left"/>
        <w:rPr>
          <w:rFonts w:ascii="Times New Roman" w:hAnsi="Times New Roman"/>
          <w:sz w:val="20"/>
        </w:rPr>
      </w:pPr>
      <w:r>
        <w:rPr>
          <w:rFonts w:ascii="Times New Roman" w:hAnsi="Times New Roman"/>
          <w:b/>
          <w:i/>
          <w:color w:val="000000"/>
          <w:sz w:val="20"/>
        </w:rPr>
        <w:t>We are or may become subject to stringent and changing laws, regulations, contractual obligations, and other obligations relating to privacy, data protection, and information security. The actual or perceived failure by us or our partners, customers, vendors, third-party payors or other related third parties to comply with such obligations could harm our reputation, subject us to significant fines and liability, or otherwise adversely affect our business.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There are numerous domestic and foreign laws, regulations, and other legal obligations regarding privacy, data protection, and information security, the scope of which are changing and subject to differing applications and interpretations, and which may be inconsistent among jurisdictions or conflict with each other. Privacy, data protection, and information security laws and regulations worldwide are, and are likely to remain, uncertain for the foreseeable future, and the actual or perceived failure to address or comply with them by us or our partners, customers, vendors, or other related third-parties could increase our compliance and operational costs, expose us to regulatory scrutiny, actions, fines and penalties, result in reputational harm, lead to a loss of customers; reduce the use of our products, result in litigation and liability, cause a material adverse impact to business operations or financial results, or otherwise result in material harm to our business.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U.S., numerous states have in recent years introduced and enacted more and more comprehensive privacy, data protection, and information security laws, adding complexity, variation in requirements, restrictions and potential legal risk requiring additional investment of resources in compliance programs. By way of example, the California Consumer Privacy Act (CCPA), which went into effect on January 1, 2020, affords consumers expanded privacy protections, including expanded rights to access and require deletion of their personal information, opt-out of certain personal information sharing, and receive detailed information about how their personal information is used. Similar privacy laws have been proposed at the federal level and in other states, creating a complicated national patchwork. Furthermore, some states have proposed or enacted legislation specifically focused on health privacy, such as Washington’s My Health My Data Act, with similar statutes in Nevada and Connecticut. The effects of state privacy laws are significant and may require us to modify our data processing practices and policies and to incur substantial costs and potential liability in an effort to comply with such legislation.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Additionally, we are or may become subject to the terms of internal and external policies, representations, standards, contractual obligations, and other obligations to third parties related to privacy, data protection, and information security. Our actual or perceived failure to comply with them may cause us to suffer a material adverse impact to our business operations or financial results, or otherwise result in material harm to our business.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Moreover, in the United States, most healthcare providers, including research institutions from which we obtain participant health information, are subject to privacy and security regulations promulgated under HIPAA, as amended by HITECH, and their respective implementing regulations. Compliance with HIPAA and HITECH may require us to modify our data processing policies and to incur substantial costs and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Regulators and legislators in the U.S.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we may use and integrate artificial intelligence into our business processes, both in our own development and implementation of artificial intelligence through the adoption of commercially available tools. Use of this technology could pose cybersecurity, data privacy, information technology, intellectual property, regulatory, legal, operational, competitive, reputational, and other risks and challenges that could affect our business. Specifically, risks related to accuracy, bias, artificial intelligence hallucinations, discrimination, harmful content, misinformation, fraud, scams, targeted attacks (including model poisoning or data poisoning), surveillance, data leakage, inequality, environmental harms, and other harms may flow from our development, use, or deployment of artificial intelligence technologies. 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in the future receive inquiries or be subject to investigations, proceedings, or actions by governmental entities, or litigation by private parties, regarding our privacy, data protection, and information security practices, which could result in a cause a material adverse impact to our business operations or financial results, or otherwise result in material harm to our business, including without limitation, interruptions of or requirements to make changes to our business practices, the diversion of resources and the attention of management from our business, regulatory oversights and audits, discontinuance of necessary data processing, or other remedies that adversely affect our business.</w:t>
      </w:r>
    </w:p>
    <w:p>
      <w:pPr>
        <w:pStyle w:val="TextBody"/>
        <w:bidi w:val="0"/>
        <w:spacing w:before="0" w:after="120"/>
        <w:jc w:val="left"/>
        <w:rPr>
          <w:rFonts w:ascii="Times New Roman" w:hAnsi="Times New Roman"/>
          <w:sz w:val="20"/>
        </w:rPr>
      </w:pPr>
      <w:r>
        <w:rPr>
          <w:rFonts w:ascii="Times New Roman" w:hAnsi="Times New Roman"/>
          <w:b/>
          <w:i/>
          <w:color w:val="000000"/>
          <w:sz w:val="20"/>
        </w:rPr>
        <w:t>Our research and development activities could be affected or delayed as a result of possible restrictions on animal testing.</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0" w:after="120"/>
        <w:jc w:val="left"/>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Such Trade Laws also govern export controls, as well as economic sanctions and embargoes on certain countries and persons.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Violations of Trade Laws can result in substantial criminal fines and civil penalties, imprisonment, the loss of trade privileges, debarment, tax reassessments, breach of contract and fraud litigation, reputational harm and other consequences. </w:t>
      </w:r>
    </w:p>
    <w:p>
      <w:pPr>
        <w:pStyle w:val="TextBody"/>
        <w:bidi w:val="0"/>
        <w:spacing w:before="0" w:after="120"/>
        <w:jc w:val="left"/>
        <w:rPr>
          <w:rFonts w:ascii="Times New Roman" w:hAnsi="Times New Roman"/>
          <w:sz w:val="20"/>
        </w:rPr>
      </w:pPr>
      <w:r>
        <w:rPr>
          <w:rFonts w:ascii="Times New Roman" w:hAnsi="Times New Roman"/>
          <w:b/>
          <w:i/>
          <w:color w:val="000000"/>
          <w:sz w:val="20"/>
        </w:rPr>
        <w:t>Existing regulatory policies may change, and additional government regulations may be enacted that could prevent, limit or delay regulatory approval of our product candidates.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United States Supreme Court’s June 2024 decision in Loper Bright Enterprises v. Raimondo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including the FDA, on which we rely. Any such legal challenges, if successful, could have a material impact on our business. Additionally, the Loper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adoption of new requirements or policies, or if we are not able to maintain regulatory compliance, our business could be materially harmed. </w:t>
      </w:r>
    </w:p>
    <w:p>
      <w:pPr>
        <w:pStyle w:val="TextBody"/>
        <w:bidi w:val="0"/>
        <w:jc w:val="left"/>
        <w:rPr>
          <w:rFonts w:ascii="Times New Roman" w:hAnsi="Times New Roman"/>
          <w:sz w:val="20"/>
        </w:rPr>
      </w:pPr>
      <w:r>
        <w:rPr>
          <w:rFonts w:ascii="Times New Roman" w:hAnsi="Times New Roman"/>
          <w:b/>
          <w:color w:val="000000"/>
          <w:sz w:val="20"/>
        </w:rPr>
        <w:t>Risks Related to Employee Matters, Managing Our Growth and Other Risks Related to Our Business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We are highly dependent on our key personnel and anticipate hiring new key personnel. If we are not successful in attracting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Operating Officer and President, Ramses Erdtmann. The departure of key leadership personnel, such as the departures of our former Chief Executive Officer and Chief Financial Officer in 2025, may result in loss of significant knowledge and experience from the company. This loss of knowledge and experience can be mitigated through successful hiring and transition, but there can be no assurance that we will be successful in such efforts. Attracting and retaining qualified senior leadership may be more challenging under adverse business conditions. We will need to hire additional personnel as we initiate and expand our clinical development and if we initiate commercial activities.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Additionally, we rely on our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materially adversely affected. </w:t>
      </w:r>
    </w:p>
    <w:p>
      <w:pPr>
        <w:pStyle w:val="TextBody"/>
        <w:bidi w:val="0"/>
        <w:spacing w:before="0" w:after="120"/>
        <w:jc w:val="left"/>
        <w:rPr>
          <w:rFonts w:ascii="Times New Roman" w:hAnsi="Times New Roman"/>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December 31, 2025, we had 41 full-time employees, including 27 employees engaged in research and development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order to successfully implement our development and commercialization plans and strategies, and as we continue to operate as a public company, we expect to need additional managerial clinical, regulatory, operational, sales, marketing, financial and other personnel. Future growth would impose significant added responsibilities on members of management, including: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identifying, recruiting, integrating, maintaining, retaining, and motivating additional employees;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FDA, and other comparable foreign regulatory agencies’ review process for icovamenib, BMF-500, BMF-650 and any future product candidates, while complying with any contractual obligations to contractors and other third parties we may have;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improving our operational, financial and management controls, reporting systems and procedures.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future financial performance and our ability to successfully develop and, if approved, commercialize icovamenib, BMF-500, BMF-650 and future product candidates will depend, in part, on our ability to effectively manage any future growth in company headcount. Our management may also have to divert a disproportionate amount of its attention away from day-to-day activities in order to devote a substantial amount of time to managing these growth activities.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clinical trials may be extended, delayed or terminated, and we may not be able to obtain marketing approval of icovamenib, BMF-500, BMF-650 or any future product candidates or otherwise advance our business. We cannot assure you that we will be able to manage our existing third-party service providers or find other competent outside contractors and consultants on economically reasonable terms, or at all.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and/or engaging additional third-party service providers, we may not be able to successfully implement the tasks necessary to further develop and commercialize icovamenib, BMF-650, BMF-500 or any future product candidates and, accordingly, may not achieve our research, development and commercialization goals. </w:t>
      </w:r>
    </w:p>
    <w:p>
      <w:pPr>
        <w:pStyle w:val="TextBody"/>
        <w:bidi w:val="0"/>
        <w:spacing w:before="0" w:after="120"/>
        <w:jc w:val="left"/>
        <w:rPr>
          <w:rFonts w:ascii="Times New Roman" w:hAnsi="Times New Roman"/>
          <w:sz w:val="20"/>
        </w:rPr>
      </w:pPr>
      <w:r>
        <w:rPr>
          <w:rFonts w:ascii="Times New Roman" w:hAnsi="Times New Roman"/>
          <w:b/>
          <w:i/>
          <w:color w:val="000000"/>
          <w:sz w:val="20"/>
        </w:rPr>
        <w:t>Business disruptions could materially adversely affect our future revenue and financial condition and increase our costs and expenses.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operations, and those of our CROs, CMOs and other contractors and consultants,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develop icovamenib, BMF-500, BMF-650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 </w:t>
      </w:r>
    </w:p>
    <w:p>
      <w:pPr>
        <w:pStyle w:val="TextBody"/>
        <w:bidi w:val="0"/>
        <w:spacing w:before="0" w:after="120"/>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to offset future taxable income may be limited.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net operating loss (NOL) carryforwards that we generate in the future may be unavailable to offset future taxable income because of restrictions under U.S. tax law. Under current U.S. tax law, our federal NOLs generated in taxable years beginning after December 31, 2020 may be carried forward indefinitely, but such deductibility is limited to 80% of current year taxable income.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under Sections 382 and 383 of the Internal Revenue Code of 1986, as amended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 Similar rules may apply under state tax laws. We may have experienced such ownership changes in the past, and we may experience ownership changes in the future as a result of shifts in our stock ownership, some of which are outside our control. We have performed a Section 382 study and concluded that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In addition, at the state level, there may be periods during which the use of NOL carryforwards is suspended or otherwise limited, which could accelerate or permanently increase state taxes owed.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tax law may adversely affect us or our investors.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rules dealing with U.S. federal, state and local income taxation are constantly under review by persons involved in the legislative process and by the Internal Revenue Service and the U.S. Treasury Department. In recent years, many changes to tax laws have been made, and changes are likely to continue to occur in the future. For example, the OBBBA was signed into law on July 4, 2025 and made significant changes to U.S. federal tax law. Changes to tax laws (which changes may have retroactive application) could adversely affect us or holders of our common stock. For example,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Although the OBBBA has not materially impacted our effective tax rate or cash flows in the current fiscal year,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pStyle w:val="TextBody"/>
        <w:bidi w:val="0"/>
        <w:spacing w:before="0" w:after="120"/>
        <w:jc w:val="left"/>
        <w:rPr>
          <w:rFonts w:ascii="Times New Roman" w:hAnsi="Times New Roman"/>
          <w:sz w:val="20"/>
        </w:rPr>
      </w:pPr>
      <w:r>
        <w:rPr>
          <w:rFonts w:ascii="Times New Roman" w:hAnsi="Times New Roman"/>
          <w:b/>
          <w:i/>
          <w:color w:val="000000"/>
          <w:sz w:val="20"/>
        </w:rPr>
        <w:t>A portion of our chemistry-based product development and sourcing of certain manufacturing raw materials for our product candidates takes place outside the United States through third-party manufacturers. A significant disruption in the operation of those manufacturers, a trade war or political unrest in China could materially adversely affect our business, financial condition and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currently contract certain product development and manufacturing operations to third parties outside the United States, including in China, and we expect to continue to use such third-party manufacturers to support the development of our product candidates. Any disruption in production or inability of our manufacturers outside the United States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outside the United States, we are exposed to the possibility of product supply disruption and increased costs in the event of changes in the policies of the United States or other foreign governments, political unrest or unstable economic conditions in these jurisdictions. For example, on September 25, 2025, the current U.S. administration announced a 100% tariff on brand-name or patented drugs unless pharmaceutical companies expand their manufacturing operations in the U.S., and may impose more restrictions on goods. While pharmaceutical products are currently excluded from the baseline and “reciprocal” tariffs imposed by the U.S., such tariffs still apply to the raw materials and other products necessary for the manufacture and formulation of our product candidates. As such, a trade war or other trade restrictions could lead to additional tariffs on the chemical intermediates we use that are manufactured in China.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U.S. legislation, referred to as the BIOSECURE ACT, went into effect on December 18, 2025 as part of the National Defense Authorization Act of 2026, may have the effect of restricting the ability of U.S. biopharmaceutical companies to purchase services or products from, or otherwise collaborate with, certain Chinese biotechnology companies of concern without losing the ability to contract with, or otherwise receive funding from, the U.S. government.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foreign currency fluctuations in the value of the local currency as future appreciation of the local currency could increase our costs. In addition, our labor costs could continue to rise as wage rates increase due to increased demand for skilled laborers and the availability of skilled labor declines outside the United States, including in China.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Reliance on Third Parties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expect to have to negotiate budgets and contracts with CROs, trial sites and CMOs and we may not be able to do so on favorable terms, which may result in delays to our development timelines and increased costs.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current Good Manufacturing Practices </w:t>
      </w:r>
      <w:r>
        <w:rPr>
          <w:rFonts w:ascii="Times New Roman" w:hAnsi="Times New Roman"/>
          <w:b/>
          <w:color w:val="000000"/>
          <w:sz w:val="20"/>
        </w:rPr>
        <w:t>(</w:t>
      </w:r>
      <w:r>
        <w:rPr>
          <w:rFonts w:ascii="Times New Roman" w:hAnsi="Times New Roman"/>
          <w:color w:val="000000"/>
          <w:sz w:val="20"/>
        </w:rPr>
        <w:t xml:space="preserve">cGMP) regulations and will require a large number of test participants. Our failure or any failure by these third parties to comply with these regulations or to recruit a sufficient number of participants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Any third parties conducting our preclinical studies or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preclinical studies,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preclinical or clinical protocols or regulatory requirements or for other reasons, our preclinical studies or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 </w:t>
      </w:r>
    </w:p>
    <w:p>
      <w:pPr>
        <w:pStyle w:val="TextBody"/>
        <w:bidi w:val="0"/>
        <w:spacing w:before="0" w:after="120"/>
        <w:jc w:val="left"/>
        <w:rPr>
          <w:rFonts w:ascii="Times New Roman" w:hAnsi="Times New Roman"/>
          <w:sz w:val="20"/>
        </w:rPr>
      </w:pPr>
      <w:r>
        <w:rPr>
          <w:rFonts w:ascii="Times New Roman" w:hAnsi="Times New Roman"/>
          <w:b/>
          <w:i/>
          <w:color w:val="000000"/>
          <w:sz w:val="20"/>
        </w:rPr>
        <w:t>We currently rely and expect to rely in the future on the use of dedicated manufacturing suites in third-party facilities or on third parties general manufacturing facilities to manufacture our product candidates, and we may rely on third parties to develop processes and testing methods for our products, if approved. Our business could be adversely affected if we are unable to use third-party manufacturing suites or if the third-party manufacturers fail to develop appropriate processes and testing methods to provide us with sufficient quantities of our product candidates or fail to do so at acceptable quality levels or prices.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if approved. We will need to negotiate and maintain contractual arrangements with these outside vendors for the supply of our product candidates and we may not be able to do so on favorable terms.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limited control over the ability of our contract manufacturers to maintain adequate quality control, quality assurance, qualified personnel, their equipment and facilities and any applicable licenses or approvals. If the FDA or a comparable foreign regulatory authority does not approve these facilities for the manufacture of our product candidates or if it withdraws any such approval in the future, we may need to find alternative manufacturing facilities, which would require the incurrence of significant additional costs and delays,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anticipated reliance on a limited number of third-party manufacturers exposes us to a number of risks, including the following: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be unable to identify manufacturers on acceptable terms or at all because the number of potential manufacturers is limited and the FDA or other comparable foreign regulatory authority must inspect any manufacturers for cGMP compliance as part of our marketing application;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manufacturing processes and testing methods may need to be transferred to a new manufacturer, or we or others on our behalf may need to develop substantially equivalent processes and testing methods for, the production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third-party manufacturers might be unable to timely manufacture our product candidates or produce the quantity and quality required to meet our clinical and commercial needs, if any;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contract manufacturers may not be able to execute our manufacturing procedures and other logistical support requirements appropriately;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contract manufacturers are subject to ongoing periodic unannounced inspection by the FDA or other comparable foreign regulatory authority and corresponding state agencies to ensure strict compliance with cGMP and other government regulations and corresponding foreign standards and we have no control over third-party manufacturers’ compliance with these changing and tightening regulations and standards;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not own, or may have to share, the intellectual property rights to any improvements made by our third-party manufacturers in the manufacturing process for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third-party manufacturers could breach or terminate their agreements with us;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third-party manufacturers may experience change of control of their ownership including ownership by a competitor,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raw materials and components used in the manufacturing process, particularly those for which we have no other source or supplier, may not be available at acceptable prices, or at all, or may not be suitable or acceptable for use due to material or component defects;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contract manufacturers and critical reagent suppliers may be subject to inclement weather, as well as natural or man-made disasters;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contract manufacturers may have unacceptable or inconsistent product quality success rates and yields, and we have no direct control over our contract manufacturers’ ability to maintain adequate quality control, quality assurance, qualified personnel, their equipment and facilities and any applicable licenses or approvals.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from time to time we have relied upon, and may continue to rely upon, third-party contract manufacturers that are based in jurisdictions outside the United States. Legislation was proposed that, if enacted, could have negatively impact U.S. funding for certain biotechnology providers having relationships with foreign adversaries or which pose a threat to national security. If any of our third-party manufacturers are impacted by these legislative proposals, the potential downstream adverse impacts on us are unknown but may include supply chain disruptions or delays.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business could be materially adversely affected by any business disruptions to our third-party providers that could materially adversely affect our potential future revenue and financial condition and increase our costs and expenses. Each of these risks could delay or prevent the initiation or completion of any clinical trials or the approval of any of our product candidates by the FDA or other comparable foreign regulatory authority,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or other comparable foreign regulatory authority could place significant restrictions on our company until deficiencies are remedied. </w:t>
      </w:r>
    </w:p>
    <w:p>
      <w:pPr>
        <w:pStyle w:val="TextBody"/>
        <w:bidi w:val="0"/>
        <w:spacing w:before="0" w:after="120"/>
        <w:jc w:val="left"/>
        <w:rPr>
          <w:rFonts w:ascii="Times New Roman" w:hAnsi="Times New Roman"/>
          <w:sz w:val="20"/>
        </w:rPr>
      </w:pPr>
      <w:r>
        <w:rPr>
          <w:rFonts w:ascii="Times New Roman" w:hAnsi="Times New Roman"/>
          <w:b/>
          <w:i/>
          <w:color w:val="000000"/>
          <w:sz w:val="20"/>
        </w:rPr>
        <w:t>We currently, and may in the future, depend on single-source suppliers for some of the ingredients, components and materials used in, and the manufacturing processes required to develop, our product candidates.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currently, and may in the future, depend on single-source suppliers for some of the ingredients, raw materials, components and materials used in, and development activities required to manufacture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be able to supply materials or services to us at cost that are acceptable to us,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or adversely impact the quality of our product candidates.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 candidates, any interruption or delay in the supply of ingredients, components or materials or our inability to obtain ingredients, components or materials from alternate sources at acceptable prices in a timely manner, could impair our ability to meet the demand for our product candidates. </w:t>
      </w:r>
    </w:p>
    <w:p>
      <w:pPr>
        <w:pStyle w:val="TextBody"/>
        <w:bidi w:val="0"/>
        <w:spacing w:before="0" w:after="120"/>
        <w:jc w:val="left"/>
        <w:rPr>
          <w:rFonts w:ascii="Times New Roman" w:hAnsi="Times New Roman"/>
          <w:sz w:val="20"/>
        </w:rPr>
      </w:pPr>
      <w:r>
        <w:rPr>
          <w:rFonts w:ascii="Times New Roman" w:hAnsi="Times New Roman"/>
          <w:b/>
          <w:i/>
          <w:color w:val="000000"/>
          <w:sz w:val="20"/>
        </w:rPr>
        <w:t>If our third-party manufacturers use hazardous and biological materials in a manner that causes injury or violates applicable law, we may be liable for damages.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research and development activities involve the controlled use of potentially hazardous substances, including chemical and biological materials, by our third-party manufacturers. Our manufacturers may use highly flammable reagents at high reaction temperature, are subject to federal, state and local laws and regulations in the United States and their country governing the use, manufacture, storage, handling and disposal of medical and hazardous materials. Although we believe that our manufacturers’ procedures for using, handling, storing and disposing of these materials comply with legally prescribed standards and regulations,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0" w:after="120"/>
        <w:jc w:val="left"/>
        <w:rPr>
          <w:rFonts w:ascii="Times New Roman" w:hAnsi="Times New Roman"/>
          <w:sz w:val="20"/>
        </w:rPr>
      </w:pPr>
      <w:r>
        <w:rPr>
          <w:rFonts w:ascii="Times New Roman" w:hAnsi="Times New Roman"/>
          <w:b/>
          <w:i/>
          <w:color w:val="000000"/>
          <w:sz w:val="20"/>
        </w:rPr>
        <w:t>We may, in the future, form or seek collaborations or strategic alliances or enter into licensing arrangements, and we may not realize the benefits of such collaborations, alliances or licensing arrangements.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 collaborations involving our product candidates are subject to numerous risks, which may include the following: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a collaboration;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stop a clinical trial, abandon a product candidate, repeat or conduct new clinical trials or require a new formulation of a product candidate for clinical testing;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collaborator with marketing and distribution rights to one or more products may not commit sufficient resources to their marketing and distribution;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disputes may arise between us and a collaborator that cause the delay or termination of the research, development or commercialization of our product candidates, or that result in costly litigation or arbitration that diverts management attention and resources;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 candidates;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 candidates that results from our collaborating with them, and in such cases, we would not have the exclusive right to commercialize such intellectual property.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Furthermore, if conflicts arise between our future corporate or academic collaborators or strategic partners and us, the other party may act in a manner adverse to us and could limit our ability to implement our strategies.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 </w:t>
      </w:r>
    </w:p>
    <w:p>
      <w:pPr>
        <w:pStyle w:val="TextBody"/>
        <w:bidi w:val="0"/>
        <w:spacing w:before="0" w:after="120"/>
        <w:jc w:val="left"/>
        <w:rPr>
          <w:rFonts w:ascii="Times New Roman" w:hAnsi="Times New Roman"/>
          <w:sz w:val="20"/>
        </w:rPr>
      </w:pPr>
      <w:r>
        <w:rPr>
          <w:rFonts w:ascii="Times New Roman" w:hAnsi="Times New Roman"/>
          <w:b/>
          <w:i/>
          <w:color w:val="000000"/>
          <w:sz w:val="20"/>
        </w:rPr>
        <w:t>If we engage in future acquisitions or strategic partnerships,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assumption of additional indebtedness or contingent liabilities;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issuance of our equity securities;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assimilation of operations, intellectual property and products of an acquired company, including difficulties associated with integrating new personnel;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programs and initiatives in pursuing such a strategic merger or acquisition;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in our ability to maintain key business relationships;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products or product candidates and marketing approvals;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inability to generate revenue from acquired technology and/or products sufficient to meet our objectives in undertaking the acquisition or even to offset the associated acquisition and maintenance costs.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if we undertake acquisitions or pursue partnerships in the future, we may issue dilutive securities, assume or incur debt obligations, incur large one-time expenses and/or acquire intangible assets that could result in significant future amortization expense.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If we are unable to obtain, maintain, enforce and adequately protect our patents and other intellectual property rights with respect to our technology and product candidates, or if the scope of our patents or other intellectual property rights are not sufficiently broad, our competitors could develop and commercialize technology and products similar or identical to ours, and our ability to successfully develop and commercialize our technology or product candidates may be adversely affected.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rely on a combination of patent applications, trade secret protection and confidentiality agreements to protect the intellectual property related to our technology and product candidates, and our success depends in large part on our ability to obtain and maintain patent protection in the United States and other countries with respect to such technology and product candidates.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strength of patents in the biotechnology and pharmaceutical field involves complex legal, factual and scientific questions and can be uncertain.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patent applications that we own may fail to result in issued patents with claims that cover our technology or product candidates in the United States or in other foreign countries. There is no assurance that all of the potentially relevant prior art relating to our patents and patent applications has been found, which can invalidate a patent or prevent a patent from issuing from a pending patent application. Even if patents do successfully issue and even if such patents cover our technology or product candidates, third parties may challenge the inventorship, ownership, validity, enforceability or scope of such patents, which may result in such patents being narrowed or invalidated, or being held unenforceable. Our pending and future patent applications may not issue to protect our technology or product candidates or which effectively prevent others from developing, manufacturing or commercializing competitive technologies and product candidates.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 and beyond.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the breadth or strength of protection provided or potentially provided by the patents and patent applications we hold with respect to our technology or product candidates is threatened, it could dissuade companies from collaborating with us to develop, and threaten our ability to commercialize, our product candidates. Furthermore, even if our patents and patent applications are unchallenged, they may not adequately protect our intellectual property, provide exclusivity for our technology and product candidates or prevent others from designing around our claims. In addition, no assurances can be given that third parties will not create similar or alternative technologies, products or methods that achieve similar results without infringing upon our patents. Any of these outcomes could impair our ability to prevent competition from third parties, which may have an adverse impact on our business.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ownership, scope, validity or enforceability, and our patents may be challenged in courts or patent offices in the United States and abroad. In addition, the issuance of a patent does not give us the right to practice the patented invention, as third parties may have blocking patents that could prevent us from marketing our product candidate, if approved, or practicing our own patented technology.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litigation, opposition, interference, derivation, post grant review, </w:t>
      </w:r>
      <w:r>
        <w:rPr>
          <w:rFonts w:ascii="Times New Roman" w:hAnsi="Times New Roman"/>
          <w:i/>
          <w:color w:val="000000"/>
          <w:sz w:val="20"/>
        </w:rPr>
        <w:t>inter partes</w:t>
      </w:r>
      <w:r>
        <w:rPr>
          <w:rFonts w:ascii="Times New Roman" w:hAnsi="Times New Roman"/>
          <w:color w:val="000000"/>
          <w:sz w:val="20"/>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or otherwise provide us with a competitive advantage.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any of our patents are found to be invalid or unenforceable, or if we are otherwise unable to adequately protect our rights, it could have a material adverse impact on our business and our ability to commercialize or license our technology and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Filing, prosecuting and defending patents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However, trade secrets can be difficult to protect and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even then, the license may not be available on commercially reasonable terms. Further, we cannot provide any assurances that competitors or other third parties will not otherwise gain access to our trade secrets and other confidential proprietary information or independently discover or develop substantially equivalent technology and processes. If we are unable to prevent disclosure of the trade secrets and other non-patented intellectual property related to our product candidates and technologies to third parties, there is no guarantee that we will have any such enforceable trade secret protection and we may not be able to establish or maintain a competitive advantage in our market, which could materially adversely affect our business, results of operations and financial condition.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seek to protect our proprietary technology and processes, in part, by entering into confidentiality agreements with parties who have access to them, such as our employees, consultants, scientific advisors and other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our trade secrets could be disclosed, and we may not have adequate remedies for any such breach.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 </w:t>
      </w:r>
    </w:p>
    <w:p>
      <w:pPr>
        <w:pStyle w:val="TextBody"/>
        <w:bidi w:val="0"/>
        <w:spacing w:before="0" w:after="120"/>
        <w:jc w:val="left"/>
        <w:rPr>
          <w:rFonts w:ascii="Times New Roman" w:hAnsi="Times New Roman"/>
          <w:sz w:val="20"/>
        </w:rPr>
      </w:pPr>
      <w:r>
        <w:rPr>
          <w:rFonts w:ascii="Times New Roman" w:hAnsi="Times New Roman"/>
          <w:b/>
          <w:i/>
          <w:color w:val="000000"/>
          <w:sz w:val="20"/>
        </w:rPr>
        <w:t>Our success depends in part on our ability to protect our intellectual property rights. It is difficult and costly to protect our proprietary rights and technology, and we may not be able to protect our intellectual property rights throughout the world.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commercial success will depend in large part on obtaining and maintaining patent, trademark and trade secret protection of our proprietary technologies and product candidates and any future products. These candidates include icovamenib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technology, product and product candidates is dependent upon the extent to which we have rights under valid and enforceable patents or trade secrets that cover these activities.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patent prosecution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delay in filing a patent application, and a competitor files a patent application on the same or a similar technology before we do, we may face a limited ability to secure patent rights or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the competitor files a patent application on such an advance before we do, then we may no longer be able to protect the technology or product, we may require a license from the competitor, and if then the license may not be available on commercially reasonable terms. </w:t>
      </w:r>
    </w:p>
    <w:p>
      <w:pPr>
        <w:pStyle w:val="TextBody"/>
        <w:bidi w:val="0"/>
        <w:spacing w:before="0" w:after="120"/>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w:t>
      </w:r>
    </w:p>
    <w:p>
      <w:pPr>
        <w:pStyle w:val="TextBody"/>
        <w:bidi w:val="0"/>
        <w:spacing w:before="0" w:after="120"/>
        <w:jc w:val="left"/>
        <w:rPr>
          <w:rFonts w:ascii="Times New Roman" w:hAnsi="Times New Roman"/>
          <w:sz w:val="20"/>
        </w:rPr>
      </w:pPr>
      <w:r>
        <w:rPr>
          <w:rFonts w:ascii="Times New Roman" w:hAnsi="Times New Roman"/>
          <w:b/>
          <w:i/>
          <w:color w:val="000000"/>
          <w:sz w:val="20"/>
        </w:rPr>
        <w:t>Any issued patents we may own covering our product candidates could be narrowed or found invalid or unenforceable if challenged in court or before administrative bodies in the United States or abroad, including the USPTO.</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commercially-reasonable terms or at all). Any efforts to enforce our intellectual property rights are also likely to be costly and may divert the efforts of our scientific and management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We may become involved in lawsuits or litigation at the USPTO to protect or enforce our patents or other intellectual property, which could be expensive, time consuming and unsuccessful.</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Competitors and other third parties may infringe or otherwise violate our or our future licensor’s patents, trademarks, copyrights or other intellectual property. To counter infringement or other violations, we may be required to file infringement, misappropriation or other intellectual property-related claims against such parties, which can be expensive and time consuming. To counter infringement or other unauthorized use, we may be required to file claims on a country-by-country basis, which can be expensive and time-consuming and divert the time and attention of our management and scientific personnel. There can be no assurance that we will have sufficient financial or other resources to file and pursue such claims, which often last for years before they are concluded.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such a case, we could ultimately be forced to cease use of such marks. In any intellectual property litigation, even if we are successful, any award of monetary damages or other remedy we receive may not be commercially valuable. The outcome following legal assertions of invalidity and unenforceability is unpredictable.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Even if we establish infringement, misappropriation or other violation of our intellectual property, the court may decide not to grant an injunction against further such activity and instead award only monetary damages, which may or may not be an adequate remedy. 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We may be required to protect our patents through procedures created to attack the validity of a patent at the USPTO. The USPTO hears post-grant proceedings, including post grant review (PGR), </w:t>
      </w:r>
      <w:r>
        <w:rPr>
          <w:rFonts w:ascii="Times New Roman" w:hAnsi="Times New Roman"/>
          <w:i/>
          <w:color w:val="000000"/>
          <w:sz w:val="20"/>
        </w:rPr>
        <w:t>inter partes</w:t>
      </w:r>
      <w:r>
        <w:rPr>
          <w:rFonts w:ascii="Times New Roman" w:hAnsi="Times New Roman"/>
          <w:color w:val="000000"/>
          <w:sz w:val="20"/>
        </w:rPr>
        <w:t xml:space="preserve"> review (IPR),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We may become involved in lawsuits or litigation at the USPTO to protect or enforce our patents or other intellectual property, which could be expensive, time consuming and unsuccessful.</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Competitors and other third parties may infringe or otherwise violate our or our future licensor’s patents, trademarks, copyrights or other intellectual property. To counter infringement or other violations, we may be required to file infringement, misappropriation or other intellectual property-related claims against such parties, which can be expensive and time consuming. To counter infringement or other unauthorized use, we may be required to file claims on a country-by-country basis, which can be expensive and time-consuming and divert the time and attention of our management and scientific personnel. There can be no assurance that we will have sufficient financial or other resources to file and pursue such claims, which often last for years before they are concluded.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such a case, we could ultimately be forced to cease use of such marks. In any intellectual property litigation, even if we are successful, any award of monetary damages or other remedy we receive may not be commercially valuable. The outcome following legal assertions of invalidity and unenforceability is unpredictable.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Even if we establish infringement, misappropriation or other violation of our intellectual property, the court may decide not to grant an injunction against further such activity and instead award only monetary damages, which may or may not be an adequate remedy. 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We may be required to protect our patents through procedures created to attack the validity of a patent at the USPTO. The USPTO hears post-grant proceedings, including post grant review (PGR), </w:t>
      </w:r>
      <w:r>
        <w:rPr>
          <w:rFonts w:ascii="Times New Roman" w:hAnsi="Times New Roman"/>
          <w:i/>
          <w:color w:val="000000"/>
          <w:sz w:val="20"/>
        </w:rPr>
        <w:t>inter partes</w:t>
      </w:r>
      <w:r>
        <w:rPr>
          <w:rFonts w:ascii="Times New Roman" w:hAnsi="Times New Roman"/>
          <w:color w:val="000000"/>
          <w:sz w:val="20"/>
        </w:rPr>
        <w:t xml:space="preserve"> review (IPR),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w:t>
      </w:r>
    </w:p>
    <w:p>
      <w:pPr>
        <w:pStyle w:val="TextBody"/>
        <w:bidi w:val="0"/>
        <w:spacing w:before="0" w:after="120"/>
        <w:jc w:val="left"/>
        <w:rPr>
          <w:rFonts w:ascii="Times New Roman" w:hAnsi="Times New Roman"/>
          <w:sz w:val="20"/>
        </w:rPr>
      </w:pPr>
      <w:r>
        <w:rPr>
          <w:rFonts w:ascii="Times New Roman" w:hAnsi="Times New Roman"/>
          <w:b/>
          <w:i/>
          <w:color w:val="000000"/>
          <w:sz w:val="20"/>
        </w:rPr>
        <w:t>Changes in U.S. patent law, or laws in other countries, could diminish the value of patents in general, thereby impairing our ability to protect our technology, products and product candidates.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or future licensor’s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 </w:t>
      </w:r>
    </w:p>
    <w:p>
      <w:pPr>
        <w:pStyle w:val="TextBody"/>
        <w:bidi w:val="0"/>
        <w:spacing w:before="0" w:after="120"/>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technology or product candidates. Also, former employees may become employed by competitors who develop similar technology or product candidates, and could assist the competitor in designing around our patents or trade secrets. While it is our policy to require our employees and contractors who may be involved in the development of our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technology or product candidates. Even if we are successful in defending against such claims, litigation could result in substantial costs and be a distraction to management and other employees.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Any of the foregoing could have a material adverse effect on our business, financial condition, results of operations and prospects. </w:t>
      </w:r>
    </w:p>
    <w:p>
      <w:pPr>
        <w:pStyle w:val="TextBody"/>
        <w:bidi w:val="0"/>
        <w:spacing w:before="0" w:after="120"/>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use and will continue to use registered and/or unregistered trademarks or trade names to brand and market ourselves and any products that we develop.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 </w:t>
      </w:r>
    </w:p>
    <w:p>
      <w:pPr>
        <w:pStyle w:val="TextBody"/>
        <w:bidi w:val="0"/>
        <w:spacing w:before="0" w:after="120"/>
        <w:jc w:val="left"/>
        <w:rPr>
          <w:rFonts w:ascii="Times New Roman" w:hAnsi="Times New Roman"/>
          <w:sz w:val="20"/>
        </w:rPr>
      </w:pPr>
      <w:r>
        <w:rPr>
          <w:rFonts w:ascii="Times New Roman" w:hAnsi="Times New Roman"/>
          <w:b/>
          <w:i/>
          <w:color w:val="000000"/>
          <w:sz w:val="20"/>
        </w:rPr>
        <w:t>Third parties may initiate legal proceedings alleging that we are infringing, misappropriating or otherwise violating their intellectual property rights, the outcome of which would be uncertain. Defending against such lawsuits will be costly and time consuming, and an unfavorable outcome in that litigation would have a material adverse effect on our business.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commercial success depends upon our ability to develop, manufacture, market and sell our technology, product candidates and products and use our proprietary technologies without infringing the proprietary rights of third parties. U.S. and foreign issued patents and pending patent applications, which are owned by third parties, exist in the fields relating to our technology, product candidates and products. As the biotechnology and pharmaceutical industries expand and more patents are issued, the risk increases that others may assert our technology, product candidates or products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technology, product candidates and products.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technology, product candidates and/or products infringe or misappropriate their intellectual property rights.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a third party claims that we infringe or misappropriate its intellectual property rights, we may face a number of issues, including, but not limited to: infringement, misappropriation and other intellectual property related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or misappropriation was willful, we could be ordered to pay treble damages and the patent owner’s attorneys’ fees; a court prohibiting us from developing, manufacturing, marketing or selling our products or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technology, product candidates or products so they do not infringe such third party patents; redesign may not be possible or may require substantial monetary expenditures and time.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We may choose to challenge the patentability of claims in a third party’s U.S. patent by requesting that the USPTO review the patent claims in </w:t>
      </w:r>
      <w:r>
        <w:rPr>
          <w:rFonts w:ascii="Times New Roman" w:hAnsi="Times New Roman"/>
          <w:i/>
          <w:color w:val="000000"/>
          <w:sz w:val="20"/>
        </w:rPr>
        <w:t xml:space="preserve">ex-parte </w:t>
      </w:r>
      <w:r>
        <w:rPr>
          <w:rFonts w:ascii="Times New Roman" w:hAnsi="Times New Roman"/>
          <w:color w:val="000000"/>
          <w:sz w:val="20"/>
        </w:rPr>
        <w:t xml:space="preserve">re-exam, </w:t>
      </w:r>
      <w:r>
        <w:rPr>
          <w:rFonts w:ascii="Times New Roman" w:hAnsi="Times New Roman"/>
          <w:i/>
          <w:color w:val="000000"/>
          <w:sz w:val="20"/>
        </w:rPr>
        <w:t>inter partes</w:t>
      </w:r>
      <w:r>
        <w:rPr>
          <w:rFonts w:ascii="Times New Roman" w:hAnsi="Times New Roman"/>
          <w:color w:val="000000"/>
          <w:sz w:val="20"/>
        </w:rPr>
        <w:t xml:space="preserve">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technology, product candidates or products. </w:t>
      </w:r>
    </w:p>
    <w:p>
      <w:pPr>
        <w:pStyle w:val="TextBody"/>
        <w:bidi w:val="0"/>
        <w:spacing w:before="0" w:after="120"/>
        <w:jc w:val="left"/>
        <w:rPr>
          <w:rFonts w:ascii="Times New Roman" w:hAnsi="Times New Roman"/>
          <w:sz w:val="20"/>
        </w:rPr>
      </w:pPr>
      <w:r>
        <w:rPr>
          <w:rFonts w:ascii="Times New Roman" w:hAnsi="Times New Roman"/>
          <w:b/>
          <w:i/>
          <w:color w:val="000000"/>
          <w:sz w:val="20"/>
        </w:rPr>
        <w:t>Intellectual property litigation may lead to unfavorable publicity that harms our reputation and causes the market price of our common stock to decline.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 </w:t>
      </w:r>
    </w:p>
    <w:p>
      <w:pPr>
        <w:pStyle w:val="TextBody"/>
        <w:bidi w:val="0"/>
        <w:spacing w:before="0" w:after="120"/>
        <w:jc w:val="left"/>
        <w:rPr>
          <w:rFonts w:ascii="Times New Roman" w:hAnsi="Times New Roman"/>
          <w:sz w:val="20"/>
        </w:rPr>
      </w:pPr>
      <w:r>
        <w:rPr>
          <w:rFonts w:ascii="Times New Roman" w:hAnsi="Times New Roman"/>
          <w:b/>
          <w:i/>
          <w:color w:val="000000"/>
          <w:sz w:val="20"/>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comply with our obligations in any future agreements under which we license intellectual property rights from third parties or otherwise experience disruptions to our business relationships with any licensors, we could lose license rights that are important to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growth of our business may depend in part on our ability to acquire or in-license additional proprietary rights from third parties in the future. For example, our programs may involve additional product candidates that may require the use of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Thus, 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need to obtain licenses in the future from third parties to advance our research or allow commercialization of our technology, product candidates or products, and we cannot provide any assurances that there are no third-party patents which might be enforced against our technology, product candidates or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technology, product candidates or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Licensing of intellectual property from third parties may become of critical importance to our business, which involves complex legal, business and scientific issues. Disputes may arise between us and our future licensors regarding intellectual property subject to a license agreement, including: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on intellectual property of the licensor that is not subject to the licensing agreement;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right to sublicense patents and other rights to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diligence obligations with respect to the use of the licensed technology in relation to our development and commercialization of our product candidates, and what activities satisfy those diligence obligations;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right to transfer or assign the license;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ownership of inventions and know-how resulting from the joint creation or use of intellectual property by our licensors and us and our partners.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disputes over intellectual property that we license in the future prevent or impair our ability to maintain our licensing arrangements on commercially reasonable terms, we may not be able to successfully develop and commercialize the affected technology, product candidates or products, which would have a material adverse effect on our business.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others may be able to make product candidates that are similar to ours but that are not covered by the claims of the patents that we own;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or our license partners or current or future collaborators, might not have been the first to make the inventions covered by the issued patent or pending patent applications that we license or may own in the future;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or our license partners or current or future collaborators, might not have been the first to file patent applications covering certain of our or their inventions;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in-licensed intellectual property rights;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it is possible that our owned and in-licensed pending patent applications or those we may own or in-license in the future will not lead to issued patents;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cannot ensure that any of our patents, or any of our pending patent applications, if issued, or those of our licensors, will include claims having a scope sufficient to protect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cannot ensure that any patents issued to us or our licensors will provide a basis for an exclusive market for our commercially viable product candidates or will provide us with any competitive advantages;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cannot ensure that our commercial activities or product candidates will not infringe upon the patents of others;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cannot ensure that we will be able to successfully commercialize our product candidates on a substantial scale, if approved, before the relevant patents that we own or license expire;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patents or intellectual property rights of others may harm our business;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choose not to file a patent in order to maintain certain trade secrets or know-how, and a third party may subsequently file a patent covering such intellectual property.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Should any of these events occur, they could have a material adverse effect on our business, financial condition, results of operations and prospects.</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The price of our stock has been and is likely to continue to be volatile, and you may not be able to resell shares of our common stock at or above the price you paid.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trading price of our common stock has been and is likely to be highly volatile and could be subject to wide fluctuations in response to various factors, some of which are beyond our control, including limited trading volume. In addition to the factors discussed in this “Risk Factors” section and elsewhere herein, these factors include: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timing, progress, costs and results of our ongoing, planned or any future clinical trials, clinical development programs or preclinical studies;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commencement, enrollment, progress or results of clinical trials of our product candidates or any future clinical trials we may conduct, or changes in the development status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adverse results or delays in preclinical studies and clinical trials such as the clinical hold on our INDs for the Phase I/II clinical trials of icovamenib in type 2 and type 1 diabetes, from June 2024 to September 2024;</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decision to initiate a clinical trial, not to initiate a clinical trial, or to terminate an existing clinical trial, including due to the suspension of a clinical trial by the FDA or other regulatory authorities;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any delay in our regulatory filings or any adverse regulatory decisions, including failure to receive regulatory approval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in laws or regulations applicable to our product candidates and any future products, including but not limited to clinical trial requirements for approvals;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adverse developments concerning our manufacturers or our manufacturing plans;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inability to obtain adequate supply for any of our product candidates or the components thereof, or inability to do so at acceptable prices;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inability to establish collaborations if needed;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failure to commercialize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additions or departures of key scientific or management personnel;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unanticipated serious safety concerns related to the use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introduction of new products or services offered by us or our competitors;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announcements of significant acquisitions, strategic partnerships, joint ventures or capital commitments by us or our competitors;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effectively manage our growth;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develop our product candidates for the treatment of type 1 and type 2 diabetes or other metabolic diseases;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actual or anticipated variations in quarterly operating results;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cash position;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failure to meet the estimates and projections of the investment community or that we may otherwise provide to the public;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publication of research reports about us or our industry, or menin inhibitors in particular, or positive or negative recommendations or withdrawal of research coverage by securities analysts;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in the market valuations of similar companies;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overall performance of the equity markets;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sales of our common stock or securities exercisable for or convertible into shares of our common stock, by us or our stockholders in the future;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in accounting practices;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ineffectiveness of our internal controls;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disputes or other developments relating to intellectual property or proprietary rights, including patents, litigation matters and our ability to obtain patent protection for our technologies;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significant lawsuits, including intellectual property or stockholder litigation;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impact of any natural disasters or public health emergencies;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inflationary pressures and general economic, political, industry and market conditions;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other events or factors, many of which are beyond our control.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realization of any of the above risks or any of a broad range of other risks, including those described in this “Risk Factors” section, could have a dramatic and adverse impact on the market price of our common stock.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the stock market in general, and the market for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have been volatile. In addition, broad market and industry factors may negatively affect the market price of our common stock, regardless of our actual operating performance. If the market price of our common stock does not exceed the price at which you purchased shares of our common stock,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 </w:t>
      </w:r>
    </w:p>
    <w:p>
      <w:pPr>
        <w:pStyle w:val="TextBody"/>
        <w:bidi w:val="0"/>
        <w:spacing w:before="0" w:after="120"/>
        <w:jc w:val="left"/>
        <w:rPr>
          <w:rFonts w:ascii="Times New Roman" w:hAnsi="Times New Roman"/>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preferences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 significant portion of our total outstanding shares may be sold into the market in the near future, which could cause the market price of our common stock to drop significantly.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A significant portion of our outstanding shares of common stock are held by a small number of stockholders, including our directors, officers and significant stockholders. Sales by our stockholders of a substantial number of shares, or the expectation that such sales may occur, could significantly reduce the market price of our common stock.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also registered or intend to register all shares of our common stock subject to options or other equity awards issued or reserved for future issuance under our equity incentive plans. As a result, these shares will be available for sale in the public market subject to vesting arrangements and exercise of options, and restrictions under applicable securities laws. In addition, our directors, executive officers and certain affiliates have established or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Future sales and issuances of our common stock or rights to purchase common stock, including pursuant to our equity incentive plans or upon the exercise of outstanding warrants, would result in additional dilution of the percentage ownership of our stockholders and could cause our stock price to fall.</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 In October 2022, we filed a registration statement on Form S-3 relating to the registration of our common stock, preferred stock, debt securities, warrants and units or any combination thereof. In November 2022, we entered into our 2022 ATM Program, which provides for the offering, issuance and sale by us of shares of our common stock from time to time for aggregate gross proceeds of up to $100 million in sales deemed to be “at-the-market offerings” as defined by the Securities Act. During the year ended December 31, 2025, we received aggregate proceeds from our 2022 ATM Program of $4.9 million, net of commissions and offering costs, from the issuance of 2,271,122 shares of our common stock. In April 2023, we sold 5,750,000 shares of common stock at $30.00 per share for gross proceeds of $172.5 million under the registration statement on Form S-3. In June 2025, we issued and sold 19,450,000 shares of common stock at an offering price of $2.00 per share and, to a certain investor in lieu of common stock, pre-funded warrants to purchase up to 550,000 shares of common stock at an offering price of $1.9999 per share and accompanying common warrants to purchase up to 23,000,000 shares of common stock at a per share exercise price of $2.50. In October 2025, pursuant to a registration statement on Form S-3 filed in August 2025, we issued and sold 11,195,121 shares of common stock at an offering price of $2.05 per share and, to a certain investor in lieu of common stock, pre-funded warrants to purchase up to 1,000,000 shares of common stock at an offering price of $2.0499 per share and accompanying common warrants to purchase up to 14,024,389 shares of common stock at a per share exercise price of $2.50, which included the underwriters’ partial exercise to purchase additional common warrants. As of December 31, 2025, all pre-funded warrants issued in the June 2025 and October 2025 underwritten public offerings have been registered but any exercises of the common stock warrants issued in the June 2025 or October 2025 underwritten public offerings and any additional sales or issuances of securities pursuant to this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also authorized to grant stock options and other equity-based awards to our employees, directors and consultants pursuant to our 2021 Plan and our 2023 Inducement Equity Plan (the Inducement Plan). The number of shares available for future grant under the 2021 Plan will automatically increase each year on January 1, from January 1, 2022 to January 1, 2031, by the lesser of (A) five percent of the shares of Common Stock outstanding on the last day of the immediately preceding fiscal year and (B) such smaller number of shares as determined by the Board or the Committee (as defined in the 2021 Plan). We have also reserved shares of common stock for issuance pursuant to our ESPP which number of shares will automatically increase each year on January 1, from January 1, 2022 to January 1, 2031, by the lesser of (i) one percent of the shares of Common Stock outstanding on the last day of the immediately preceding fiscal year and (ii) such number of shares as may be determined by the Board (as defined in the ESPP); provided, however, no more than 4,500,000 shares may be issued under the ESPP. Currently, we plan to register any increase in the number of shares available for issuance under the 2021 Plan, the ESPP and the Inducement Plan promptly following the effectiveness of any such increase. If our Board elects to increase the number of shares available for future grant under the 2021 Plan, the ESPP or the Inducement Plan, our stockholders may experience additional dilution, and our stock price may fall.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failure to meet the continued listing requirements of Nasdaq could result in a delisting of our securities.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must continue to satisfy Nasdaq continued listing requirements, including, among other things, certain corporate governance requirements such as Nasdaq Listing Rule 5605(c)(2)(A) (Rule 5605(c)(2)(A)), which requires companies listed on The Nasdaq Stock Market LLC (Nasdaq) to have an audit committee consisting of three independent directors. In March 2025, we notified the Listing Qualifications Department of Nasdaq that we were not in compliance with Rule 5605(c)(2)(A) due to having only two members on the audit committee of our Board. In July 2025, we appointed Julianne Averill to serve as a member of the Board and our audit committee and regained compliance with Rule 5605(c)(2)(A). However, there can be no assurance that we will be able to continue to satisfy Nasdaq’s continued listing requirements with respect to audit committee composition or otherwise. If we fail to comply with Nasdaq’s continued listing requirements, our common stock could cease to be listed for trading on Nasdaq and instead be available for trading only over-the-counter, which could further depress our stock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Our management and directors own our stock and may be able to exert influence over matters subject to stockholder approval.</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executive officers, directors and their respective affiliates beneficially own approximately 5% of our outstanding voting stock as of December 31, 2025. These stockholders, acting together, may be able to impact matters requiring stockholder approval, particularly if their collective ownership in our company increases.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0" w:after="120"/>
        <w:jc w:val="left"/>
        <w:rPr>
          <w:rFonts w:ascii="Times New Roman" w:hAnsi="Times New Roman"/>
          <w:sz w:val="20"/>
        </w:rPr>
      </w:pPr>
      <w:r>
        <w:rPr>
          <w:rFonts w:ascii="Times New Roman" w:hAnsi="Times New Roman"/>
          <w:b/>
          <w:i/>
          <w:color w:val="000000"/>
          <w:sz w:val="20"/>
        </w:rPr>
        <w:t>We do not intend to pay dividends on our capital stock, so any returns will be limited to the value of our stock.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 </w:t>
      </w:r>
    </w:p>
    <w:p>
      <w:pPr>
        <w:pStyle w:val="TextBody"/>
        <w:bidi w:val="0"/>
        <w:spacing w:before="0" w:after="120"/>
        <w:jc w:val="left"/>
        <w:rPr>
          <w:rFonts w:ascii="Times New Roman" w:hAnsi="Times New Roman"/>
          <w:sz w:val="20"/>
        </w:rPr>
      </w:pPr>
      <w:r>
        <w:rPr>
          <w:rFonts w:ascii="Times New Roman" w:hAnsi="Times New Roman"/>
          <w:b/>
          <w:i/>
          <w:color w:val="000000"/>
          <w:sz w:val="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delay or prevent a change of control of our company or changes in our Board that our stockholders might consider favorable. These provisions, among other things: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establish a classified Board so that not all members of our Board are elected at one time;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permit only the Board to establish the number of directors and fill vacancies on the Board;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provide that directors may only be removed “for cause” and only with the approval of two-thirds of our stockholders;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authorize the issuance of “blank check” preferred stock that our Board could use to implement a stockholder rights plan (poison pill);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eliminate the ability of our stockholders to call special meetings of stockholders;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prohibit stockholder action by written consent, which requires all stockholder actions to be taken at a meeting of our stockholders;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prohibit cumulative voting;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authorize our Board to amend the bylaws;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 to our Board or for proposing matters that can be acted upon by stockholders at annual stockholder meetings;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require a super-majority vote of stockholders to amend some provisions described above.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Our amended and restated certificate of incorporation and amended and restated bylaws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will be the exclusive forum for the resolution of any complaint asserting a cause or causes of action against any defendant arising under the Securities Act. Such provision is intended to benefit and may be enforced by us, our officers and directors, employees and agents, including the underwriters and any other professional or entity who has prepared or certified any part of this report. Nothing in our amended and restated certificate of incorporation or amended and restated bylaws precludes stockholders that assert claims under the Exchange Act from bringing such claims in state or federal court, subject to applicable law.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 </w:t>
      </w:r>
    </w:p>
    <w:p>
      <w:pPr>
        <w:pStyle w:val="TextBody"/>
        <w:bidi w:val="0"/>
        <w:spacing w:before="0" w:after="120"/>
        <w:jc w:val="left"/>
        <w:rPr>
          <w:rFonts w:ascii="Times New Roman" w:hAnsi="Times New Roman"/>
          <w:sz w:val="20"/>
        </w:rPr>
      </w:pPr>
      <w:r>
        <w:rPr>
          <w:rFonts w:ascii="Times New Roman" w:hAnsi="Times New Roman"/>
          <w:b/>
          <w:i/>
          <w:color w:val="000000"/>
          <w:sz w:val="20"/>
        </w:rPr>
        <w:t>Claims for indemnification by our directors 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we will indemnify our directors and officers, in each case to the fullest extent permitted by Delaware law.</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as permitted by Section 145 of the DGCL, our amended and restated bylaws and our indemnification agreements that we have entered into with our directors and officers provide that: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in our discretion, indemnify employees and agents in those circumstances where indemnification is permitted by applicable law;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or brought to enforce a right to indemnification;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rights conferred in our amended and restated bylaws are not exclusive, and we are authorized to enter into indemnification agreements with our directors, officers, employees and agents and to obtain insurance to indemnify such persons;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not retroactively amend our amended and restated bylaw provisions to reduce our indemnification obligations to directors, officers, employees and agents.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While we maintain a directors’ and officers’ insurance policy, such insurance may not be adequate to cover all liabilities that we may incur, which may reduce our available funds to satisfy third-party claims and may materially adversely affect our cash position. </w:t>
      </w:r>
    </w:p>
    <w:p>
      <w:pPr>
        <w:pStyle w:val="TextBody"/>
        <w:bidi w:val="0"/>
        <w:spacing w:before="0" w:after="120"/>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 </w:t>
      </w:r>
    </w:p>
    <w:p>
      <w:pPr>
        <w:pStyle w:val="TextBody"/>
        <w:bidi w:val="0"/>
        <w:spacing w:before="0" w:after="120"/>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our guidance.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we measure compensation cost for stock-based awards made to employees at the grant date of the award, based on the fair value of the award,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Furthermore, our operating results may fluctuate due to a variety of other factors, many of which are outside of our control and may be difficult to predict, including the following: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and development activities relating to our current product candidates and any future product candidates and research-stage programs, which will change from time to time;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enroll participants in clinical trials and the timing of enrollment;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 of manufacturing our current product candidates and any future product candidates, which may vary depending on FDA or other comparable foreign regulatory authority guidelines and requirements, the quantity of production and the terms of our agreements with manufacturers;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expenditures that we will or may incur to acquire or develop additional product candidates and technologies or other assets;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timing and outcomes of clinical trials for our current and future product candidates, or competing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need to conduct unanticipated clinical trials or trials that are larger or more complex than anticipated;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competition from existing and potential future products that compete with our product candidates and any of our future product candidates, and changes in the competitive landscape of our industry, including consolidation among our competitors or partners;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any delays in regulatory review or approval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level of demand for our future product candidates, if approved, which may fluctuate significantly and be difficult to predict;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risk/benefit profile, cost and reimbursement policies with respect to our product candidates, if approved, and existing and potential future products that compete with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commercialize our product candidates, if approved, inside and outside of the United States, either independently or working with third parties;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establish and maintain future collaborations, licensing or other arrangements;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adequately support future growth;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potential unforeseen business disruptions that increase our costs or expenses;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future accounting pronouncements or changes in our accounting policies;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tariffs (including tariffs that have been or may in the future be imposed by the United States or other countries), trade protection measures,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changing and volatile global economic and political environment.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 </w:t>
      </w:r>
    </w:p>
    <w:p>
      <w:pPr>
        <w:pStyle w:val="TextBody"/>
        <w:bidi w:val="0"/>
        <w:spacing w:before="0" w:after="120"/>
        <w:jc w:val="left"/>
        <w:rPr>
          <w:rFonts w:ascii="Times New Roman" w:hAnsi="Times New Roman"/>
          <w:sz w:val="20"/>
        </w:rPr>
      </w:pPr>
      <w:r>
        <w:rPr>
          <w:rFonts w:ascii="Times New Roman" w:hAnsi="Times New Roman"/>
          <w:b/>
          <w:i/>
          <w:color w:val="000000"/>
          <w:sz w:val="20"/>
        </w:rPr>
        <w:t>We will continue to incur significant costs as a result of operating as a public company, and our management will be required to devote substantial time to new compliance initiatives.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subject to the reporting requirements of the Securities Exchange Act of 1934, as amended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controls and changes in corporate governance practices. Further, under the Dodd-Frank Wall Street Reform and Consumer Protection Act, the SEC has adopted significant corporate governance and executive compensation related rules and regulations, such as “say on pay” and proxy access. While emerging growth companies are permitted to implement many of these requirements over a longer period and up to five years from the pricing of the IPO, we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increase our net loss and may require us to reduce costs in other areas of our business or increase the prices of any products that we develop,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As a result of being a public company, we are obligated to develop and maintain proper and effective controls over financial reporting. If we fail to maintain proper and effective internal controls over financial reporting in the future, our ability to produce accurate and timely financial statements could be impaired, which could harm our operating results, investors’ views of us and, as a result, the value of our common stock.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Pursuant to Section 404 of Sarbanes-Oxley Act, our management is required to report upon the effectiveness of our internal controls over financial reporting. However, while we remain an “emerging growth company,” as defined in the JOBS Act, or a smaller reporting company with less than $100 million in revenue, we will not be required to include an attestation report on internal control over financial reporting issued by our independent registered public accounting firm. The rules governing the standards that must be met for management to assess our internal controls over financial reporting are complex and require significant documentation, testing, and possible remediation. To comply with the requirements of being a reporting company under the Exchange Act, we will need to upgrade our systems including information technology; implement additional financial and management controls, reporting systems, and procedures; and hire additional accounting and finance staff. If we or, if required, our auditors are unable to conclude that our internal controls over financial reporting is effective, investors may lose confidence in our financial reporting, and the trading price of our common stock may decline.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previously identified a significant deficiency in our internal controls over financial reporting pertaining to our fiscal year ended December 31, 2024 and although it has been remediated, we cannot assure you that there will not be material weaknesses or significant deficiencies in our internal controls over financial reporting in the future. Any failure to maintain internal controls over financial reporting could severely inhibit our ability to accurately report our financial condition, results of operations or cash flows. If we are unable to conclude that our internal controls over financial reporting is effective, or if our independent registered public accounting firm determines we have a material weakness or significant deficiency in our internal controls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or significant deficiencies in our internal controls over financial reporting, or to implement or maintain other effective control systems required of public companies, could also restrict our future access to the capital markets. </w:t>
      </w:r>
    </w:p>
    <w:p>
      <w:pPr>
        <w:pStyle w:val="TextBody"/>
        <w:bidi w:val="0"/>
        <w:spacing w:before="0" w:after="120"/>
        <w:jc w:val="left"/>
        <w:rPr>
          <w:rFonts w:ascii="Times New Roman" w:hAnsi="Times New Roman"/>
          <w:sz w:val="20"/>
        </w:rPr>
      </w:pPr>
      <w:r>
        <w:rPr>
          <w:rFonts w:ascii="Times New Roman" w:hAnsi="Times New Roman"/>
          <w:b/>
          <w:i/>
          <w:color w:val="000000"/>
          <w:sz w:val="20"/>
        </w:rPr>
        <w:t>Failure to build our finance infrastructure and improve our accounting systems and controls could impair our ability to comply with the financial reporting and internal controls requirements for publicly traded companies.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a public company, we operate in an increasingly demanding regulatory environment, which requires us to comply with the Sarbanes-Oxley Act the regulations of the Nasdaq Global Select Market, the rules and regulations of the SEC, expanded disclosure requirements, accelerated reporting requirements and more complex accounting rules. Company responsibilities required by the Sarbanes-Oxley Act include establishing corporate oversight and adequate internal controls over financial reporting and disclosure controls and procedures. Effective internal controls are necessary for us to produce reliable financial reports and are important to help prevent financial fraud. We are required to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and we may experience difficulty in meeting these reporting requirements in a timely manner.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which may result in substantial costs. Any disruptions or difficulties in implementing or using our finance and accounting systems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controls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the Nasdaq Global Select Market, the SEC or other regulatory authorities.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0" w:after="120"/>
        <w:jc w:val="left"/>
        <w:rPr>
          <w:rFonts w:ascii="Times New Roman" w:hAnsi="Times New Roman"/>
          <w:sz w:val="20"/>
        </w:rPr>
      </w:pPr>
      <w:r>
        <w:rPr>
          <w:rFonts w:ascii="Times New Roman" w:hAnsi="Times New Roman"/>
          <w:b/>
          <w:i/>
          <w:color w:val="000000"/>
          <w:sz w:val="20"/>
        </w:rPr>
        <w:t>Future changes in financial accounting standards or practices may cause adverse and unexpected revenue fluctuations and adversely affect our reported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For additional information, see the section of this Annual Report on Form 10-K titled “Financial Statements and Supplementary Data—Notes to Financial Statements—Recent Accounting Pronouncements.” </w:t>
      </w:r>
    </w:p>
    <w:p>
      <w:pPr>
        <w:pStyle w:val="TextBody"/>
        <w:bidi w:val="0"/>
        <w:spacing w:before="0" w:after="120"/>
        <w:jc w:val="left"/>
        <w:rPr>
          <w:rFonts w:ascii="Times New Roman" w:hAnsi="Times New Roman"/>
          <w:sz w:val="20"/>
        </w:rPr>
      </w:pPr>
      <w:r>
        <w:rPr>
          <w:rFonts w:ascii="Times New Roman" w:hAnsi="Times New Roman"/>
          <w:b/>
          <w:i/>
          <w:color w:val="000000"/>
          <w:sz w:val="20"/>
        </w:rPr>
        <w:t>We are an “emerging growth company,” and we cannot be certain if the reduced reporting requirements applicable to emerging growth companies will make our common stock less attractive to investors.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an emerging growth company and, for as long as we continue to be an emerging growth company, we intend to take advantage of exemptions from various reporting requirements that are applicable to other public companies that are not emerging growth companies, including: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not being required to comply with the auditor attestation requirements of Section 404 of the Sarbanes-Oxley Act;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reduced disclosure obligations regarding executive compensation and our periodic reports and proxy statements;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exemptions from the requirements of holding non-binding advisory stockholder votes on executive compensation and stockholder approval of any golden parachute payments not previously approved.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 billion in non-convertible debt securities during the prior three-year period; and (iv) December 31, 2026.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and our periodic reports and proxy statements.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OBBBA enacted many significant changes to the U.S. tax laws. Future guidance from the Internal Revenue Service and other tax authorities with respect to the OBBBA may affect us, and certain aspects of the OBBBA could be repealed or modified in future legislation. In addition, it is uncertain if and to what extent various states will conform to the OBBBA or any other newly enacted federal tax legislation. Changes in the realization of net deferred tax assets relating to our operations, the taxation of foreign earnings, and the deductibility of expenses under the OBBBA or future reform legislation could have a material impact on the value of our deferred tax assets, could result in significant one-time charges, and could increase our future U.S. tax expense. </w:t>
      </w:r>
    </w:p>
    <w:p>
      <w:pPr>
        <w:pStyle w:val="TextBody"/>
        <w:bidi w:val="0"/>
        <w:spacing w:before="0" w:after="120"/>
        <w:jc w:val="left"/>
        <w:rPr>
          <w:rFonts w:ascii="Times New Roman" w:hAnsi="Times New Roman"/>
          <w:sz w:val="20"/>
        </w:rPr>
      </w:pPr>
      <w:r>
        <w:rPr>
          <w:rFonts w:ascii="Times New Roman" w:hAnsi="Times New Roman"/>
          <w:b/>
          <w:i/>
          <w:color w:val="000000"/>
          <w:sz w:val="20"/>
        </w:rPr>
        <w:t>Unstable market and economic conditions may have serious adverse consequences on our business, financial condition and stock price.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global credit and financial markets have recently experienced extreme volatility and disruptions, including severely diminished liquidity and credit availability, declines in consumer confidence, declines in economic growth, increases in unemployment rates, uncertainty about economic stability and changes in fiscal policy, including higher interest rates.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example, on October 1, 2025, the U.S. federal government shutdown through November 12, 2025, suspending services deemed non-essential as a result of the failure by Congress to enact regular appropriations for the 2026 fiscal year. If we experience another government shutdown, it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 </w:t>
      </w:r>
    </w:p>
    <w:p>
      <w:pPr>
        <w:pStyle w:val="TextBody"/>
        <w:bidi w:val="0"/>
        <w:spacing w:before="0" w:after="120"/>
        <w:jc w:val="left"/>
        <w:rPr>
          <w:rFonts w:ascii="Times New Roman" w:hAnsi="Times New Roman"/>
          <w:sz w:val="20"/>
        </w:rPr>
      </w:pPr>
      <w:r>
        <w:rPr>
          <w:rFonts w:ascii="Times New Roman" w:hAnsi="Times New Roman"/>
          <w:b/>
          <w:i/>
          <w:color w:val="000000"/>
          <w:sz w:val="20"/>
        </w:rPr>
        <w:t>If our security measures are compromised, or the security, confidentiality, integrity, or availability of our information technology, software, services, communications or data is compromised, limited or fails, this could result in a material adverse impact.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or third parties related to us (such as our partners, CROs, and CMOs) experience any material cybersecurity incidents that result in any deletion or destruction of, unauthorized access to, loss of, unauthorized acquisition or disclosure of, or inadvertent exposure or disclosure of, sensitive, confidential, or proprietary information, including trade secrets, other intellectual property, and personal information (Sensitive Information), or a compromise related to the security, confidentiality, integrity or availability of our (or their) information technology, software, services, communications, or data, it may result in a material adverse impact, including without limitation, regulatory investigations or enforcement actions, litigation, indemnity obligations, delays to the development and commercialization of our product candidates, disruption of our programs, negative publicity, and financial loss. Attacks upon information technology systems are increasing in their frequency, levels of persistence, sophistication and intensity, and are being conducted by sophisticated and organized groups and individuals with a wide range of motives and expertise. Systems containing Sensitive Information are vulnerable to service interruptions, malfunction, natural disasters, terrorism, war, software and hardware failures, telecommunication and electrical failures, theft or loss from inadvertent or intentional actions by employees, contractors, consultants, business partners and/or other third parties, malware, malicious code (such as viruses and worms), software bugs, ransomware, denial-of-service attacks (including credential stuffing), social engineering and other means that affect service reliability and threaten the security, confidentiality, integrity and availability of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Such threats are prevalent and continue to rise, are increasingly difficult to detect, and now include potential attacks enhanced or facilitated by artificial intelligence. We or third parties related to us may also experience cybersecurity incidents, data breaches or other compromises that may remain undetected for an extended period. Further, we have outsourced elements of our information technology infrastructure, and as a result a number of third-party vendors may or could have access to our Sensitive Information. If our third-party vendors fail to protect their information technology systems and our confidential and proprietary information, we may also be vulnerable to disruptions in service and unauthorized access or misuse of our Sensitive Information. Like other companies in our industry, we, and third parties related to us, have experienced threats and cybersecurity incidents relating to our information technology systems and infrastructure.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While we implement commercially reasonable information security safeguards, consistent with companies of the same size and scope as ours, there is no guarantee that our security efforts and our investment in information technology, or the efforts or investments of CROs, consultants or other third parties related to us, will prevent breakdowns, data breaches or other cybersecurity incidents that cause loss, destruction, unavailability, alteration, misuse, or dissemination of, or damage to, Sensitive Information that could have a material adverse impact.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data breaches, cybersecurity incidents, or other compromises could result in the loss, misappropriation and/or unauthorized access, use or disclosure or other compromise of, or the prevention of access to, data (including trade secrets or other confidential information, intellectual property, proprietary business information and personal information and Sensitive Information), which could result in a material adverse impact including financial, legal, business and reputational harm. For example, any such event that leads to unauthorized access, use, or disclosure of personal information, including personal information regarding our clinical trial participants or employees, could harm our reputation directly, compel us to comply with federal and/or state breach notification laws and foreign law equivalents, subject us to mandatory corrective action, and otherwise subject us to liability under privacy, data protection, and information security laws and regulations, including litigation and governmental investigations and fines or penalties, which could result in significant legal and financial exposure and reputational damages that could potentially have a material adverse impact.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Notifications and follow-up actions related to a cybersecurity incident or data breach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cybersecurity incidents and data breaches, and we may face increased costs and requirements to expend substantial resources in the event of an actual or perceived security breach, incident, or compromise. We also rely on third parties to manufacture our product candidates, and similar material events relating to their computer systems could also have a material adverse impact. To the extent that any disruption or data breach, cybersecurity incident, or compromise were to result in a loss, destruction, misuse,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applicable privacy, data protection, and information security laws and regulations. Our contracts may not contain limitations of liability, and even where they do, there can be no assurance that limitations of liability in our contracts are sufficient to protect us from liabilities, damages, or claims related to our privacy and data security obligations.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Moreover, our use of new and evolving technologies, such as artificial intelligence, in our operations and the operations of third parties upon which we rely, presents new risks and challenges that could negatively impact our business, including cybersecurity, data privacy, IT, intellectual property, regulatory, legal, operational, competitive, reputational, and other risks and challenges. For example, our use of artificial intelligence-based software may lead to inadvertent release, disclosure, or compromise of Sensitive Information or other confidential information through the use of generative artificial intelligence tools, or other cybersecurity incidents may arise that may impact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insurance policies, including cybersecurity liability insurance, may not be adequate to compensate us for the potential losses arising from any such cybersecurity incident, data breach, or compromise.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 </w:t>
      </w:r>
    </w:p>
    <w:p>
      <w:pPr>
        <w:pStyle w:val="TextBody"/>
        <w:bidi w:val="0"/>
        <w:spacing w:before="0" w:after="120"/>
        <w:jc w:val="left"/>
        <w:rPr>
          <w:rFonts w:ascii="Times New Roman" w:hAnsi="Times New Roman"/>
          <w:sz w:val="20"/>
        </w:rPr>
      </w:pPr>
      <w:r>
        <w:rPr>
          <w:rFonts w:ascii="Times New Roman" w:hAnsi="Times New Roman"/>
          <w:b/>
          <w:i/>
          <w:color w:val="000000"/>
          <w:sz w:val="20"/>
        </w:rPr>
        <w:t>If securities or industry analysts do not publish research or reports, or if they publish adverse or misleading research or reports, regarding us, our business or our market, our stock price and trading volume could decline.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business could be negatively impacted by corporate citizenship and environmental, social and corporate governance (ESG) matters and/or our reporting of such matters.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is an increasing focus from certain investors, consumers, and other stakeholders concerning corporate citizenship and sustainability matters. We could be perceived as not acting responsibly in connection with these matters. Our business could be negatively impacted by such matters. Any such matters, or related corporate citizenship and sustainability matters, could have a material adverse effect on our business.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Geopolitical events and conditions could adversely affect our business, financial condition and operating results.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U.S. government and other nations’ administrations and their associated shifts in policy and priorities could also impact our operations and market conditions. Our business is sensitive to geopolitical issues, including foreign policy actions taken by governments such as tariffs, sanctions, embargoes, export and import controls, and other trade restrictions, which can affect the demand for, and our ability to sell, our products and services, cause disruptions to our supply chain, and, ultimately, could adversely affect our business. Global conflicts, including Russia’s invasion of Ukraine, conflicts in the Middle East, and heightened tensions in the Pacific region, have significantly elevated global geopolitical tensions and security concerns. Economic sanctions, export controls, and other trade restrictions could directly and indirectly result in the disruption of our business and supply chain. Although we do not have any clinical trial sites or operations in the currently affected regions, if the current conflict expands further into the region or continues, resulting heightened economic sanctions from the United States and the international community, in addition to environmental regulations, could limit our ability to procure or use certain materials or manufacturing slots for the products needed for our clinical trials, which could lead to delays in these trials. We continue to monitor any adverse impact that the outbreak of war and the subsequent institution of sanctions by the United States and other countries may have on the global economy in general, on our business and operations and on the businesses and operations of our suppliers and third parties with whom we conduct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Significant political, trade, or regulatory developments in the jurisdictions in which we sell our products, if approved,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For example, on September 25, 2025, the current U.S. administration announced a 100% tariff on brand-name or patented drugs unless pharmaceutical companies expand their manufacturing operations in the U.S. While pharmaceutical products are currently excluded from the baseline and "reciprocal" tariffs imposed by the U.S., such tariffs still apply to the raw materials and other products necessary for the manufacture and formulation of our product candidates. The current U.S. administration has threatened to continue to broadly impose tariffs and increase existing tariffs, which could lead to corresponding punitive actions by the countries with which the U.S. trades. Historically, tariffs have led to increased trade and political tensions. In response to tariffs, other countries have implemented or threatened to implement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U.S. Congress, the Trump administration, or any new administration may make substantial changes to fiscal, tax, and other federal policies that may adversely affect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2017, the U.S. Congress and the Trump administration made substantial changes to U.S. policies, which included comprehensive corporate and individual tax reform. In addition, the Trump administration called for significant changes to U.S. trade, healthcare, immigration and government regulatory policy. With the transition to the Biden administration in early 2021, changes to U. S. policy occurred and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ESG matters may impact our business and reputation.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to the changing rules and regulations related to ESG matters imposed by governmental and self-regulatory organizations, a variety of third-party organizations, institutional investors and customers evaluate the performance of companies on ESG topics, and the results of these assessments are widely publicized. These changing rules, regulations and stakeholder expectations have resulted in, and are likely to continue to result in, increased general and administrative expenses and increased management time and attention spent complying with or meeting such regulations and expectations. Reduced access to or increased cost of capital may occur as financial institutions and investors increase expectations related to ESG matters.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Furthermore,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including our previously announced commitments to reduce greenhouse gas emissions, within the scope of ESG on a timely basis, or at all, our reputation, business, financial performance and growth could be adversely affected. In addition, in recent years “anti-ESG” sentiment has gained momentum across the U.S., with several states and Congress having proposed or enacted “anti-ESG” policies, legislation, or initiatives or issued related legal opinions, and the President having recently issued an executive order opposing diversity equity and inclusion (DEI) initiatives in the private sector. Such anti-ESG and anti-DEI-related policies, legislation, initiatives, litigation, legal opinions, and scrutiny could result in us facing additional compliance obligations, becoming the subject of investigations and enforcement actions, or sustaining reputational harm.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color w:val="000000"/>
          <w:sz w:val="20"/>
        </w:rPr>
      </w:pPr>
      <w:bookmarkStart w:id="5" w:name="item_1b_unresolved_staff_comments"/>
      <w:bookmarkEnd w:id="5"/>
      <w:r>
        <w:rPr>
          <w:rFonts w:ascii="Times New Roman" w:hAnsi="Times New Roman"/>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6" w:name="toc_page"/>
      <w:bookmarkStart w:id="7" w:name="item_1c_cybersecurity"/>
      <w:bookmarkEnd w:id="6"/>
      <w:bookmarkEnd w:id="7"/>
      <w:r>
        <w:rPr>
          <w:rFonts w:ascii="Times New Roman" w:hAnsi="Times New Roman"/>
          <w:b/>
          <w:color w:val="000000"/>
          <w:sz w:val="20"/>
        </w:rPr>
        <w:t>Item 1C. Cybersecurity</w:t>
      </w:r>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Risk Management and Strategy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regularly assess risks from cybersecurity threats; monitor our information systems for potential vulnerabilities; and test those systems pursuant to our internal information technology policies which are inclusive of cybersecurity policies, processes, and practices. To protect our information systems from cybersecurity threats, we use various security tools that are designed to help identify, escalate, investigate, resolve, and recover from security incidents in a timely manner. Our Cybersecurity Committee, which is comprised of representatives from our business operations and support functions, assesses risks based on current risks we are aware of, probability and potential impact to key business systems and processes. Risks that are considered high are incorporated into our overall risk management program. A mitigation plan is developed for each identified high risk, with progress reported to the Cybersecurity Committee and tracked as part of our overall risk management program overseen by the Audit Committee of our Board of Directors.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collaborate with third party vendors as deemed necessary to assess the effectiveness of our information technology environment, which is inclusive of our cybersecurity prevention and response systems and processes. These third party vendors include cybersecurity assessors, consultants, and other external cybersecurity experts to assist in the identification, verification, and validation of cybersecurity risks, as well as to support associated mitigation plans when necessary. We have implemented a third-party cybersecurity risk management process to conduct due diligence on external entities that are determined to be of higher risk due to the Sensitive Information that they have access to, including those that perform cybersecurity services.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Cybersecurity threats, including those resulting from any previous cybersecurity incidents, have not materially affected our Company, including our business strategy, results of operations, or financial condition. We do not believe that cybersecurity threats resulting from any previous cybersecurity incidents of which we are aware are reasonably likely to materially affect our Company. Refer to the risk factor captioned “If our security measures are compromised, or the security, confidentiality, integrity, or availability of our information technology, software, services, communications, or data is compromised, limited, or fails, this could result in a material adverse impact” in Part I, Item 1A. “Risk Factors” for additional description of cybersecurity risks and potential related impacts on our Company.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Governance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Board oversees our risk management process, including as it pertains to cybersecurity risks, directly and through its committees. The Audit Committee of the Board oversees our risk management program, which focuses on the most significant risks we face in the short-, intermediate-, and long-term timeframe. Audit Committee meetings include discussions of specific risk areas throughout the year, including, among others, those relating to cybersecurity threats, when applicable, and reports from management on our enterprise risk profile on an annual basis. The Audit Committee reviews our information technology environment risk, which is inclusive of our cybersecurity risk profile with management on a periodic basis using key performance and/or risk indicators. These key performance indicators are metrics and measurements designed to assess the prevention, detection, and mitigation efforts of our cybersecurity program, as well as our remediation of cybersecurity incidents, as applicable.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take a risk-based approach to cybersecurity and have implemented cybersecurity policies throughout our operations that are designed to address cybersecurity threats and incidents. Our Head of Information Technology and the Cybersecurity Committee are responsible for the establishment and maintenance of our cybersecurity program, as well as the assessment and management of cybersecurity risks. The current Head of Information Technology has over 20 years of experience in information security and possesses the education, skills, experience, and industry certifications expected by our company of an individual assigned to these duties. The Head of Information Technology provides periodic updates on our information technology environment risk, which is inclusive of our cybersecurity risk profile, to the Board, which includes the Audit Committee members.</w:t>
      </w:r>
    </w:p>
    <w:p>
      <w:pPr>
        <w:pStyle w:val="Heading2"/>
        <w:bidi w:val="0"/>
        <w:jc w:val="left"/>
        <w:rPr>
          <w:rFonts w:ascii="Times New Roman" w:hAnsi="Times New Roman"/>
          <w:color w:val="000000"/>
          <w:sz w:val="20"/>
        </w:rPr>
      </w:pPr>
      <w:bookmarkStart w:id="8" w:name="item_2_properties"/>
      <w:bookmarkEnd w:id="8"/>
      <w:r>
        <w:rPr>
          <w:rFonts w:ascii="Times New Roman" w:hAnsi="Times New Roman"/>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lease approximately 18,796 square feet of office space in San Carlos, California under two leases which expire in January 2027. We believe these facilities are sufficient to meet our near-term needs and that any additional space we may require will be available on commercially reasonable terms.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color w:val="000000"/>
          <w:sz w:val="20"/>
        </w:rPr>
      </w:pPr>
      <w:bookmarkStart w:id="9" w:name="item_3_legal_proceedings"/>
      <w:bookmarkEnd w:id="9"/>
      <w:r>
        <w:rPr>
          <w:rFonts w:ascii="Times New Roman" w:hAnsi="Times New Roman"/>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pStyle w:val="Heading2"/>
        <w:bidi w:val="0"/>
        <w:spacing w:before="360" w:after="283"/>
        <w:jc w:val="left"/>
        <w:rPr>
          <w:rFonts w:ascii="Times New Roman" w:hAnsi="Times New Roman"/>
          <w:color w:val="000000"/>
          <w:sz w:val="20"/>
        </w:rPr>
      </w:pPr>
      <w:bookmarkStart w:id="10" w:name="item_4_mine_safety_disclosures"/>
      <w:bookmarkEnd w:id="10"/>
      <w:r>
        <w:rPr>
          <w:rFonts w:ascii="Times New Roman" w:hAnsi="Times New Roman"/>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part_ii"/>
      <w:bookmarkEnd w:id="11"/>
      <w:r>
        <w:rPr>
          <w:rFonts w:ascii="Times New Roman" w:hAnsi="Times New Roman"/>
          <w:b/>
          <w:color w:val="000000"/>
          <w:sz w:val="20"/>
        </w:rPr>
        <w:t>PART II</w:t>
      </w:r>
    </w:p>
    <w:p>
      <w:pPr>
        <w:pStyle w:val="Heading2"/>
        <w:bidi w:val="0"/>
        <w:spacing w:before="360" w:after="283"/>
        <w:jc w:val="left"/>
        <w:rPr>
          <w:rFonts w:ascii="Times New Roman" w:hAnsi="Times New Roman"/>
          <w:color w:val="000000"/>
          <w:sz w:val="20"/>
        </w:rPr>
      </w:pPr>
      <w:bookmarkStart w:id="12" w:name="item_5_market_for_registrants_common_equ"/>
      <w:bookmarkEnd w:id="12"/>
      <w:r>
        <w:rPr>
          <w:rFonts w:ascii="Times New Roman" w:hAnsi="Times New Roman"/>
          <w:color w:val="000000"/>
          <w:sz w:val="20"/>
        </w:rPr>
        <w:t>Item 5. Market for Registrant’s Common Equity, Related Stockholder Matters and Issuer Purchases of Equity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Information for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has been listed on the Nasdaq Global Select Market under the symbol “BMEA” since April 16, 2021. Prior to that date, there was no public trading market for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18, 2026, there were 29 holders of record of our common stock. The actual number of stockholders is greater than this number of record holders, and includes stockholders who are beneficial owners, but whose shares are held in street name by brokers and other nominees.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to investors. We currently intend to retain all available funds and any future earnings to support operations and to finance the growth and development of our business. We do not intend to declare or pay any cash dividends on our capital stock in the foreseeable future.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be limited by the terms of any future debt or preferred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January 1, 2022, we have not issued any unregistered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Purchases of Equity Securities by Issuers and Affiliated Purchasers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Heading2"/>
        <w:bidi w:val="0"/>
        <w:spacing w:before="360" w:after="283"/>
        <w:jc w:val="left"/>
        <w:rPr>
          <w:rFonts w:ascii="Times New Roman" w:hAnsi="Times New Roman"/>
          <w:color w:val="000000"/>
          <w:sz w:val="20"/>
        </w:rPr>
      </w:pPr>
      <w:bookmarkStart w:id="13" w:name="item_6_selected_financial_data"/>
      <w:bookmarkEnd w:id="13"/>
      <w:r>
        <w:rPr>
          <w:rFonts w:ascii="Times New Roman" w:hAnsi="Times New Roman"/>
          <w:color w:val="000000"/>
          <w:sz w:val="20"/>
        </w:rPr>
        <w:t>Item 6. Reserved</w:t>
      </w:r>
    </w:p>
    <w:p>
      <w:pPr>
        <w:pStyle w:val="TextBody"/>
        <w:bidi w:val="0"/>
        <w:spacing w:before="120" w:after="283"/>
        <w:jc w:val="left"/>
        <w:rPr/>
      </w:pPr>
      <w:r>
        <w:rPr/>
        <w:t> </w:t>
      </w:r>
    </w:p>
    <w:p>
      <w:pPr>
        <w:pStyle w:val="TextBody"/>
        <w:bidi w:val="0"/>
        <w:spacing w:before="360" w:after="283"/>
        <w:jc w:val="left"/>
        <w:rPr>
          <w:rFonts w:ascii="Times New Roman" w:hAnsi="Times New Roman"/>
          <w:sz w:val="20"/>
        </w:rPr>
      </w:pPr>
      <w:bookmarkStart w:id="14" w:name="item_7_managements_discussion_analysis_f"/>
      <w:bookmarkEnd w:id="14"/>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 looking statements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w:t>
      </w:r>
    </w:p>
    <w:p>
      <w:pPr>
        <w:pStyle w:val="TextBody"/>
        <w:bidi w:val="0"/>
        <w:spacing w:before="240" w:after="12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a clinical-stage diabetes and obesity medicines company dedicated to developing novel small molecule therapies to treat and improve the lives of patients with metabolic diseases. A covalent small molecule drug is a synthetic compound that forms a permanent bond to its target protein and offers a number of potential advantages over conventional non-covalent drugs, including greater target selectivity, lower drug exposure, and the ability to drive a deeper, more durable response.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lead clinical program’s drug candidate, icovamenib, is currently being developed as an orally bioavailable, and selective, covalent inhibitor of menin in two clinical and multiple preclinical studies, investigating icovamenib’s potential in type 1 and type 2 diabetes, as well as its impact in obesity. Menin serves as a checkpoint to prevent beta cell proliferation. Thus, the data support that inhibiting menin via icovamenib has the potential to enable the proliferation, preservation, and reactivation of healthy, functional beta cells capable of producing insulin, thereby leading to long-term glycemic control in patients with type 1 and type 2 diabetes.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preclinical studies, the administration of icovamenib has produced a pronounced effect in preclinical models of diabetes, normalizing glucose levels during treatment and even after drug washout. In October 2025, we reported 52-week results from our Phase II COVALENT-111 trial of icovamenib in type 2 diabetes. Results from our type 1 diabetes trial (COVALENT-112) are still outstanding. As of December 31, 2025 icovamenib is now being evaluated across two ongoing Phase II clinical trials (COVALENT-211 and COVALENT-212) in type 2 diabetes.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With our strategic focus to become a diabetes and obesity medicines company, we are concluding our studies exploring icovamenib’s potential in oncology and plan to explore partnerships to further advance our oncology assets (BMF-500, a covalent inhibitor of FLT3, currently in a Phase I trial), while concentrating internal resources on metabolic disorders.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September 2025, we announced that BMF-650, our investigational, next-generation, oral small molecule GLP-1 RA, received IND-clearance from the FDA. Initiation of our Phase I GLP-131 trial for BMF-650 in obese, otherwise healthy volunteers is ongoing, and data is anticipated in the second quarter of 2026. With its unique pharmacokinetic profile and enhanced bioavailability, we believe BMF-650 has the potential to provide a best-in-class therapeutic option for diabetes and obesity. </w:t>
      </w:r>
    </w:p>
    <w:p>
      <w:pPr>
        <w:pStyle w:val="TextBody"/>
        <w:bidi w:val="0"/>
        <w:jc w:val="left"/>
        <w:rPr>
          <w:rFonts w:ascii="Times New Roman" w:hAnsi="Times New Roman"/>
          <w:color w:val="000000"/>
          <w:sz w:val="20"/>
        </w:rPr>
      </w:pPr>
      <w:r>
        <w:rPr>
          <w:rFonts w:ascii="Times New Roman" w:hAnsi="Times New Roman"/>
          <w:color w:val="000000"/>
          <w:sz w:val="20"/>
        </w:rPr>
        <w:t>Since commencing operations in 2017, we have devoted substantially all of our efforts and financial resources to conducting research and development activities, including drug discovery and preclinical studies, establishing and maintaining our intellectual property portfolio, the manufacturing of clinical and research material, organizing and staffing our company, business planning, raising capital and providing general and administrative support for these operations. We have not generated any revenue from product sales and, as a result, we have never been profitable and have incurred net losses since commencement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an accumulated deficit of $449.0 million. We incurred net losses of $61.8 million and $138.4 million for the years ended December 31, 2025 and 2024, respectively. Based on our current operating plan, we believe that our existing cash and cash equivalents, and restricted cash as of December 31, 2025, without any future financing, will only be sufficient to fund our operations into the first quarter of 2027. We expect to continue to incur significant expenses and operating losses for the foreseeable future, and our net losses may fluctuate significantly from period to period, depending on the timing of and expenditures on our planned research and development activities.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do not expect to generate revenue from product sales unless and until we obtain regulatory approval for and commercialize a product candidate, and we cannot assure you that we will ever generate significant revenue or profits. We expect that our expenses will continue to increase for the foreseeable future. We expect to continue to incur significant losses for the foreseeable future, and we expect these losses to increase substantially if and as we: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conduct our ongoing preclinical studies and our two Phase II clinical trials of icovamenib in type 2 and type 1 diabetes;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seek marketing approvals for any product candidates that successfully complete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continue our research and development efforts and submit additional INDs;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experience any delays or encounter any issues with any of the above, including but not limited to failed studies, complex results, safety issues or other regulatory challenges;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establish a sales, marketing and distribution infrastructure and scale-up manufacturing capabilities, whether alone or with third parties, to commercialize any product candidates for which we may obtain regulatory approval, if any;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obtain, expand, maintain, enforce and protect our intellectual property portfolio;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hire additional clinical, regulatory and scientific personnel;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operate as a public company.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will need to raise additional capital in the future to fund our operations, including to conduct and complete clinical trials for any product candidates. If sufficient funds on acceptable terms are not available when needed, we could be required to significantly reduce our operating expenses and delay, reduce the scope of, or eliminate one or more of our development programs.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currently rely, and expect to continue to rely, on third parties for the manufacture of our product candidates. All of our product candidates are novel small molecules and are manufactured in synthetic processes from available or custom synthesized starting materials. The chemistry is scalable and uses commonly available pharmaceutical equipment in the manufacturing process. We expect to continue to develop product candidates that can be produced cost-effectively at contract manufacturing facilities. In addition, we do not yet have a marketing or sales organization or commercial infrastructure. Accordingly, we will incur significant expenses to develop a marketing and sales organization and commercial infrastructure in advance of generating any product sales.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April 2021, we completed our initial public offering (IPO) and issued an aggregate of 9,000,000 shares of our common stock at a price of $17.00 per share. Subsequent to the close, an additional 823,532 shares were issued in connection with the partial exercise by the underwriters of their option to purchase additional shares of common stock. In addition, immediately prior to the closing of the IPO, all outstanding shares of our convertible preferred stock automatically converted into 7,064,925 shares of common stock. Proceeds from the IPO, net of underwriting discounts and commissions and offering costs were $152.8 million. On April 3, 2023, we issued and sold 5,750,000 shares of common stock, which included 750,000 shares sold pursuant to the exercise of the underwriters’ over-allotment option, at a public offering price of $30.00 per share in an underwritten public offering pursuant to a shelf registration on Form S-3. Our net proceeds from the offering were $161.8 million, after deducting underwriting discounts and commissions and offering costs of $10.7 million. During the twelve months ended December 31, 2025, we issued 2,271,122 shares of our common stock for aggregate proceeds of $4.9 million, net of commissions and offering costs from our 2022 ATM Program.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June 2025, we issued and sold 19,450,000 shares of common stock at an offering price of $2.00 per share and, to a certain investor in lieu of common stock, pre-funded warrants to purchase up to 550,000 shares of common stock at an offering price of $1.9999 per share, and accompanying common warrants to purchase up to 23,000,000 shares of common stock at a per share exercise price of $2.50. In July 2025, in connection with the June 2025 underwritten public offering, the underwriters partially exercised their over-allotment option to purchase an additional 1,381,262 shares of common stock at an offering price of $2.00 per share. The aggregate gross proceeds from the offering, including the proceeds from the underwriters' over-allotment option, were approximately $42.8 million, before deducting underwriting discounts and commissions and offering costs.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October 2025, we issued and sold 11,195,121 shares of common stock at an offering price of $2.05 per share and, to a certain investor in lieu of common stock, pre-funded warrants to purchase up to 1,000,000 shares of common stock at an offering price of $2.0499 per share and accompanying common warrants to purchase up to 14,024,389 shares of common stock at a per share exercise price of $2.50, which included the underwriters' partial exercise of their over-allotment option to purchase additional common warrants. The aggregate gross proceeds from the offering, including the proceeds from the underwriters' over-allotment option, were approximately $25.0 million, before deducting underwriting discounts and commissions and offering costs.</w:t>
      </w:r>
    </w:p>
    <w:p>
      <w:pPr>
        <w:pStyle w:val="TextBody"/>
        <w:bidi w:val="0"/>
        <w:spacing w:before="120" w:after="283"/>
        <w:jc w:val="left"/>
        <w:rPr>
          <w:rFonts w:ascii="Times New Roman" w:hAnsi="Times New Roman"/>
          <w:sz w:val="20"/>
        </w:rPr>
      </w:pPr>
      <w:r>
        <w:rPr>
          <w:rFonts w:ascii="Times New Roman" w:hAnsi="Times New Roman"/>
          <w:b/>
          <w:color w:val="000000"/>
          <w:sz w:val="20"/>
        </w:rPr>
        <w:t>Components of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revenue and do not expect to generate any revenue from the sale of products in the near future.</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expenses consist primarily of external and internal costs incurred in connection with the research and development of our research programs and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External costs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with third-party CMOs, CROs, research and development service providers, academic research institutions and consulting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expenses, including supplies and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Internal costs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personnel-related expenses, including salaries, benefits and stock-based compensation for personnel in research and product development roles; and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facilities and other allocated expenses, including expenses for rent and facilities maintenance, and depreciation.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direct costs by stage of program, clinical or preclinical. However, we do not track indirect costs on a program specific or stage of program basis because these costs are deployed across multiple programs and, as such, are not separately classified.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research and development expenses to increase substantially during the next few years as we seek to initiate and complete clinical trials, pursue regulatory approval of icovamenib and advance BMF-650 and our other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through preclinical and clinical development. Predicting the timing or the final cost to complete our clinical program or validation of our manufacturing and supply processes is difficult and delays may occur because of many factors. The process of conducting the necessary preclinical and clinical research to obtain regulatory approval is costly and time-consuming. To the extent that our product candidates continue to advance into clinical trials, as well as advance into larger and later stage clinical trials, our expenses will increase substantially and may become more variable.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future research and development costs may vary significantly based on a wide variety of factors, such as: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scope, rate of progress, expense and results of our ongoing clinical trials, including our ongoing Phase II clinical trial of icovamenib in type 2 diabetes and Phase II clinical trial of icovamenib in type 1 diabetes, enrollment in our Phase I clinical trial for BMF-650, as well as any future preclinical development and clinical trials of our product candidates, and other research and development activities we may conduct;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uncertainties in clinical trial design and the interpretation of clinical trial data;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per participant trial costs;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duration, scope and number of trials required for approval;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of sites included in the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of participants who participate in the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length of time required to enroll eligible participants;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drop-out or discontinuation rates of participants;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safety and efficacy profiles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timing, receipt, and terms of any approvals from applicable regulatory authorities including the FDA and non-U.S. regulators;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maintain a continued acceptable safety profile of our product candidates following approval, if any, of any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significant and changing government regulation and regulatory guidance;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establishing clinical and commercial manufacturing capabilities or making arrangements with third-party manufacturers in order to ensure that we or our third-party manufacturers are able to make product successfully;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impact of any business interruptions to our operations or to those of the third parties with whom we work in light of adverse global market conditions;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extent to which we establish additional strategic collaborations or other arrangements.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change in the outcome of any of these variables with respect to the development of any or our product candidates could significantly change the costs and timing associated with the development of that product candidate. The actual probability of success for our product candidates may be affected by a variety of factors, including the safety and efficacy of our product candidates, investment in our clinical programs, manufacturing capability and competition with other products and product candidates. As a result of these variables, we are unable to determine the duration and completion costs of our research and development projects or when and to what extent we will generate revenue from the commercialization and sale of our product candidates. We may never succeed in achieving regulatory approval for any of our product candidates. </w:t>
      </w:r>
    </w:p>
    <w:p>
      <w:pPr>
        <w:pStyle w:val="TextBody"/>
        <w:bidi w:val="0"/>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principally of personnel-related costs including payroll and stock-based compensation expense for personnel in executive, finance, human resources, business and corporate development, and other administrative functions, professional fees for legal, consulting, and accounting services, rent and other facilities costs, depreciation, and other general operating expenses not otherwise classified as research and development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our general and administrative expenses will increase substantially during the next few years as a result of staff expansion and additional occupancy costs, as well as costs associated with being a public company, including compliance with the rules and regulations of the SEC and those of any national securities exchange on which our securities are traded, higher legal and auditing fees, investor relations costs, higher insurance premiums and other compliance costs associated with being a public company. We also expect that our future intellectual property expenses may increase as we expand our product portfolio of product candidates due to advances in our research and development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long-lived assets consists of a one-time impairment charge, primarily for laboratory equipment and leasehold improvements (see Note 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common warrant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common warrant liability consists of revaluation of the common warrants issued in connection with the June and October 2025 underwritten public offerings (see Note 5). The common warrants are re-measured at each balance sheet date.</w:t>
      </w:r>
    </w:p>
    <w:p>
      <w:pPr>
        <w:pStyle w:val="TextBody"/>
        <w:bidi w:val="0"/>
        <w:spacing w:before="120" w:after="283"/>
        <w:jc w:val="left"/>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consists primarily of interest income earned on our cash and cash equivalents.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Years Ended December 31, 2025 and 2024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tbl>
      <w:tblPr>
        <w:tblW w:w="8388" w:type="dxa"/>
        <w:jc w:val="left"/>
        <w:tblInd w:w="0" w:type="dxa"/>
        <w:tblLayout w:type="fixed"/>
        <w:tblCellMar>
          <w:top w:w="28" w:type="dxa"/>
          <w:left w:w="28" w:type="dxa"/>
          <w:bottom w:w="28" w:type="dxa"/>
          <w:right w:w="28" w:type="dxa"/>
        </w:tblCellMar>
      </w:tblPr>
      <w:tblGrid>
        <w:gridCol w:w="4081"/>
        <w:gridCol w:w="146"/>
        <w:gridCol w:w="211"/>
        <w:gridCol w:w="736"/>
        <w:gridCol w:w="166"/>
        <w:gridCol w:w="146"/>
        <w:gridCol w:w="211"/>
        <w:gridCol w:w="841"/>
        <w:gridCol w:w="166"/>
        <w:gridCol w:w="146"/>
        <w:gridCol w:w="211"/>
        <w:gridCol w:w="736"/>
        <w:gridCol w:w="5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common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76,629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expenses incurred during the periods indicated (in thousands):</w:t>
      </w:r>
    </w:p>
    <w:tbl>
      <w:tblPr>
        <w:tblW w:w="9855" w:type="dxa"/>
        <w:jc w:val="left"/>
        <w:tblInd w:w="0" w:type="dxa"/>
        <w:tblLayout w:type="fixed"/>
        <w:tblCellMar>
          <w:top w:w="28" w:type="dxa"/>
          <w:left w:w="28" w:type="dxa"/>
          <w:bottom w:w="28" w:type="dxa"/>
          <w:right w:w="28" w:type="dxa"/>
        </w:tblCellMar>
      </w:tblPr>
      <w:tblGrid>
        <w:gridCol w:w="5751"/>
        <w:gridCol w:w="146"/>
        <w:gridCol w:w="224"/>
        <w:gridCol w:w="719"/>
        <w:gridCol w:w="155"/>
        <w:gridCol w:w="155"/>
        <w:gridCol w:w="224"/>
        <w:gridCol w:w="831"/>
        <w:gridCol w:w="146"/>
        <w:gridCol w:w="146"/>
        <w:gridCol w:w="211"/>
        <w:gridCol w:w="736"/>
        <w:gridCol w:w="411"/>
      </w:tblGrid>
      <w:tr>
        <w:trPr/>
        <w:tc>
          <w:tcPr>
            <w:tcW w:w="5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activities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activities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6,037</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Expenses related to manufacturing of clinical and research material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expenses (including</w:t>
              <w:br/>
              <w:t>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20,563</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 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61,979</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Research and development expenses decreased by $56.1 million during the year ended December 31, 2025 compared to the year ended December 31, 2024. The decrease of $42.7 million in external costs was primarily driven by a decrease of $28.5 million related to clinical activities due to our strategic realignment to focus on our core assets and ceasing internal development of our oncology programs, a decrease of $4.4 million in manufacturing costs, a decrease of $4.0 million related to consultants, advisors and other professional services to support our clinical studies, discovery research and overall research and development program, and a decrease of $5.8 million related to preclinical and exploratory programs. Personnel-related expenses, including stock-based compensation, decreased by $11.3 million due to a decrease in headcount. Facilities and other allocated expenses decreased by $2.1 million due to a decrease in rent and facilities-related costs.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General and administrative expenses decreased by $6.7 million during the year ended December 31, 2025 compared to the year ended December 31, 2024. The decrease was primarily driven by a decrease of $5.9 million related to personnel-related expenses, including stock-based compensation, due to a decrease in headcount. Consulting and professional expenses decreased by $0.7 million due to legal, accounting, consulting and other services. Facilities and other allocated expenses decreased by $0.1 million due to a decrease in rent and facilities-related costs.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Impairment of long-lived assets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Impairment of long-lived assets was $2.2 million for the year ended December 31, 2025 and $0 for the year ended December 31, 2024, attributable to a one-time impairment charge (see Note 4).</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Change in fair value of common warrant liability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 in fair value of common warrant liability was $19.9 million for the year ended December 31, 2025 and $0 for the year ended December 31, 2024, attributable to revaluation of the common warrants issued in connection with the June and October 2025 underwritten public offerings (see Note 5). The common warrants are re-measured at each balance sheet date.</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Interest and Other Income,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and other income, net was $1.9 million for the year ended December 31, 2025 compared to $5.6 million for the year ended December 31, 2024. The decrease of $3.7 million was primarily due to the decrease in cash and cash equivalents balance.</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Comparison of the Years Ended December 31, 2024 and 2023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indicated (in thousands): </w:t>
      </w:r>
    </w:p>
    <w:tbl>
      <w:tblPr>
        <w:tblW w:w="7133" w:type="dxa"/>
        <w:jc w:val="left"/>
        <w:tblInd w:w="0" w:type="dxa"/>
        <w:tblLayout w:type="fixed"/>
        <w:tblCellMar>
          <w:top w:w="28" w:type="dxa"/>
          <w:left w:w="28" w:type="dxa"/>
          <w:bottom w:w="28" w:type="dxa"/>
          <w:right w:w="28" w:type="dxa"/>
        </w:tblCellMar>
      </w:tblPr>
      <w:tblGrid>
        <w:gridCol w:w="2721"/>
        <w:gridCol w:w="146"/>
        <w:gridCol w:w="211"/>
        <w:gridCol w:w="841"/>
        <w:gridCol w:w="166"/>
        <w:gridCol w:w="146"/>
        <w:gridCol w:w="211"/>
        <w:gridCol w:w="841"/>
        <w:gridCol w:w="166"/>
        <w:gridCol w:w="146"/>
        <w:gridCol w:w="211"/>
        <w:gridCol w:w="736"/>
        <w:gridCol w:w="59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expenses incurred during the periods indicated (in thousands):</w:t>
      </w:r>
    </w:p>
    <w:tbl>
      <w:tblPr>
        <w:tblW w:w="9811" w:type="dxa"/>
        <w:jc w:val="left"/>
        <w:tblInd w:w="0" w:type="dxa"/>
        <w:tblLayout w:type="fixed"/>
        <w:tblCellMar>
          <w:top w:w="28" w:type="dxa"/>
          <w:left w:w="28" w:type="dxa"/>
          <w:bottom w:w="28" w:type="dxa"/>
          <w:right w:w="28" w:type="dxa"/>
        </w:tblCellMar>
      </w:tblPr>
      <w:tblGrid>
        <w:gridCol w:w="5751"/>
        <w:gridCol w:w="146"/>
        <w:gridCol w:w="214"/>
        <w:gridCol w:w="793"/>
        <w:gridCol w:w="148"/>
        <w:gridCol w:w="148"/>
        <w:gridCol w:w="214"/>
        <w:gridCol w:w="793"/>
        <w:gridCol w:w="146"/>
        <w:gridCol w:w="146"/>
        <w:gridCol w:w="214"/>
        <w:gridCol w:w="687"/>
        <w:gridCol w:w="411"/>
      </w:tblGrid>
      <w:tr>
        <w:trPr/>
        <w:tc>
          <w:tcPr>
            <w:tcW w:w="5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activities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activities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11,815</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Expenses related to manufacturing of clinical and research material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expenses (including</w:t>
              <w:br/>
              <w:t>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31,856</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 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8,104</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118,085</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Research and development expenses increased by $15.5 million during the year ended December 31, 2024 compared to the year ended December 31, 2023. The increase of $13.1 million in external costs was primarily driven by an increase of $12.0 million related to clinical activities, an increase of $5.4 million related to consultants, advisors and other professional services to support our clinical studies, discovery research and overall research and development program, and increase of $1.7 million related to preclinical activities mainly driven by timing of our exploratory programs. Manufacturing related costs decreased by $6.0 million primarily driven by timing of services performed by our contract manufacturers. Personnel-related expenses, including stock-based compensation, increased by $3.0 million due to an increase in headcount.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expenses increased by $2.4 million during the year ended December 31, 2024 compared to the year ended December 31, 2023. The increase was primarily due to increased personnel-related expenses, including stock-based compensation, of $1.4 million due to an increase in headcount. Consulting and professional expenses increased by $1.5 million due to legal, accounting, consulting and other services offset by a decrease in insurance expense by $0.3 million.</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Interest and Other Income,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and other income, net was $5.6 million for the year ended December 31, 2024 compared to $8.9 million for the year ended December 31, 2023. The decrease of $3.2 million was primarily due to the decrease in cash, cash equivalents, and restricted cash balance.</w:t>
      </w:r>
    </w:p>
    <w:p>
      <w:pPr>
        <w:pStyle w:val="TextBody"/>
        <w:bidi w:val="0"/>
        <w:spacing w:before="120" w:after="12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primarily through the sale and issuance of shares of our common and convertible preferred stock, pre-funded and common warrants and the issuance of unsecured promissory notes from inception through December 2020, issuance of our common stock through our IPO in April 2021, our public offerings in March 2023, June 2025 and October 2025 and through sales under our 2022 ATM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14, 2022, we filed the 2022 Registration Statement with the SEC relating to the registration of up to an aggregate of $350.0 million in shares of our common stock, preferred stock, debt securities, warrants and units or any combination thereof. The 2022 Registration Statement was declared effective by the SEC on October 24, 2022. In April 2023, pursuant to the 2022 Registration Statement, we sold an aggregate of 5,750,000 shares of common stock at a price of $30.00 per share in an underwritten public offering for gross proceeds of $172.5 million, resulting in net proceeds of $161.8 million after deducting underwriting discounts and commissions, and offering costs. On August 5, 2025, we filed the 2025 Registration Statement with the SEC relating to the registration of up to an aggregate of $300.0 million in shares of our common stock, preferred stock, debt securities, warrants and units or any combination thereof to replace the 2022 Registration Statement. The 2025 Registration Statement was declared effective by the SEC on August 15,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we completed an underwritten public offering, in which we issued and sold 19,450,000 shares of common stock at an offering price of $2.00 per share and to a certain investor in lieu of common stock, pre-funded warrants to purchase up to 550,000 shares of common stock at an offering price of $1.9999 per share, and accompanying common warrants to purchase up to 23,000,000 shares of common stock at a per share exercise price of $2.50. Our net proceeds from the offering were approximately $37.2 million, after deducting underwriting discounts and commissions and offering costs of approximately $2.8 million. In July 2025, in connection with the June 2025 underwritten public offering, the underwriters partially exercised their over-allotment option to purchase an additional 1,381,262 shares of common stock at an offering price of $2.00 per share. The net proceeds from the offering pursuant to the over-allotment option were approximately $2.6 million, after deducting underwriting discounts and commissions and offering costs of approximately $0.2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are party to an equity distribution agreement, dated November 25, 2022, with Piper Sandler with respect to the 2022 ATM Program, under which we may offer and sell, from time to time at our sole discretion, shares of our common stock having an aggregate offering price of up to $100.0 million (which was included in the $350.0 million originally registered under the 2022 Registration Statement and is now included in the $300.0 million originally registered under the 2025 Registration Statement) through Piper Sandler as the sales agent. Through December 31, 2025, we have received aggregate proceeds from our 2022 ATM Program of $4.9 million, net of commissions and offering costs, pursuant to the issuance of 2,271,122 shares. As of December 31, 2025, we have $94.8 million available under the 2022 ATM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2025, we completed an underwritten public offering in which we issued and sold 11,195,121 shares of common stock at an offering price of $2.05 per share and, to a certain investor in lieu of common stock, pre-funded warrants to purchase up to 1,000,000 shares of common stock at an offering price of $2.0499 per share and accompanying common warrants to purchase up to 12,195,121 shares of common stock at a per share exercise price of $2.50. Our net proceeds from the offering, including the proceeds from the underwriter’s over-allotment option, were approximately $23.1 million, after deducting underwriting discounts and commissions and offering costs of approximately $1.9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cash, cash equivalents and restricted cash of $56.2 million. As of December 31, 2025, we had an accumulated deficit of $449.0 million. We have incurred substantial operating losses and have used cash in our operating activities since inception. Without any future financing, the current operating plan under the existing cash and cash equivalents, and restricted cash as of December 31, 2025, will only be sufficient to fund our operations into the first quarter of 2027. Our ability to continue as a going concern will require us to obtain additional financing to fund our operations and there can be no assurance that additional financing will be available to us or that such financing, if available, will be available on terms acceptable to us. Accordingly, there is substantial doubt about our ability to continue as a going concern.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continue to require additional capital to develop our product candidates and fund operations for the foreseeable future. We may seek to raise capital through public or private equity offerings, debt financings, collaborations and licensing arrangements or other sources.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timing, progress, duration, costs and results of our clinical trials, drug discovery, preclinical development activities and laboratory testing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clinical programs we decide to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and costs of manufacturing development and commercial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discover and develop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establishing sales and marketing capabilities, if any of our product candidates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licensing, or other arrangements into which we may enter in the future, including the timing of receipt of any milestone or royalty payments under these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from our potential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need and ability to hire additional management, scientific and medical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need to implement additional internal systems and infrastructure, including financial and reporting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our ability to attract, hire and retain qualified personnel, including personnel to support the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being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associated with commercializing our product candidates, if they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strategic collaborations and other similar partnerships for the development and commercialization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global health emergency and adverse global economic conditions on our business, which may exacerbate the magnitude of the factors discussed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to others rights to our product candidates in certain territories or indications that we would prefer to develop and commercialize ourselves.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the section of this Annual Report on Form 10-K titled “Risk Factors” for additional risks associated with our substantial capital requirements. </w:t>
      </w:r>
    </w:p>
    <w:p>
      <w:pPr>
        <w:pStyle w:val="TextBody"/>
        <w:bidi w:val="0"/>
        <w:spacing w:before="120" w:after="283"/>
        <w:jc w:val="left"/>
        <w:rPr>
          <w:rFonts w:ascii="Times New Roman" w:hAnsi="Times New Roman"/>
          <w:sz w:val="20"/>
        </w:rPr>
      </w:pPr>
      <w:r>
        <w:rPr>
          <w:rFonts w:ascii="Times New Roman" w:hAnsi="Times New Roman"/>
          <w:b/>
          <w:i/>
          <w:color w:val="000000"/>
          <w:sz w:val="20"/>
        </w:rPr>
        <w:t>Summary Statement of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cash equivalents and restricted cash for each of the periods presented below (in thousands): </w:t>
      </w:r>
    </w:p>
    <w:p>
      <w:pPr>
        <w:pStyle w:val="TextBody"/>
        <w:bidi w:val="0"/>
        <w:jc w:val="left"/>
        <w:rPr/>
      </w:pPr>
      <w:r>
        <w:rPr/>
        <w:t> </w:t>
      </w:r>
    </w:p>
    <w:tbl>
      <w:tblPr>
        <w:tblW w:w="9783" w:type="dxa"/>
        <w:jc w:val="left"/>
        <w:tblInd w:w="0" w:type="dxa"/>
        <w:tblLayout w:type="fixed"/>
        <w:tblCellMar>
          <w:top w:w="28" w:type="dxa"/>
          <w:left w:w="28" w:type="dxa"/>
          <w:bottom w:w="28" w:type="dxa"/>
          <w:right w:w="28" w:type="dxa"/>
        </w:tblCellMar>
      </w:tblPr>
      <w:tblGrid>
        <w:gridCol w:w="5611"/>
        <w:gridCol w:w="146"/>
        <w:gridCol w:w="211"/>
        <w:gridCol w:w="736"/>
        <w:gridCol w:w="166"/>
        <w:gridCol w:w="146"/>
        <w:gridCol w:w="211"/>
        <w:gridCol w:w="841"/>
        <w:gridCol w:w="166"/>
        <w:gridCol w:w="146"/>
        <w:gridCol w:w="211"/>
        <w:gridCol w:w="781"/>
        <w:gridCol w:w="41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(96,592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64,986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$70.4 million for the year ended December 31, 2025 and consisted of a net loss of $61.8 million offset by increase in net assets of $3.7 million and non-cash adjustments of $4.9 million. The increase in net assets consisted primarily of a decrease in prepaid expenses and other current assets of $7.8 million, a decrease in other assets of $0.6 million, a decrease in accounts payable of $9.7 million, a decrease in accrued expenses and other current liabilities of $0.3 million and a decrease in operating lease liabilities of $2.2 million. Non-cash adjustments consisted primarily of a non-cash gain on the change in fair value of warrant liability of $19.9 million, stock-based compensation expense of $9.5 million, impairment of property and equipment of $2.2 million, operating lease expense of $1.8 million and depreciation expense of $1.4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$119.9 million for the year ended December 31, 2024 and consisted of a net loss of $138.4 million offset by increase in net assets of $5.1 million and non-cash adjustments of $23.7 million. The increase in net assets consisted primarily of an increase in prepaid expenses and other current assets of $7.7 million, a decrease in other assets of $4.9 million, an increase in accounts payable of $6.1 million, a decrease in accrued expenses and other current liabilities of $6.9 million and a decrease in operating lease liabilities of $1.5 million. Non-cash adjustments consisted primarily of stock-based compensation expense of $19.1 million, operating lease expense of $2.8 million and depreciation expense of $1.7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$96.6 million for the year ended December 31, 2023. Cash used in operating activities in 2023 was mainly the result of the net loss of $117.3 million and decrease in operating lease liabilities of $2.2 million. This was offset by an increase in accounts payable and accrued liabilities of $4.4 million and stock-based compensation expense of $14.1 million.</w:t>
      </w:r>
    </w:p>
    <w:p>
      <w:pPr>
        <w:pStyle w:val="TextBody"/>
        <w:bidi w:val="0"/>
        <w:spacing w:before="120" w:after="283"/>
        <w:jc w:val="left"/>
        <w:rPr>
          <w:rFonts w:ascii="Times New Roman" w:hAnsi="Times New Roman"/>
          <w:sz w:val="20"/>
        </w:rPr>
      </w:pPr>
      <w:r>
        <w:rPr>
          <w:rFonts w:ascii="Times New Roman" w:hAnsi="Times New Roman"/>
          <w:i/>
          <w:color w:val="000000"/>
          <w:sz w:val="20"/>
        </w:rPr>
        <w:t>Net Cash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was $0.0 million for the year ended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$0.4 million for the year ended December 31, 2024. Cash used in investing activities was mainly related to purchases of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$2.2 million for the year ended December 31, 2023. Cash used in investing activities was mainly related to purchases of property and equipment offset by maturities of investments.</w:t>
      </w:r>
    </w:p>
    <w:p>
      <w:pPr>
        <w:pStyle w:val="TextBody"/>
        <w:bidi w:val="0"/>
        <w:spacing w:before="120" w:after="283"/>
        <w:jc w:val="left"/>
        <w:rPr>
          <w:rFonts w:ascii="Times New Roman" w:hAnsi="Times New Roman"/>
          <w:sz w:val="20"/>
        </w:rPr>
      </w:pPr>
      <w:r>
        <w:rPr>
          <w:rFonts w:ascii="Times New Roman" w:hAnsi="Times New Roman"/>
          <w:i/>
          <w:color w:val="000000"/>
          <w:sz w:val="20"/>
        </w:rPr>
        <w:t>Net 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$67.9 million for the year ended December 31, 2025. Cash provided by financing activities was mainly related to net proceeds of $67.7 million from issuance of common stock and pre-funded warrants under the public offerings and the 2022 ATM Program, and $0.2 million of proceeds from purchases under the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$1.7 million for the year ended December 31, 2024. Cash provided by financing activities was mainly related to net proceeds received from stock option exercises and purchases under the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$163.8 million for the year ended December 31, 2023. Cash provided by financing activities was mainly related to net proceeds received from the issuance of common stock from our public offering.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statements have been prepared in accordance with U.S. generally accepted accounting principles (GAAP). The preparation of these financial statements requires us to make estimates and assumptions that affect the reported amounts of assets and liabilities and the disclosure of contingent assets and liabilities at the date of the financial statements, as well as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 </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costs are expensed as incurred. Research and development expenses consist primarily of costs of research, preclinical studies, clinical trials, and manufacturing. Personnel costs of our research and product development employees is also a major component of research and development expenses which also includes non-personnel costs such as fees payable to third parties for clinical and preclinical studies and research services, laboratory supplies, equipment maintenance, and other consulting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accruals for estimated costs of research, preclinical studies, clinical trials, and manufacturing, which are significant components of research and development expenses. A substantial portion of our ongoing research and development activities is conducted by third-party service providers, CROs and CMOs. Our contracts with the CMOs generally include fees such as initiation fees, reservation fees, costs related to animal studies and safety tests, verification run costs, materials and reagents expenses, taxes, etc. Our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us under such contracts. We accrue the costs incurred under agreements with these third parties based on estimates of actual work completed in accordance with the respective agreements. We determine the estimated costs through discussions with internal personnel and external service providers as to the progress, or stage of completion or actual timeline (start-date and end-date) of the services and the agreed-upon fees to be paid for such services. In the event we make advance payments, the payments are recorded as a prepaid expense and recognized as the services are performed.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Warrant Liability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account for our warrants in accordance with ASC 815, Derivatives and Hedging - Contracts in Entity's Own Equity, as either liabilities or as equity instruments depending on the specific terms of the warrant agreement. The common warrants issued in connection with the June and October 2025 underwritten public offerings (see Note 5) are classified as liabilities and are recorded at fair value. The warrants are subject to re-measurement at each settlement date and at each balance sheet date and any change in fair value is recognized in Change in fair value of common warrant liability in the statements of operations and comprehensive loss. We estimate the fair value of the warrant liability using a Black-Scholes pricing model. We are required to make assumptions and estimates in determining an appropriate expected term, risk-free interest rate, volatility factor, dividend yield, and the fair value of common stock. Any significant adjustments to the unobservable inputs would have a direct impact on the fair value of the warrant liability.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7a_quantitative_qualitative_disclos"/>
      <w:bookmarkEnd w:id="15"/>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objectives of our investment activities are to ensure liquidity and to preserve capital. We are exposed to market risks in the ordinary course of our business. These risks primarily include interest rate sensitivities. There was no material foreign currency risk for the year ended December 31, 2025. We held $56.2 million in cash, cash equivalents, and restricted cash as of December 31, 2025. Cash equivalents consisted of money market funds. Restricted cash consisted of two stand-by letter of credits issued to our landlord in connection with the laboratory leases. We held no interest-bearing liabilities as of December 31, 2025. Historical fluctuations in interest rates have not been significant for us. Due to the short-term maturities of our cash equivalents, an immediate 10% relative change in interest rates would not have a material effect on the fair market value of our cash equivalents.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Effect of Inflation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Inflation generally affects us by increasing our cost of labor and research and development costs. Although we do not believe that inflation has had a material impact on our financial position or results of operations to date, we may experience some effect in the future due to an impact on the costs to conduct research and development, labor costs we incur to attract and retain qualified personnel, and other operational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color w:val="000000"/>
          <w:sz w:val="20"/>
        </w:rPr>
      </w:pPr>
      <w:bookmarkStart w:id="16" w:name="item_8_financial_statements_supplementar"/>
      <w:bookmarkEnd w:id="16"/>
      <w:r>
        <w:rPr>
          <w:rFonts w:ascii="Times New Roman" w:hAnsi="Times New Roman"/>
          <w:color w:val="000000"/>
          <w:sz w:val="20"/>
        </w:rPr>
        <w:t>Item 8. Financial Statements and Supplementary Data</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jc w:val="left"/>
        <w:rPr/>
      </w:pPr>
      <w:r>
        <w:rPr/>
        <w:t> </w:t>
      </w:r>
    </w:p>
    <w:tbl>
      <w:tblPr>
        <w:tblW w:w="6962" w:type="dxa"/>
        <w:jc w:val="left"/>
        <w:tblInd w:w="0" w:type="dxa"/>
        <w:tblLayout w:type="fixed"/>
        <w:tblCellMar>
          <w:top w:w="28" w:type="dxa"/>
          <w:left w:w="28" w:type="dxa"/>
          <w:bottom w:w="28" w:type="dxa"/>
          <w:right w:w="28" w:type="dxa"/>
        </w:tblCellMar>
      </w:tblPr>
      <w:tblGrid>
        <w:gridCol w:w="6496"/>
        <w:gridCol w:w="466"/>
      </w:tblGrid>
      <w:tr>
        <w:trPr/>
        <w:tc>
          <w:tcPr>
            <w:tcW w:w="64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No. 34)</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Balance Sheets</w:t>
              </w:r>
            </w:hyperlink>
            <w:r>
              <w:rPr>
                <w:rFonts w:ascii="Times New Roman" w:hAnsi="Times New Roman"/>
                <w:color w:val="0000FF"/>
                <w:sz w:val="20"/>
              </w:rPr>
              <w:t xml:space="preserve">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perations">
              <w:r>
                <w:rPr>
                  <w:rStyle w:val="InternetLink"/>
                  <w:rFonts w:ascii="Times New Roman" w:hAnsi="Times New Roman"/>
                  <w:color w:val="0000FF"/>
                  <w:sz w:val="20"/>
                  <w:u w:val="single"/>
                </w:rPr>
                <w:t>Statements of Operations and Comprehensive Loss</w:t>
              </w:r>
            </w:hyperlink>
            <w:r>
              <w:rPr>
                <w:rFonts w:ascii="Times New Roman" w:hAnsi="Times New Roman"/>
                <w:color w:val="0000FF"/>
                <w:sz w:val="20"/>
              </w:rPr>
              <w:t xml:space="preserve">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onvertible_preferred_stock_s">
              <w:r>
                <w:rPr>
                  <w:rStyle w:val="InternetLink"/>
                  <w:rFonts w:ascii="Times New Roman" w:hAnsi="Times New Roman"/>
                  <w:color w:val="0000FF"/>
                  <w:sz w:val="20"/>
                  <w:u w:val="single"/>
                </w:rPr>
                <w:t>Statements of Stockholders’ Equity (Deficit)</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Statements of Cash Flows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Financial Statements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7" w:name="report_independent_registered_public_acc"/>
      <w:bookmarkEnd w:id="17"/>
      <w:r>
        <w:rPr>
          <w:rFonts w:ascii="Times New Roman" w:hAnsi="Times New Roman"/>
          <w:b/>
          <w:color w:val="000000"/>
          <w:sz w:val="20"/>
        </w:rPr>
        <w:t>REPORT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stockholders and the Board of Directors of Biomea Fusion, Inc.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audited the accompanying balance sheets of Biomea Fusion, Inc. (the “Company”) as of December 31, 2025 and 2024, the related statements of operations and comprehensive loss, stockholders’ equity (deficit),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Going Concern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financial statements have been prepared assuming that the Company will continue as a going concern. As discussed in Note 1 to the financial statements, the Company has incurred net operating losses and negative cash flows from operations that raise substantial doubt about its ability to continue as a going concern. Management’s plans in regard to these matters are also described in Note 1. The financial statements do not include any adjustments that might result from the outcome of this uncertainty.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 Francisco, CA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March 24,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served as the Company's auditor since 2020.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Biomea Fusion, Inc.</w:t>
      </w:r>
    </w:p>
    <w:p>
      <w:pPr>
        <w:pStyle w:val="TextBody"/>
        <w:bidi w:val="0"/>
        <w:jc w:val="center"/>
        <w:rPr>
          <w:rFonts w:ascii="Times New Roman" w:hAnsi="Times New Roman"/>
          <w:sz w:val="20"/>
        </w:rPr>
      </w:pPr>
      <w:bookmarkStart w:id="18" w:name="balance_sheets"/>
      <w:bookmarkEnd w:id="18"/>
      <w:r>
        <w:rPr>
          <w:rFonts w:ascii="Times New Roman" w:hAnsi="Times New Roman"/>
          <w:b/>
          <w:color w:val="000000"/>
          <w:sz w:val="20"/>
        </w:rPr>
        <w:t>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left"/>
        <w:rPr/>
      </w:pPr>
      <w:r>
        <w:rPr/>
        <w:t> </w:t>
      </w:r>
    </w:p>
    <w:tbl>
      <w:tblPr>
        <w:tblW w:w="9124" w:type="dxa"/>
        <w:jc w:val="left"/>
        <w:tblInd w:w="0" w:type="dxa"/>
        <w:tblLayout w:type="fixed"/>
        <w:tblCellMar>
          <w:top w:w="28" w:type="dxa"/>
          <w:left w:w="28" w:type="dxa"/>
          <w:bottom w:w="28" w:type="dxa"/>
          <w:right w:w="28" w:type="dxa"/>
        </w:tblCellMar>
      </w:tblPr>
      <w:tblGrid>
        <w:gridCol w:w="5971"/>
        <w:gridCol w:w="146"/>
        <w:gridCol w:w="211"/>
        <w:gridCol w:w="841"/>
        <w:gridCol w:w="166"/>
        <w:gridCol w:w="146"/>
        <w:gridCol w:w="211"/>
        <w:gridCol w:w="841"/>
        <w:gridCol w:w="591"/>
      </w:tblGrid>
      <w:tr>
        <w:trPr/>
        <w:tc>
          <w:tcPr>
            <w:tcW w:w="5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68,332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79,938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Preferred stock, $0.0001 par value; 10,000,000 shares authorized as of </w:t>
              <w:br/>
              <w:t xml:space="preserve">   December 31, 2025 and December 31, 2024; 0 shares issued and </w:t>
              <w:br/>
              <w:t>   outstanding as of December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$0.0001 par value; 300,000,000 shares authorized as of </w:t>
              <w:br/>
              <w:t xml:space="preserve">   December 31, 2025 and December 31, 2024; 72,299,440 and </w:t>
              <w:br/>
              <w:t xml:space="preserve">   36,310,713 shares issued and outstanding as of December 31, 2025 </w:t>
              <w:br/>
              <w:t>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(387,251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79,938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Biomea Fusion, Inc.</w:t>
      </w:r>
    </w:p>
    <w:p>
      <w:pPr>
        <w:pStyle w:val="TextBody"/>
        <w:bidi w:val="0"/>
        <w:jc w:val="center"/>
        <w:rPr>
          <w:rFonts w:ascii="Times New Roman" w:hAnsi="Times New Roman"/>
          <w:b/>
          <w:color w:val="000000"/>
          <w:sz w:val="20"/>
        </w:rPr>
      </w:pPr>
      <w:bookmarkStart w:id="19" w:name="statements_operations"/>
      <w:bookmarkEnd w:id="19"/>
      <w:r>
        <w:rPr>
          <w:rFonts w:ascii="Times New Roman" w:hAnsi="Times New Roman"/>
          <w:b/>
          <w:color w:val="000000"/>
          <w:sz w:val="20"/>
        </w:rPr>
        <w:t>Statements of Operations and Comprehensive Loss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03"/>
        <w:gridCol w:w="146"/>
        <w:gridCol w:w="211"/>
        <w:gridCol w:w="1036"/>
        <w:gridCol w:w="166"/>
        <w:gridCol w:w="146"/>
        <w:gridCol w:w="211"/>
        <w:gridCol w:w="1036"/>
        <w:gridCol w:w="166"/>
        <w:gridCol w:w="146"/>
        <w:gridCol w:w="211"/>
        <w:gridCol w:w="1036"/>
        <w:gridCol w:w="591"/>
      </w:tblGrid>
      <w:tr>
        <w:trPr/>
        <w:tc>
          <w:tcPr>
            <w:tcW w:w="5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1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common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(117,255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(117,254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number of common shares used to compute </w:t>
              <w:br/>
              <w:t>   basic and diluted 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52,228,068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36,105,671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34,106,923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Biomea Fusion, Inc.</w:t>
      </w:r>
    </w:p>
    <w:p>
      <w:pPr>
        <w:pStyle w:val="TextBody"/>
        <w:bidi w:val="0"/>
        <w:jc w:val="center"/>
        <w:rPr>
          <w:rFonts w:ascii="Times New Roman" w:hAnsi="Times New Roman"/>
          <w:sz w:val="20"/>
        </w:rPr>
      </w:pPr>
      <w:bookmarkStart w:id="20" w:name="statements_convertible_preferred_stock_s"/>
      <w:bookmarkEnd w:id="20"/>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Stockholders’ Equity (Deficit)</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42"/>
        <w:gridCol w:w="146"/>
        <w:gridCol w:w="146"/>
        <w:gridCol w:w="916"/>
        <w:gridCol w:w="146"/>
        <w:gridCol w:w="146"/>
        <w:gridCol w:w="249"/>
        <w:gridCol w:w="442"/>
        <w:gridCol w:w="146"/>
        <w:gridCol w:w="146"/>
        <w:gridCol w:w="196"/>
        <w:gridCol w:w="693"/>
        <w:gridCol w:w="146"/>
        <w:gridCol w:w="146"/>
        <w:gridCol w:w="459"/>
        <w:gridCol w:w="813"/>
        <w:gridCol w:w="166"/>
        <w:gridCol w:w="146"/>
        <w:gridCol w:w="217"/>
        <w:gridCol w:w="834"/>
        <w:gridCol w:w="166"/>
        <w:gridCol w:w="146"/>
        <w:gridCol w:w="218"/>
        <w:gridCol w:w="840"/>
        <w:gridCol w:w="394"/>
      </w:tblGrid>
      <w:tr>
        <w:trPr/>
        <w:tc>
          <w:tcPr>
            <w:tcW w:w="2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 xml:space="preserve">Additional </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br/>
              <w:t>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 (Deficit)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29,561,554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240,107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(131,570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108,539</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Issuance of common stock </w:t>
              <w:br/>
              <w:t>   from public offering,</w:t>
              <w:br/>
              <w:t>   net of issuance costs of $10,697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161,803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Purchases under employee </w:t>
              <w:br/>
              <w:t>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Unrealized gain on </w:t>
              <w:br/>
              <w:t>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(117,255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35,866,610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418,058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(248,825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169,237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Purchases under employee </w:t>
              <w:br/>
              <w:t>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19,094</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36,310,713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438,820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(387,251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51,573</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Issuances of common stock under at the market equity offering program, net of issuance costs of $134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2,271,122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4,908</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and pre-funded warrants under the public offerings, net of issuance costs of $4,924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32,026,383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Purchases under employee </w:t>
              <w:br/>
              <w:t>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for pre-funded warrant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1,549,860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(61,797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72,299,440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478,593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(449,048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29,552</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1"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Biomea Fusion, Inc.</w:t>
      </w:r>
    </w:p>
    <w:p>
      <w:pPr>
        <w:pStyle w:val="TextBody"/>
        <w:bidi w:val="0"/>
        <w:jc w:val="center"/>
        <w:rPr>
          <w:rFonts w:ascii="Times New Roman" w:hAnsi="Times New Roman"/>
          <w:sz w:val="20"/>
        </w:rPr>
      </w:pPr>
      <w:bookmarkStart w:id="21" w:name="statements_cash_flows"/>
      <w:bookmarkEnd w:id="21"/>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73"/>
        <w:gridCol w:w="146"/>
        <w:gridCol w:w="196"/>
        <w:gridCol w:w="661"/>
        <w:gridCol w:w="166"/>
        <w:gridCol w:w="146"/>
        <w:gridCol w:w="196"/>
        <w:gridCol w:w="751"/>
        <w:gridCol w:w="166"/>
        <w:gridCol w:w="146"/>
        <w:gridCol w:w="196"/>
        <w:gridCol w:w="751"/>
        <w:gridCol w:w="411"/>
      </w:tblGrid>
      <w:tr>
        <w:trPr/>
        <w:tc>
          <w:tcPr>
            <w:tcW w:w="6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amortization of premiums and accretion of discounts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(96,592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under at the market equity offering program,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common warrants and pre-funded warrants,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Proceeds from stock options exercised and purchases under the </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163,798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177,236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financing and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of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Acquisition of property and equipment in accounts payable and </w:t>
              <w:br/>
              <w:t>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Remeasurement of operating lease right-of-use assets and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176,866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177,236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Biomea Fusion, Inc.</w:t>
      </w:r>
    </w:p>
    <w:p>
      <w:pPr>
        <w:pStyle w:val="TextBody"/>
        <w:bidi w:val="0"/>
        <w:jc w:val="center"/>
        <w:rPr>
          <w:rFonts w:ascii="Times New Roman" w:hAnsi="Times New Roman"/>
          <w:b/>
          <w:color w:val="000000"/>
          <w:sz w:val="20"/>
        </w:rPr>
      </w:pPr>
      <w:bookmarkStart w:id="22" w:name="notes_to_financial_statements"/>
      <w:bookmarkEnd w:id="22"/>
      <w:r>
        <w:rPr>
          <w:rFonts w:ascii="Times New Roman" w:hAnsi="Times New Roman"/>
          <w:b/>
          <w:color w:val="000000"/>
          <w:sz w:val="20"/>
        </w:rPr>
        <w:t>Notes to Financial Statements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Note 1. Organization</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Organization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Biomea Fusion, Inc., (the Company), was established in the state of Delaware in August 2017 as Biomea Fusion, LLC. In December 2020, all outstanding membership interests in Biomea Fusion, LLC were converted into equity interests in the Company. The capitalization information included in these financial statements is consistently presented as if it is that of Biomea Fusion, Inc., even during the prior period when investors held their equity interests in Biomea Fusion, LLC.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was founded with the goal of creating targeted treatments built through expertise in chemistry and a deep understanding of metabolic biology. The Company is a clinical-stage diabetes and obesity medicines company focused on the discovery and development of oral, small molecule drugs to treat and improve the lives of patients with diabetes, obesity and other metabolic diseases.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accompanying financial statements have been prepared assuming the Company will continue as a going concern, which assumes the realization of assets and satisfaction of liabilities and commitments in the normal course of business. The Company believes that based on its current operating plan, its cash, cash equivalents and restricted cash will not enable it to fund its operating expenses and capital expenditure requirements for at least twelve months following the issuance date of the financial statements. The Company has incurred net operating losses and negative cash flows from operations since its inception and had an accumulated deficit of $449.0 million at December 31, 2025. As of December 31, 2025, the Company had cash, cash equivalents, and restricted cash of $56.2 million. The Company’s ability to continue as a going concern will require the Company to raise additional capital to fund the Company's operations through public or private equity offering, debt financings, collaborations and licensing arrangements or other sources. There can be no assurance that additional financing will be available to the Company or that such financing, if available, will be available on terms acceptable to the Company. Accordingly, there is substantial doubt about the Company’s ability to continue as a going concern.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historically financed its operations primarily through the sale of convertible preferred stock and common stock and the issuance of unsecured promissory notes. To date, none of the Company’s product candidates have been approved for sale, and the Company has not generated any revenue since inception. Management expects operating losses to continue and increase for the foreseeable future, as the Company continues clinical development activities for its lead product candidate and advances the preclinical and clinical development of other product candidates. The Company’s prospects are subject to risks, expenses and uncertainties frequently encountered by companies in the biotechnology industry as discussed above. There can be no assurance that in the event the Company requires additional financing, such financing will be available on terms which are favorable or at all. Failure to generate sufficient cash flows from operations, raise additional capital or reduce certain discretionary spending would have a material adverse effect on the Company’s ability to achieve its intended business objectives.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financial statements have been prepared in accordance with accounting principles generally accepted in the United States of America (U.S. GAAP).</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the financial statements and accompanying notes. On an ongoing basis, the Company evaluates its estimates, including, but not limited to, those related to clinical and preclinical accruals, manufacturing accruals, fair value of common stock, stock-based compensation, warrant liability, operating lease right-of-use (ROU) assets and liabilities and income taxes. The Company bases its estimates on its historical experience and also on assumptions that it believes are reasonable; however, actual results could significantly differ from those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operates and manages its business as one reportable and operating segment, which is the business of developing small molecule drugs to treat patients with diabetes and obesity. The Company’s interim chief executive officer, who is the chief operating decision maker, reviews financial information on an aggregate basis for allocating resources and evaluating financial performance. All long-lived assets are maintained in, and all losses are attributable to, the United States of America.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Concentration of Credit Risk</w:t>
      </w:r>
    </w:p>
    <w:p>
      <w:pPr>
        <w:pStyle w:val="TextBody"/>
        <w:bidi w:val="0"/>
        <w:spacing w:before="0" w:after="120"/>
        <w:jc w:val="left"/>
        <w:rPr>
          <w:rFonts w:ascii="Times New Roman" w:hAnsi="Times New Roman"/>
          <w:sz w:val="20"/>
        </w:rPr>
      </w:pPr>
      <w:r>
        <w:rPr>
          <w:rFonts w:ascii="Times New Roman" w:hAnsi="Times New Roman"/>
          <w:color w:val="000000"/>
          <w:sz w:val="20"/>
        </w:rPr>
        <w:t>Financial instruments that potentially subject the Company to a concentration of credit risk, consist primarily of cash, cash equivalents and restricted cash. The Company maintains bank deposits in federally insured financial institutions and these deposits may exceed federally insured limits. The Company invests in money market funds, U.S. Treasury securities, U.S. government agency securities, corporate notes, commercial paper, and asset backed securities. The Company is exposed to credit risk in the event of default by the financial institutions holding its cash and cash equivalents and issuers of investments to the extent recorded in the balance sheet. The Company’s investment policy limits investments to money market funds, certain types of debt securities issued by the U.S. Government and its agencies, corporate notes and commercial paper, and places restrictions on the credit ratings, maturities and concentration by type and issuer. The Company has not experienced any losses on its deposits of cash, cash equivalents and restricted cash</w:t>
      </w:r>
      <w:r>
        <w:rPr>
          <w:rFonts w:ascii="Times New Roman" w:hAnsi="Times New Roman"/>
          <w:i/>
          <w:color w:val="000000"/>
          <w:sz w:val="20"/>
        </w:rPr>
        <w: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Other Risks and Uncertainties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preclinical studies, clinical trials and achievement of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 source suppliers and changes in the Company's operating expenses as a result of these uncertainties and other factors, such as inflation. The Company’s product candidates require approvals from the U.S. Food and Drug Administration and comparable foreign regulatory agencies prior to commercial sales in their respective jurisdictions. There can be no assurance that any product candidates will receive the necessary approvals. If the Company is denied approval, approval is delayed or the Company is unable to maintain approval for any product candidate, it could have a materially adverse impact on the Company.</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Cash, Cash Equivalents and Restricted Cash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considers all highly liquid investments with original maturities of three months or less from the date of purchase to be cash and cash equivalents. Cash equivalents consist of amounts invested in money market accounts and are stated at fair value. Restricted cash consists of two stand-by letters of credit issued to the Company’s landlord in connection with two of the Company’s leases.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Investments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Company adopted Accounting Standards Update (“ASU”) 2016-13, </w:t>
      </w:r>
      <w:r>
        <w:rPr>
          <w:rFonts w:ascii="Times New Roman" w:hAnsi="Times New Roman"/>
          <w:i/>
          <w:color w:val="000000"/>
          <w:sz w:val="20"/>
        </w:rPr>
        <w:t xml:space="preserve">Measurement of Credit Losses on Financial Instruments, </w:t>
      </w:r>
      <w:r>
        <w:rPr>
          <w:rFonts w:ascii="Times New Roman" w:hAnsi="Times New Roman"/>
          <w:color w:val="000000"/>
          <w:sz w:val="20"/>
        </w:rPr>
        <w:t xml:space="preserve">on January 1, 2023. The Company’s investments have been classified as available-for-sale and carried at estimated fair values and reported in cash equivalents, short-term investments, or long-term investments. Management determines the appropriate classification of the investments at the time they are acquired and evaluates the appropriateness of such classifications at each balance sheet date. Investments with contractual maturities greater than 12 months are considered long-term investments.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available-for-sale debt securities in an unrealized loss position, the Company first assesses whether it intends to sell, or whether it is more likely than not that it will be required to sell the security before the recovery of its amortized cost basis. If either of the criteria regarding intent or requirement to sell is met, the security’s amortized cost basis is written down to fair value and recognized in interest and other income, net in the statement of operations and comprehensive loss. If neither criteria is met, the Company evaluates whether the decline in fair value is related to credit-related factors or other factors. In making this assessment, management considers the extent to which fair value is less than amortized cost, any changes to the rating of the security by a rating agency, and adverse conditions specifically related to the security, among other factors. Credit-related impairment losses, limited by the amount that the fair value is less than the amortized cost basis, are recorded through an allowance for credit losses in interest and other income,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Any unrealized losses from declines in fair value below the amortized cost basis as a result of non-credit factors are recognized in accumulated other comprehensive loss, net of tax as a separate component of stockholders’ equity, along with unrealized gains. Realized gains and losses and declines in fair value, if any, on available-for-sale securities are included in interest and other income, net in the statement operations and comprehensive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purposes of identifying and measuring credit-related impairments, the Company’s policy is to exclude applicable accrued interest from both the fair value and amortized cost basis of the related security. The Company has elected to write-off uncollectible accrued interest receivable balances in a timely manner, which is defined by the Company as when interest due becomes 90 days delinquent. The accrued interest write-off will be recorded by reversing interest income. Accrued interest receivable is recorded in other current assets on the balance sheets. </w:t>
      </w:r>
    </w:p>
    <w:p>
      <w:pPr>
        <w:pStyle w:val="TextBody"/>
        <w:bidi w:val="0"/>
        <w:spacing w:before="0" w:after="120"/>
        <w:jc w:val="left"/>
        <w:rPr>
          <w:rFonts w:ascii="Times New Roman" w:hAnsi="Times New Roman"/>
          <w:sz w:val="20"/>
        </w:rPr>
      </w:pPr>
      <w:r>
        <w:rPr>
          <w:rFonts w:ascii="Times New Roman" w:hAnsi="Times New Roman"/>
          <w:b/>
          <w:color w:val="000000"/>
          <w:sz w:val="20"/>
        </w:rPr>
        <w:t>Property and Equipment, Net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Property and equipment are recorded at cost net of accumulated depreciation. Property and equipment are depreciated using the straight-line method over the estimated useful lives of the assets. The useful lives of property and equipment are as follows:</w:t>
      </w:r>
    </w:p>
    <w:tbl>
      <w:tblPr>
        <w:tblW w:w="6722" w:type="dxa"/>
        <w:jc w:val="left"/>
        <w:tblInd w:w="0" w:type="dxa"/>
        <w:tblLayout w:type="fixed"/>
        <w:tblCellMar>
          <w:top w:w="28" w:type="dxa"/>
          <w:left w:w="28" w:type="dxa"/>
          <w:bottom w:w="28" w:type="dxa"/>
          <w:right w:w="28" w:type="dxa"/>
        </w:tblCellMar>
      </w:tblPr>
      <w:tblGrid>
        <w:gridCol w:w="2161"/>
        <w:gridCol w:w="4561"/>
      </w:tblGrid>
      <w:tr>
        <w:trPr/>
        <w:tc>
          <w:tcPr>
            <w:tcW w:w="2161"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years</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years</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Shorter of remaining lease term or estimated useful life</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Upon retirement or sale of the assets, the cost and related accumulated depreciation are removed from the balance sheet and the resulting gain or loss is recorded to the statements of operations. Repairs and maintenance are expensed as incurred. </w:t>
      </w:r>
    </w:p>
    <w:p>
      <w:pPr>
        <w:pStyle w:val="TextBody"/>
        <w:bidi w:val="0"/>
        <w:spacing w:before="0" w:after="120"/>
        <w:jc w:val="left"/>
        <w:rPr>
          <w:rFonts w:ascii="Times New Roman" w:hAnsi="Times New Roman"/>
          <w:sz w:val="20"/>
        </w:rPr>
      </w:pPr>
      <w:r>
        <w:rPr>
          <w:rFonts w:ascii="Times New Roman" w:hAnsi="Times New Roman"/>
          <w:b/>
          <w:color w:val="000000"/>
          <w:sz w:val="20"/>
        </w:rPr>
        <w:t>Impairment of Long-Lived Assets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Long-lived assets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the carrying amount of an asset exceeds its estimated future cash flows, an impairment charge is recognized by the amount by which the carrying amount of the asset exceeds the fair value of the asset. In conjunction with the Company's ongoing efforts to reduce operating costs, the Company ceased use of its laboratory facility, which triggered an impairment analysis. In connection with the impairment assessment, the Company recorded an impairment charge of $2.2 million, which is included in impairment of long-lived assets in the statements of operations and comprehensive loss for the year ended December 31, 2025 (see Note 4).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Research and Development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expenses research and development costs as they are incurred. Research and development expenses consist primarily of: (i) personnel-related expenses, including salaries, benefits and stock-based compensation expense, for personnel in the Company’s research and development functions; (ii) fees paid to third parties such as contractors, consultants and contract research organizations (CROs), for animal studies and other costs related to preclinical and clinical testing; (iii) costs related to acquiring and manufacturing research and clinical trial materials, including under agreements with third parties such as contract manufacturing organizations (CMOs), and other vendors; (iv) costs related to the preparation of regulatory submissions; (v) expenses related to laboratory supplies and services; and (vi) depreciation of equipment and facilities expenses.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Accrued Research and Development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records accruals for estimated costs of research, preclinical studies, clinical trials, and manufacturing development, which are significant components of research and development expenses. A substantial portion of the Company’s ongoing research and development activities is conducted by third-party service providers, CROs and CMOs. The Company’s contracts with the CROs and CMOs generally include fees such as initiation fees, reservation fees, costs related to animal studies and safety tests, verification run costs, materials and reagents expenses, investigator fees, taxes, etc.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and actual timeline (start-date and end-date) of the services and the agreed-upon fees to be paid for such services. Through December 31, 2025, there have been no material differences from the Company’s estimated accrued research and development expenses to actual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accounts for stock-based compensation by measuring and recognizing compensation expense for all share-based awards made to employees, non-employees and directors based on estimated grant-date fair values. The Company uses the straight-line method to allocate compensation cost to reporting periods over the requisite service period, which is generally the vesting period, and estimates the fair value of share-based awards to employees, non-employees and directors using the Black-Scholes option-pricing model. The Company uses the “simplified” method to estimate the expected term. The Company utilizes this method as its stock options qualify as "plain-vanilla" options. The Company accounts for forfeitures as they occur. The fair value of restricted stock units is based on grant-date fair value. The fair value of each purchase under the employee stock purchase plan (ESPP) is estimated at the beginning of the offering period using the Black-Scholes option pricing model and recorded as expense over the service period using the straight-line method.</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Pre-funded Warrants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issued pre-funded warrants in connection with the completed underwritten public offerings. The Company accounts for the pre-funded warrants as a freestanding equity-linked financial instrument that met the criteria for equity classification in accordance with ASC 815, Derivatives and Hedging. Accordingly, the Company recorded the pre-funded warrants as a component of stockholders' equity within additional paid-in capital (see Note 5).</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Basic net loss per share is calculated by dividing the net loss by the weighted-average number of shares of common stock outstanding during the period, without consideration for common stock equivalents. Diluted net loss per share is the same as basic net loss per share, since the effects of potentially dilutive securities are antidilutive given the net loss for each period presented.</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determines if an arrangement is a lease at inception in accordance with Accounting Standard Codification 842, “Leases” (ASC 842). As of December 31, 2025, the Company's lease population consisted of real estate leases and the Company did not have finance leases.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Operating leases are included in operating lease right-of-use (ROU) assets, current operating lease liabilities and non-current operating lease liabilities on the Company’s balance sheet. ROU assets represent the Company’s right to use an underlying asset for the lease term and lease liabilities represent the Company’s obligation to make lease payments arising from the lease. Operating lease ROU assets and liabilities are recognized at the lease commencement date based on the present value of lease payments over the lease term. As most of the Company's leases do not provide an implicit rate, the Company uses its incremental borrowing rate based on the information available at commencement date in determining the present value of those lease payments. The Company determines the incremental borrowing rate based on an analysis of corporate bond yields with a credit rating similar to the Company. The determination of the Company’s incremental borrowing rate requires management judgment including the development of a synthetic credit rating and cost of debt as the Company currently does not carry any debt. The Company believes that the estimates used in determining the incremental borrowing rate are reasonable based upon current facts and circumstances. Applying different judgments to the same facts and circumstances could result in the estimated amounts to vary. The operating lease ROU assets also include adjustments for prepayments and accrued lease payments and exclude lease incentives. Lease incentives are recognized prospectively, on reimbursement, as reduction to the right-of-use asset and lease liabilities over the lease term. The Company’s lease terms may include options to extend or terminate the lease when it is reasonably certain that the Company will exercise such options. The Company reassesses the lease term when significant events or changes in circumstances within its control occur, such as strategic shifts or facility closures, that affect whether it is reasonably certain to exercise extension or termination options. Operating lease cost is recognized on a straight-line basis over the expected lease term. Variable lease costs represent payments that are dependent on usage, a rate or index. Variable lease cost primarily relates to common area maintenance charges. Lease agreements that include lease and non-lease components are accounted for as a single lease component. The Company has elected to apply the short-term lease exception for all lease agreements with a noncancelable term of less than 12 months.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began providing for income taxes under the asset and liability method in December 2020 upon conversion from a limited liability company into a corporation. Current income tax expense or benefit represents the amount of income taxes expected to be payable or refundable for the current year. Deferred income tax assets and liabilities are determined based on differences between the financial statement reporting and tax basis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the tax benefits will not be realized.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Company accounts for uncertain tax positions in accordance with ASC No. 740 </w:t>
      </w:r>
      <w:r>
        <w:rPr>
          <w:rFonts w:ascii="Times New Roman" w:hAnsi="Times New Roman"/>
          <w:i/>
          <w:color w:val="000000"/>
          <w:sz w:val="20"/>
        </w:rPr>
        <w:t>Income Taxes</w:t>
      </w:r>
      <w:r>
        <w:rPr>
          <w:rFonts w:ascii="Times New Roman" w:hAnsi="Times New Roman"/>
          <w:color w:val="000000"/>
          <w:sz w:val="20"/>
        </w:rPr>
        <w:t>. 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includes any penalties and interest expense related to income taxes as a component of income tax expense, as necessary.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July 2025, the One Big Beautiful Bill Act (“OBBBA”) was signed into law. The Company evaluated the potential impact of the OBBBA legislation on its financial position, results of operations, and cash flows. However, due to the Company’s valuation allowance position on its deferred tax assets, the OBBBA did not have a material impact on the Company’s effective tax rate or cash flow in the current fiscal year.</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Warrant Liability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accounts for its warrants in accordance with ASC 815, Derivatives and Hedging - Contracts in Entity's Own Equity, as either liabilities or as equity instruments depending on the specific terms of the warrant agreement. The common warrants issued in connection with the June and October 2025 underwritten public offerings (see Note 5) are classified as liabilities and are recorded at fair value. The warrants are subject to re-measurement at each settlement date and at each balance sheet date and any change in fair value is recognized in Change in fair value of common warrant liability in the statements of operations and comprehensive loss. The Company estimates the fair value of the warrant liability using a Black-Scholes pricing model. The Company is required to make assumptions and estimates in determining an appropriate expected term, risk-free interest rate, volatility factor, dividend yield, and the fair value of common stock. Any significant adjustments to the unobservable inputs would have a direct impact on the fair value of the warrant liability.</w:t>
      </w:r>
    </w:p>
    <w:p>
      <w:pPr>
        <w:pStyle w:val="TextBody"/>
        <w:bidi w:val="0"/>
        <w:spacing w:before="0" w:after="120"/>
        <w:jc w:val="left"/>
        <w:rPr>
          <w:rFonts w:ascii="Times New Roman" w:hAnsi="Times New Roman"/>
          <w:sz w:val="20"/>
        </w:rPr>
      </w:pPr>
      <w:r>
        <w:rPr>
          <w:rFonts w:ascii="Times New Roman" w:hAnsi="Times New Roman"/>
          <w:b/>
          <w:color w:val="000000"/>
          <w:sz w:val="20"/>
        </w:rPr>
        <w:t>Recent Accounting Pronouncements - Adopted</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December, 2023, the FASB issued Accounting Standards Update 2023-09, </w:t>
      </w:r>
      <w:r>
        <w:rPr>
          <w:rFonts w:ascii="Times New Roman" w:hAnsi="Times New Roman"/>
          <w:i/>
          <w:color w:val="000000"/>
          <w:sz w:val="20"/>
        </w:rPr>
        <w:t xml:space="preserve">Income Taxes - Improvements to Income Tax Disclosures </w:t>
      </w:r>
      <w:r>
        <w:rPr>
          <w:rFonts w:ascii="Times New Roman" w:hAnsi="Times New Roman"/>
          <w:color w:val="000000"/>
          <w:sz w:val="20"/>
        </w:rPr>
        <w:t>(ASU 2023-09) requiring enhancements and further transparency to certain income tax disclosures.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We adopted the standard and applied the disclosure requirements on a prospective basis effective for the year ended December 31, 2025. Adoption of ASU 2023-09 did not have a material impact to the Company’s financial statements.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Recent Accounting Pronouncements - Not Yet Adopted</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November 2024, the FASB issued Accounting Standards Update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(ASU 2024-03), which requires disaggregated information about certain income statement expense line items on an annual and interim basis. ASU 2024-03 is effective for annual periods beginning after December 15, 2026 and interim reporting periods within annual reporting periods beginning after December 15, 2027. Early adoption is permitted and can be applied prospectively or retrospectively. The Company is evaluating the impact of the adoption of this standard on the Company’s financial statements and related disclosures.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3. Fair Value Measurement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applies fair value accounting for all financial assets and liabilities.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Level 1—Observable inputs, such as quoted prices in active markets for identical assets or liabilities at the measurement date.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Level 3—Unobservable inputs which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carrying amount of cash and cash equivalents, prepaid expenses, accounts payable and accrued expenses are generally considered to be representative of their respective fair values because of the short-term nature of these instruments.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Assets and liabilities measured at fair value are classified in their entirety based on the lowest level of input that is significant to the fair value measurement. The Company classifies money market funds as Level 1 within the fair value hierarchy as the fair value is based on quoted price in active markets. The Company classifies its investments in corporate debt securities, commercial paper and asset backed securities as Level 2 within the fair value hierarchy as the fair value is based on other observable inputs, including broker or dealer quotations or alternative pricing sources. When quoted prices in active markets for identical assets or liabilities are not available, the Company relies on non-binding quotes from its investment managers, which are based on proprietary valuation models of independent pricing services. These models generally use inputs such as observable market data, quoted market prices for similar instruments, or historical pricing trends of a security relative to its peers. To validate the fair value determination provided by its investment managers, the Company reviews the pricing movement in the context of overall market trends and trading information from its investment managers. In addition, the Company assesses the inputs and methods used in determining the fair value in order to determine the classification of securities in the fair value hierarchy. The Company evaluates transfers between levels at the end of each reporting period and there were no transfers of financial instruments between the fair value measurement levels during the year ended December 31, 2025.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measures and reports certain financial instruments as assets and liabilities at fair value on a recurring basis. The following tables set forth the fair value of the Company’s financial assets, which consist of cash equivalents and marketable securities measured and recognized at fair value (in thousands):</w:t>
      </w:r>
    </w:p>
    <w:tbl>
      <w:tblPr>
        <w:tblW w:w="9681" w:type="dxa"/>
        <w:jc w:val="left"/>
        <w:tblInd w:w="0" w:type="dxa"/>
        <w:tblLayout w:type="fixed"/>
        <w:tblCellMar>
          <w:top w:w="28" w:type="dxa"/>
          <w:left w:w="28" w:type="dxa"/>
          <w:bottom w:w="28" w:type="dxa"/>
          <w:right w:w="28" w:type="dxa"/>
        </w:tblCellMar>
      </w:tblPr>
      <w:tblGrid>
        <w:gridCol w:w="3166"/>
        <w:gridCol w:w="146"/>
        <w:gridCol w:w="991"/>
        <w:gridCol w:w="146"/>
        <w:gridCol w:w="239"/>
        <w:gridCol w:w="767"/>
        <w:gridCol w:w="146"/>
        <w:gridCol w:w="146"/>
        <w:gridCol w:w="392"/>
        <w:gridCol w:w="644"/>
        <w:gridCol w:w="146"/>
        <w:gridCol w:w="146"/>
        <w:gridCol w:w="392"/>
        <w:gridCol w:w="644"/>
        <w:gridCol w:w="146"/>
        <w:gridCol w:w="146"/>
        <w:gridCol w:w="211"/>
        <w:gridCol w:w="676"/>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4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Fair </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Financial assets included in cash and </w:t>
              <w:br/>
              <w:t>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55,030</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tbl>
      <w:tblPr>
        <w:tblW w:w="9481" w:type="dxa"/>
        <w:jc w:val="left"/>
        <w:tblInd w:w="0" w:type="dxa"/>
        <w:tblLayout w:type="fixed"/>
        <w:tblCellMar>
          <w:top w:w="28" w:type="dxa"/>
          <w:left w:w="28" w:type="dxa"/>
          <w:bottom w:w="28" w:type="dxa"/>
          <w:right w:w="28" w:type="dxa"/>
        </w:tblCellMar>
      </w:tblPr>
      <w:tblGrid>
        <w:gridCol w:w="3166"/>
        <w:gridCol w:w="146"/>
        <w:gridCol w:w="991"/>
        <w:gridCol w:w="146"/>
        <w:gridCol w:w="239"/>
        <w:gridCol w:w="767"/>
        <w:gridCol w:w="146"/>
        <w:gridCol w:w="146"/>
        <w:gridCol w:w="392"/>
        <w:gridCol w:w="644"/>
        <w:gridCol w:w="146"/>
        <w:gridCol w:w="146"/>
        <w:gridCol w:w="392"/>
        <w:gridCol w:w="644"/>
        <w:gridCol w:w="146"/>
        <w:gridCol w:w="146"/>
        <w:gridCol w:w="211"/>
        <w:gridCol w:w="676"/>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4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Fair </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Financial assets included in cash and </w:t>
              <w:br/>
              <w:t>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56,031</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evaluates transfers between levels at the end of each reporting period. There were no transfers between Levels 1, 2 and 3 during the year ended December 31, 2025 and 2024. As of December 31, 2025 and December 31, 2024, there were no financial instruments classified as Level 2. There have been no realized gains or losses recognized for the periods presented. Unrealized gains and losses are included in accumulated other comprehensive loss within stockholders' equity on the balance sheet. There were no investments as of December 31, 2025 and December 31, 2024, as such, no allowance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credit losses has been recognized as of December 31, 2025. During the year ended December 31, 2025 and 2024, the Company did not recognize any impairment losses related to investments.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warrant liability in the table above consisted of the fair value of the Common Warrants (see Note 5) and was based on significant inputs not observable in the market, which represents a Level 3 measurement within the fair value hierarchy.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provides a full roll forward of the aggregate fair value of the warrant liability categorized within Level 3 inputs (in thousands):</w:t>
      </w:r>
    </w:p>
    <w:tbl>
      <w:tblPr>
        <w:tblW w:w="4878" w:type="dxa"/>
        <w:jc w:val="left"/>
        <w:tblInd w:w="0" w:type="dxa"/>
        <w:tblLayout w:type="fixed"/>
        <w:tblCellMar>
          <w:top w:w="28" w:type="dxa"/>
          <w:left w:w="28" w:type="dxa"/>
          <w:bottom w:w="28" w:type="dxa"/>
          <w:right w:w="28" w:type="dxa"/>
        </w:tblCellMar>
      </w:tblPr>
      <w:tblGrid>
        <w:gridCol w:w="2691"/>
        <w:gridCol w:w="146"/>
        <w:gridCol w:w="367"/>
        <w:gridCol w:w="1283"/>
        <w:gridCol w:w="391"/>
      </w:tblGrid>
      <w:tr>
        <w:trPr/>
        <w:tc>
          <w:tcPr>
            <w:tcW w:w="2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Note 4. Balance Sheet Components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Property and equipment, net consists of the following (in thousands):</w:t>
      </w:r>
    </w:p>
    <w:tbl>
      <w:tblPr>
        <w:tblW w:w="5814" w:type="dxa"/>
        <w:jc w:val="left"/>
        <w:tblInd w:w="0" w:type="dxa"/>
        <w:tblLayout w:type="fixed"/>
        <w:tblCellMar>
          <w:top w:w="28" w:type="dxa"/>
          <w:left w:w="28" w:type="dxa"/>
          <w:bottom w:w="28" w:type="dxa"/>
          <w:right w:w="28" w:type="dxa"/>
        </w:tblCellMar>
      </w:tblPr>
      <w:tblGrid>
        <w:gridCol w:w="3261"/>
        <w:gridCol w:w="146"/>
        <w:gridCol w:w="211"/>
        <w:gridCol w:w="631"/>
        <w:gridCol w:w="166"/>
        <w:gridCol w:w="146"/>
        <w:gridCol w:w="211"/>
        <w:gridCol w:w="631"/>
        <w:gridCol w:w="411"/>
      </w:tblGrid>
      <w:tr>
        <w:trPr/>
        <w:tc>
          <w:tcPr>
            <w:tcW w:w="3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Depreciation expense was approximately $1.4 million, $1.7 million, $1.5 million for the years ended December 31, 2025, 2024 and 2023,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2025, the Company ceased the use of its laboratory facility for research and development activities as part of its ongoing efforts to reduce operating costs. Following the cessation of laboratory activities, the leased facilities continued to be utilized for ongoing operating purposes. As a result, the Company evaluated the recoverability of its property and equipment previously used for research and development purposes and determined that the carrying value of certain assets was not recoverable and recorded a one-time impairment charge of $2.2 million which is included as an impairment of long-lived assets in the statements of operations and comprehensive loss for year ended December 31, 2025. The impairment charges primarily related to laboratory equipment and leasehold improvements.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fair value of the impaired laboratory equipment and leasehold improvements was determined based on estimated net realizable value, using a market approach based on prices for similar assets. Leasehold improvements were assigned no fair value as such assets have no realizable value to a third party. As a result, the carrying value of these assets was written down to their estimated fair value, resulting in the $2.2 million impairment charge.</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7164" w:type="dxa"/>
        <w:jc w:val="left"/>
        <w:tblInd w:w="0" w:type="dxa"/>
        <w:tblLayout w:type="fixed"/>
        <w:tblCellMar>
          <w:top w:w="28" w:type="dxa"/>
          <w:left w:w="28" w:type="dxa"/>
          <w:bottom w:w="28" w:type="dxa"/>
          <w:right w:w="28" w:type="dxa"/>
        </w:tblCellMar>
      </w:tblPr>
      <w:tblGrid>
        <w:gridCol w:w="4771"/>
        <w:gridCol w:w="146"/>
        <w:gridCol w:w="211"/>
        <w:gridCol w:w="571"/>
        <w:gridCol w:w="146"/>
        <w:gridCol w:w="146"/>
        <w:gridCol w:w="211"/>
        <w:gridCol w:w="571"/>
        <w:gridCol w:w="3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materials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5. Capital Structure</w:t>
      </w:r>
    </w:p>
    <w:p>
      <w:pPr>
        <w:pStyle w:val="TextBody"/>
        <w:bidi w:val="0"/>
        <w:spacing w:before="0" w:after="120"/>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December 31, 2025 and 2024, the Company was authorized to issue 300,000,000 shares of common stock with a par value of $0.0001 per share and 10,000,000 shares of preferred stock with a par value of $0.0001 per share.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Common stockholders are entitled to dividends when and if declared by the Company’s Board of Directors and after any preferred share dividends are fully paid. The holder of each share of common stock is entitled to one vote. As of December 31, 2025 and 2024, no dividends have been declared.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had reserved common stock for future issuance as follows:</w:t>
      </w:r>
    </w:p>
    <w:tbl>
      <w:tblPr>
        <w:tblW w:w="8159" w:type="dxa"/>
        <w:jc w:val="left"/>
        <w:tblInd w:w="0" w:type="dxa"/>
        <w:tblLayout w:type="fixed"/>
        <w:tblCellMar>
          <w:top w:w="28" w:type="dxa"/>
          <w:left w:w="28" w:type="dxa"/>
          <w:bottom w:w="28" w:type="dxa"/>
          <w:right w:w="28" w:type="dxa"/>
        </w:tblCellMar>
      </w:tblPr>
      <w:tblGrid>
        <w:gridCol w:w="4966"/>
        <w:gridCol w:w="146"/>
        <w:gridCol w:w="146"/>
        <w:gridCol w:w="1036"/>
        <w:gridCol w:w="146"/>
        <w:gridCol w:w="146"/>
        <w:gridCol w:w="146"/>
        <w:gridCol w:w="1036"/>
        <w:gridCol w:w="39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8,255,280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9,168,745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authorized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2,680,934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available for future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583,263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subject to future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14,470,222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12,432,942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Public Offerings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April 2023, pursuant to a registration statement on Form S-3, the Company issued and sold 5,750,000 shares of common stock at a public offering price of $30.00 per share in an underwritten public offering. The net proceeds to the Company from the offering were approximately $161.8 million, after deducting underwriting discounts and commissions and offering costs of approximately $11.0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June 2025, the Company completed an underwritten public offering transaction in which it issued and sold 19,450,000 shares of common stock at an offering price of $2.00 per share and, to a certain investor in lieu of common stock, pre-funded warrants to purchase up to 550,000 shares of common stock at an offering price of $1.9999 per share and accompanying common warrants to purchase up to 23,000,000 shares of common stock at a per share exercise price of $2.50. The net proceeds to the Company from the offering were approximately $37.2 million, after deducting underwriting discounts and commissions and offering costs of approximately $2.8 million.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July 2025, in connection with the completed underwritten public offering, the underwriters partially exercised their over-allotment option to purchase an additional 1,381,262 shares of common stock at an offering price of $2.00 per share. The net proceeds from the offering pursuant to the over-allotment option were approximately $2.6 million, after deducting underwriting discounts and commissions and offering costs of approximately $0.2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October 2025, the Company completed an underwritten public offering transaction in which it issued and sold 11,195,121 shares of common stock at an offering price of $2.05 per share and, to a certain investor in lieu of common stock, pre-funded warrants to purchase up to 1,000,000 shares of common stock at an offering price of $2.0499 per share and accompanying common warrants to purchase up to 12,195,121 shares of common stock at a per share exercise price of $2.50. The underwriters partially exercised their overallotment option to purchase 1,829,268 shares of common stock. The net proceeds to the Company from the offering were approximately $23.1 million, after deducting underwriting discounts and commissions and offering costs of approximately $1.9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concluded that the common warrants do not meet the equity contract scope exception. The liability associated with the common warrants is recorded as warrant liability in the balance sheet as of December 31,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valuation of the common warrants is adjusted to fair value (Level 3) at each subsequent balance sheet date until the common warrants are settled or expired. To this date, due primarily to fluctuations in the Company's common stock price between the issuance date and December 31, 2025, the warrant liability was revalued at $17.8 million as of December 31, 2025. The change in fair value of $19.9 million has been recorded as Change in fair value of common warrant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calculated the fair value of common warrants using the Black-Scholes option pricing model with the following inputs:</w:t>
      </w:r>
    </w:p>
    <w:tbl>
      <w:tblPr>
        <w:tblW w:w="6086" w:type="dxa"/>
        <w:jc w:val="left"/>
        <w:tblInd w:w="0" w:type="dxa"/>
        <w:tblLayout w:type="fixed"/>
        <w:tblCellMar>
          <w:top w:w="28" w:type="dxa"/>
          <w:left w:w="28" w:type="dxa"/>
          <w:bottom w:w="28" w:type="dxa"/>
          <w:right w:w="28" w:type="dxa"/>
        </w:tblCellMar>
      </w:tblPr>
      <w:tblGrid>
        <w:gridCol w:w="2131"/>
        <w:gridCol w:w="146"/>
        <w:gridCol w:w="372"/>
        <w:gridCol w:w="1007"/>
        <w:gridCol w:w="478"/>
        <w:gridCol w:w="257"/>
        <w:gridCol w:w="372"/>
        <w:gridCol w:w="1007"/>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2025 Underwritten Public Offering</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20,</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(issuance)</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end)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6370" w:type="dxa"/>
        <w:jc w:val="left"/>
        <w:tblInd w:w="0" w:type="dxa"/>
        <w:tblLayout w:type="fixed"/>
        <w:tblCellMar>
          <w:top w:w="28" w:type="dxa"/>
          <w:left w:w="28" w:type="dxa"/>
          <w:bottom w:w="28" w:type="dxa"/>
          <w:right w:w="28" w:type="dxa"/>
        </w:tblCellMar>
      </w:tblPr>
      <w:tblGrid>
        <w:gridCol w:w="2131"/>
        <w:gridCol w:w="146"/>
        <w:gridCol w:w="402"/>
        <w:gridCol w:w="1089"/>
        <w:gridCol w:w="517"/>
        <w:gridCol w:w="278"/>
        <w:gridCol w:w="402"/>
        <w:gridCol w:w="1089"/>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2025 Underwritten Public Offering</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8,</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(issuance)</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end)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Common Stock Warrants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December 31, 2025, the following warrants to purchase shares of the Company's common stock were issued and outstanding:</w:t>
      </w:r>
    </w:p>
    <w:tbl>
      <w:tblPr>
        <w:tblW w:w="9894" w:type="dxa"/>
        <w:jc w:val="left"/>
        <w:tblInd w:w="0" w:type="dxa"/>
        <w:tblLayout w:type="fixed"/>
        <w:tblCellMar>
          <w:top w:w="28" w:type="dxa"/>
          <w:left w:w="28" w:type="dxa"/>
          <w:bottom w:w="28" w:type="dxa"/>
          <w:right w:w="28" w:type="dxa"/>
        </w:tblCellMar>
      </w:tblPr>
      <w:tblGrid>
        <w:gridCol w:w="1591"/>
        <w:gridCol w:w="146"/>
        <w:gridCol w:w="1411"/>
        <w:gridCol w:w="146"/>
        <w:gridCol w:w="1681"/>
        <w:gridCol w:w="146"/>
        <w:gridCol w:w="416"/>
        <w:gridCol w:w="919"/>
        <w:gridCol w:w="146"/>
        <w:gridCol w:w="146"/>
        <w:gridCol w:w="365"/>
        <w:gridCol w:w="2590"/>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Issue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Warrants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8,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14,024,389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37,024,389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were 1,550,000 pre-funded warrants exercised during the twelve months ended December 31, 2025 resulting in the Company issuing 1,549,860 shares of common stock due to net exercise of the pre-funded warrants.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ATM Offering Agreement with Piper Sandler &amp; Co.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November 25, 2022, the Company entered into an equity distribution agreement (the 2022 ATM Agreement) with Piper Sandler &amp; Co. (Piper Sandler), as sales agent, with respect to an ATM offering program (the 2022 ATM Offering Program). Pursuant to the prospectus supplement relating to the Offering (as defined below), dated as of November 25, 2022 (the Prospectus Supplement), the Company may offer and sell, from time to time in its sole discretion, shares of its common stock, par value $0.0001 per share (the Common Stock), having an aggregate offering price of up to $100 million (the Shares) through Piper Sandler (the Offering).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Offering was registered under the Securities Act of 1933, as amended (the Securities Act), pursuant to our shelf registration statement on Form S-3 (Registration Statement No. 333-267884), as previously filed with the SEC and declared effective on October 14, 2022 (the 2022 Registration Statement). The Company filed a prospectus supplement, dated November 25, 2022, with the SEC that provided for the sale of shares of common stock having an aggregate offering price of up to $100 million in connection with the 2022 ATM Offering Program.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August 5, 2025, the Company filed a new shelf registration statement on Form S-3 (Registration Statement No. 333-267884), which was declared effective on August 15, 2025 (the 2025 Registration Statement), which replaced the previously filed 2022 Registration Statement. The 2025 Registration Statement included a prospectus, dated August 5, 2025, that provides for the sale of shares of common stock having an aggregate offering price of up to $100 million in connection with the 2022 ATM Offering Program.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2022 ATM Agreement contains customary representations, warranties and agreements by us, and customary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indemnification and contribution rights and obligations of the parties. The Company agreed to pay Piper Sandler a placement fee of up to 3.0% of the aggregate gross proceeds from the sale. The Company also agreed to reimburse Piper Sandler for certain specified expenses in connection with entering into the 2022 ATM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twelve months ended December 31, 2025, the Company has received aggregate proceeds from its 2022 ATM Offering Program of $4.9 million, net of commissions and offering costs, pursuant to the issuance of 2,271,122 shares of its common stock.</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6. Stock-Based Compensation</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2020 Equity Incentive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adopted the 2020 Equity Incentive Plan (the “2020 Plan”) on December 18, 2020. The 2020 Plan reserved 4,327,799 shares of common stock to grant stock-based compensation awards, including stock options and restricted stock awards, to employees and non-employees. As of April 9, 2021, the Company ceased granting awards under the 2020 Plan. However, 2020 Plan awards will remain subject to the terms of the 2020 Plan.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2021 Equity Incentive Plan</w:t>
      </w:r>
    </w:p>
    <w:p>
      <w:pPr>
        <w:pStyle w:val="TextBody"/>
        <w:bidi w:val="0"/>
        <w:spacing w:before="0" w:after="120"/>
        <w:jc w:val="left"/>
        <w:rPr>
          <w:rFonts w:ascii="Times New Roman" w:hAnsi="Times New Roman"/>
          <w:sz w:val="20"/>
        </w:rPr>
      </w:pPr>
      <w:r>
        <w:rPr>
          <w:rFonts w:ascii="Times New Roman" w:hAnsi="Times New Roman"/>
          <w:color w:val="000000"/>
          <w:sz w:val="20"/>
        </w:rPr>
        <w:t>In April 2021, the Company adopted the 2021 Equity Incentive Plan (the “2021 Plan”). Options granted under the 2021 Plan expire no later than 10 years from the date of grant. The exercise price of options granted under the 2021 Plan must at least be equal to the fair market value of the Company’s common stock on the date of grant. With respect to any participant who owns more than 10% of the voting power of all classes of the Company’s outstanding stock, the term of an incentive stock option granted to such participant must not exceed five years and the exercise price must equal at least 110% of the fair market value on the grant date. Employee stock options generally vest 1/16</w:t>
      </w:r>
      <w:r>
        <w:rPr>
          <w:rFonts w:ascii="Times New Roman" w:hAnsi="Times New Roman"/>
          <w:color w:val="000000"/>
          <w:sz w:val="13"/>
        </w:rPr>
        <w:t>th</w:t>
      </w:r>
      <w:r>
        <w:rPr>
          <w:rFonts w:ascii="Times New Roman" w:hAnsi="Times New Roman"/>
          <w:color w:val="000000"/>
          <w:sz w:val="20"/>
        </w:rPr>
        <w:t xml:space="preserve"> quarterly over four years subject to continued service to the Company.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Subject to adjustment in the case of certain capitalization events as provided in the 2021 Plan, the Company initially reserved 3,370,000 shares of the Company’s common stock for issuance pursuant to awards under the 2021 Plan. The 2021 Plan is administered by the Compensation Committee of the Company’s Board of Directors. The number of shares of the Company’s common stock available for issuance under the 2021 Plan will also include an annual increase on the first day of each fiscal year beginning in 2022 and ending in 2031, equal to the lesser of (i) 5% of the Company’s common stock outstanding at December 31 of the immediately preceding year, or (ii) such number of shares as determined by the Company’s Board of Directors. As of December 31, 2025, 2,672,434 shares of common stock remained available for issuance under the 2021 Plan. Effective January 1, 2026, the number of shares of common stock available under the 2021 Plan increased by 3,614,972 shares pursuant to the evergreen provision of the 2021 Plan.</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2023 Inducement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November 17, 2023, the Company's board of directors adopted the 2023 Inducement Equity Plan (Inducement Plan) pursuant to which the Company reserved 2,000,000 shares of common stock, to be used exclusively for grants of equity-based awards to individuals who were not previously employees or directors of the Company, as an inducement material to the individual’s entry into employment with the Company within the meaning of Rule 5635(c)(4) of the Nasdaq Listing Rules. The Inducement Plan provides for the grant of equity-based awards in the form of non-qualified stock options, stock appreciation rights, restricted stock awards, restricted stock unit awards, performance stock unit awards, unrestricted stock awards, dividend equivalent rights or Other Stock Based Awards (as defined in the Inducement Plan). The Inducement Plan was adopted by the board of directors without stockholder approval pursuant to Rule 5635(c)(4) of the Nasdaq Listing Rules. As of December 31, 2025, 1,845,000 shares of common stock remained available for issuance under the Inducement Plan.</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2021 Employee Stock Purchase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adopted a 2021 Employee Stock Purchase Plan (ESPP) in April 2021. The ESPP enables eligible employees of the Company and designated affiliates to purchase shares of common stock at a discount of 15%. Subject to adjustment in the case of certain capitalization events, a total of 306,000 common shares of the Company were available for purchase at adoption of the ESPP. Pursuant to the ESPP, the annual share increase pursuant to the evergreen provision is determined based on the lesser of (i) 1% of the Company’s common stock outstanding at December 31 of the immediately preceding year, or (ii) such number of shares as determined by the Company’s Board of Directors. As of December 31, 2025, 805,008 shares of common stock remained available for issuance under the ESPP. Effective January 1, 2026, the number of shares of common stock available under the ESPP increased by 722,994 shares pursuant to the evergreen provision of the ESPP.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Repricing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August 11, 2025 (the Repricing Effective Date), the Company's Board approved a repricing of certain outstanding vested and unvested stock option awards under the 2021 Plan for eligible non-executive employees and certain other service providers (the Repricing Participants). The per share exercise price of eligible stock option awards was reduced to $4.50. To receive the benefit of the repricing, Repricing Participants were required to remain an employee or service provider through the period (the Retention Period) that began on the Repricing Effective Date and ended on September 12, 2025 (the Retention Date). No other changes were made to the terms and conditions of the eligible stock option awards. The stock option repricing impacted approximately 2.6 million shares of common stock subject to stock option awards and affected 48 employees and service providers.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repricing resulted in a total incremental stock-based compensation expense of $0.4 million, which was calculated using the Black-Scholes option pricing model, of which $0.3 million is associated with vested repriced options as of the Retention Date and was recognized on a straight-line basis over the Retention Period. The remaining $0.1 million of the incremental stock-based compensation expense is associated with unvested repriced options beyond the Retention Period and will be recognized on a straight-line basis over the remaining original vesting periods. For the twelve months ended December 31, 2025, the Company recognized $0.3 million of incremental stock-based compensation expense.</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Total stock-based compensation expense related to the Company's equity incentive plans and ESPP was recorded in the statements of operations and allocated as follows (in thousands):</w:t>
      </w:r>
    </w:p>
    <w:tbl>
      <w:tblPr>
        <w:tblW w:w="7328" w:type="dxa"/>
        <w:jc w:val="left"/>
        <w:tblInd w:w="0" w:type="dxa"/>
        <w:tblLayout w:type="fixed"/>
        <w:tblCellMar>
          <w:top w:w="28" w:type="dxa"/>
          <w:left w:w="28" w:type="dxa"/>
          <w:bottom w:w="28" w:type="dxa"/>
          <w:right w:w="28" w:type="dxa"/>
        </w:tblCellMar>
      </w:tblPr>
      <w:tblGrid>
        <w:gridCol w:w="3651"/>
        <w:gridCol w:w="146"/>
        <w:gridCol w:w="211"/>
        <w:gridCol w:w="571"/>
        <w:gridCol w:w="146"/>
        <w:gridCol w:w="146"/>
        <w:gridCol w:w="211"/>
        <w:gridCol w:w="676"/>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December 31, 2025, there was $10.8 million of total unrecognized compensation cost related to stock options, restricted stock units, and ESPP under the Plans. The unrecognized stock-based compensation cost is expected to be recognized over a weighted-average period of 2.8 years.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stock option activity:</w:t>
      </w:r>
    </w:p>
    <w:tbl>
      <w:tblPr>
        <w:tblW w:w="9717" w:type="dxa"/>
        <w:jc w:val="left"/>
        <w:tblInd w:w="0" w:type="dxa"/>
        <w:tblLayout w:type="fixed"/>
        <w:tblCellMar>
          <w:top w:w="28" w:type="dxa"/>
          <w:left w:w="28" w:type="dxa"/>
          <w:bottom w:w="28" w:type="dxa"/>
          <w:right w:w="28" w:type="dxa"/>
        </w:tblCellMar>
      </w:tblPr>
      <w:tblGrid>
        <w:gridCol w:w="3766"/>
        <w:gridCol w:w="146"/>
        <w:gridCol w:w="146"/>
        <w:gridCol w:w="995"/>
        <w:gridCol w:w="166"/>
        <w:gridCol w:w="146"/>
        <w:gridCol w:w="263"/>
        <w:gridCol w:w="713"/>
        <w:gridCol w:w="146"/>
        <w:gridCol w:w="146"/>
        <w:gridCol w:w="324"/>
        <w:gridCol w:w="802"/>
        <w:gridCol w:w="146"/>
        <w:gridCol w:w="146"/>
        <w:gridCol w:w="396"/>
        <w:gridCol w:w="879"/>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Number of </w:t>
              <w:br/>
              <w:t xml:space="preserve">Options </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Aggregate </w:t>
              <w:br/>
              <w:t xml:space="preserve">Intrinsic </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9,168,745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(4,768,446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8,255,280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stock options was estimated using the following weighted-average assumptions:</w:t>
      </w:r>
    </w:p>
    <w:tbl>
      <w:tblPr>
        <w:tblW w:w="7468" w:type="dxa"/>
        <w:jc w:val="left"/>
        <w:tblInd w:w="0" w:type="dxa"/>
        <w:tblLayout w:type="fixed"/>
        <w:tblCellMar>
          <w:top w:w="28" w:type="dxa"/>
          <w:left w:w="28" w:type="dxa"/>
          <w:bottom w:w="28" w:type="dxa"/>
          <w:right w:w="28" w:type="dxa"/>
        </w:tblCellMar>
      </w:tblPr>
      <w:tblGrid>
        <w:gridCol w:w="3931"/>
        <w:gridCol w:w="146"/>
        <w:gridCol w:w="211"/>
        <w:gridCol w:w="571"/>
        <w:gridCol w:w="271"/>
        <w:gridCol w:w="146"/>
        <w:gridCol w:w="211"/>
        <w:gridCol w:w="571"/>
        <w:gridCol w:w="271"/>
        <w:gridCol w:w="146"/>
        <w:gridCol w:w="211"/>
        <w:gridCol w:w="466"/>
        <w:gridCol w:w="316"/>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fair value of options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aggregate intrinsic value of options exercised for the years ended December 31, 2025, 2024 and 2023 was $0.0 million, $0.8 million, and $1.7 million, respectively. Intrinsic values are calculated as the difference between the exercise price of the underlying options and the fair value of the common stock on the date of exercise.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Employee Stock Purchase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fair value of ESPP was estimated using the following weighted-average assumptions:</w:t>
      </w:r>
    </w:p>
    <w:tbl>
      <w:tblPr>
        <w:tblW w:w="5308" w:type="dxa"/>
        <w:jc w:val="left"/>
        <w:tblInd w:w="0" w:type="dxa"/>
        <w:tblLayout w:type="fixed"/>
        <w:tblCellMar>
          <w:top w:w="28" w:type="dxa"/>
          <w:left w:w="28" w:type="dxa"/>
          <w:bottom w:w="28" w:type="dxa"/>
          <w:right w:w="28" w:type="dxa"/>
        </w:tblCellMar>
      </w:tblPr>
      <w:tblGrid>
        <w:gridCol w:w="1966"/>
        <w:gridCol w:w="146"/>
        <w:gridCol w:w="146"/>
        <w:gridCol w:w="571"/>
        <w:gridCol w:w="271"/>
        <w:gridCol w:w="146"/>
        <w:gridCol w:w="146"/>
        <w:gridCol w:w="571"/>
        <w:gridCol w:w="271"/>
        <w:gridCol w:w="146"/>
        <w:gridCol w:w="146"/>
        <w:gridCol w:w="466"/>
        <w:gridCol w:w="31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color w:val="000000"/>
          <w:sz w:val="20"/>
        </w:rPr>
        <w:t>Restricted Stock Units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restricted stock activity:</w:t>
      </w:r>
    </w:p>
    <w:tbl>
      <w:tblPr>
        <w:tblW w:w="5918" w:type="dxa"/>
        <w:jc w:val="left"/>
        <w:tblInd w:w="0" w:type="dxa"/>
        <w:tblLayout w:type="fixed"/>
        <w:tblCellMar>
          <w:top w:w="28" w:type="dxa"/>
          <w:left w:w="28" w:type="dxa"/>
          <w:bottom w:w="28" w:type="dxa"/>
          <w:right w:w="28" w:type="dxa"/>
        </w:tblCellMar>
      </w:tblPr>
      <w:tblGrid>
        <w:gridCol w:w="2446"/>
        <w:gridCol w:w="146"/>
        <w:gridCol w:w="146"/>
        <w:gridCol w:w="781"/>
        <w:gridCol w:w="166"/>
        <w:gridCol w:w="146"/>
        <w:gridCol w:w="528"/>
        <w:gridCol w:w="1168"/>
        <w:gridCol w:w="3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 xml:space="preserve">Grant Date </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7. Taxes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Biomea Fusion is subject to U.S. federal and state income taxes as a corporation. The Company had zero U.S. federal, state and foreign income taxes paid, net of refunds for the year ended December 31, 2025. There was zero income tax expense for the years ended December 31, 2025, 2024 and 2023.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is a reconciliation of the statutory federal income tax rate to the Company’s effective tax rate after the adoption of ASU 2023-09:</w:t>
      </w:r>
    </w:p>
    <w:tbl>
      <w:tblPr>
        <w:tblW w:w="8727" w:type="dxa"/>
        <w:jc w:val="left"/>
        <w:tblInd w:w="0" w:type="dxa"/>
        <w:tblLayout w:type="fixed"/>
        <w:tblCellMar>
          <w:top w:w="28" w:type="dxa"/>
          <w:left w:w="28" w:type="dxa"/>
          <w:bottom w:w="28" w:type="dxa"/>
          <w:right w:w="28" w:type="dxa"/>
        </w:tblCellMar>
      </w:tblPr>
      <w:tblGrid>
        <w:gridCol w:w="5701"/>
        <w:gridCol w:w="284"/>
        <w:gridCol w:w="991"/>
        <w:gridCol w:w="198"/>
        <w:gridCol w:w="174"/>
        <w:gridCol w:w="174"/>
        <w:gridCol w:w="629"/>
        <w:gridCol w:w="576"/>
      </w:tblGrid>
      <w:tr>
        <w:trPr/>
        <w:tc>
          <w:tcPr>
            <w:tcW w:w="57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provision (benefit) at statutory federal income tax rate</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income tax, net of federal (national) income tax effect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and nondeductible items</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common warrants</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nontaxable and nondeductible items</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True up to deferred tax asset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Effective income tax rate</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the year ended December 31, 2025, state and local income taxes in California comprise the majority of the state and local income tax, net of federal (national) income tax effect category.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is a reconciliation of the statutory federal income tax rate to the Company’s effective tax rate for the years prior to the adoption of ASU 2023-09:</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661" w:type="dxa"/>
        <w:jc w:val="left"/>
        <w:tblInd w:w="0" w:type="dxa"/>
        <w:tblLayout w:type="fixed"/>
        <w:tblCellMar>
          <w:top w:w="28" w:type="dxa"/>
          <w:left w:w="28" w:type="dxa"/>
          <w:bottom w:w="28" w:type="dxa"/>
          <w:right w:w="28" w:type="dxa"/>
        </w:tblCellMar>
      </w:tblPr>
      <w:tblGrid>
        <w:gridCol w:w="2776"/>
        <w:gridCol w:w="185"/>
        <w:gridCol w:w="667"/>
        <w:gridCol w:w="420"/>
        <w:gridCol w:w="185"/>
        <w:gridCol w:w="185"/>
        <w:gridCol w:w="667"/>
        <w:gridCol w:w="576"/>
      </w:tblGrid>
      <w:tr>
        <w:trPr/>
        <w:tc>
          <w:tcPr>
            <w:tcW w:w="2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income tax rate</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 rate</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Effective income tax rate</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Deferred tax assets and liabilities consist of the following (in thousands):</w:t>
      </w:r>
    </w:p>
    <w:tbl>
      <w:tblPr>
        <w:tblW w:w="6453" w:type="dxa"/>
        <w:jc w:val="left"/>
        <w:tblInd w:w="0" w:type="dxa"/>
        <w:tblLayout w:type="fixed"/>
        <w:tblCellMar>
          <w:top w:w="28" w:type="dxa"/>
          <w:left w:w="28" w:type="dxa"/>
          <w:bottom w:w="28" w:type="dxa"/>
          <w:right w:w="28" w:type="dxa"/>
        </w:tblCellMar>
      </w:tblPr>
      <w:tblGrid>
        <w:gridCol w:w="3426"/>
        <w:gridCol w:w="211"/>
        <w:gridCol w:w="841"/>
        <w:gridCol w:w="166"/>
        <w:gridCol w:w="146"/>
        <w:gridCol w:w="211"/>
        <w:gridCol w:w="841"/>
        <w:gridCol w:w="611"/>
      </w:tblGrid>
      <w:tr>
        <w:trPr/>
        <w:tc>
          <w:tcPr>
            <w:tcW w:w="3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 and reserves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deferred tax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tax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tax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provisions of ASC Topic 740, </w:t>
      </w:r>
      <w:r>
        <w:rPr>
          <w:rFonts w:ascii="Times New Roman" w:hAnsi="Times New Roman"/>
          <w:i/>
          <w:color w:val="000000"/>
          <w:sz w:val="20"/>
        </w:rPr>
        <w:t>Accounting for Income Taxes</w:t>
      </w:r>
      <w:r>
        <w:rPr>
          <w:rFonts w:ascii="Times New Roman" w:hAnsi="Times New Roman"/>
          <w:color w:val="000000"/>
          <w:sz w:val="20"/>
        </w:rPr>
        <w:t xml:space="preserve"> (ASC 740), require an assessment of both positive and negative evidence when determining whether it is more likely than not that deferred tax assets are recoverable. For the years ended December 31, 2025 and 2024, based on all available objective evidence, including the existence of cumulative losses, the Company determined that it was not more likely than not that the net deferred tax assets were fully realizable. Accordingly, the Company established a full valuation allowance against its deferred tax assets. The Company intends to maintain a full valuation allowance on net deferred tax assets until sufficient positive evidence exists to support reversal of the valuation allowance. The Company’s valuation allowance increased by $19.4 million during the year ended December 31, 2025, primarily because of an increase to the Company's net operating losses, credits and capitalization of research and experimental expenses. The Company’s valuation allowance increased by $42.4 million during the year ended December 31, 2024, primarily because of an increase to the Company's net operating losses, credits, stock compensation and the capitalization of research and development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At December 31, 2025, the Company had net operating loss carryforwards available to reduce future taxable income, if any, for federal and state income tax purposes of approximately $190.7 million and $378.7 million, respectively. The federal net operating loss carryforwards at December 31, 2025 can be carried forward indefinitely, subject to an annual limitation of 80% of taxable income. The state net operating loss carryforward are subject to expiration in various tax years.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At December 31, 2025, the Company also had federal and California research and development tax credit carryforwards of $14.0 million and $6.6 million, respectively, available to offset future income tax, if any. The federal credit carryforwards begins expiring in 2040, and the California credits can be carried forward indefinitely.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Under Section 382 and 383 of the Internal Revenue Code of 1986, as amended,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the Company's ownership by “5-percent shareholders” that exceeds 50 percentage points over a rolling three-year period. Similar rules may apply under state tax laws. Therefore, certain of the Company's carryforward tax attributes may be subject to an annual limitation regarding their utilization against taxable income in future periods. The Company has performed a Section 382 study and has concluded that ownership changes have occurred. As a result, the federal and state NOL carryforwards and tax credit carryforwards may be subject to annual limitations before being applied to reduce future income tax liabilities.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Uncertain Tax Positions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adopted the provisions of ASC 740, which requires companies to determine whether it is “more likely than not” that a tax position will be sustained upon examination by the appropriate taxing authorities before any tax benefit can be recorded in the financial statements. It also provides guidance on the recognition, measurement, classification and interest and penalties related to uncertain tax positions.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activity related to the Company’s gross unrecognized tax benefits (in thousands):</w:t>
      </w:r>
    </w:p>
    <w:tbl>
      <w:tblPr>
        <w:tblW w:w="7702" w:type="dxa"/>
        <w:jc w:val="left"/>
        <w:tblInd w:w="0" w:type="dxa"/>
        <w:tblLayout w:type="fixed"/>
        <w:tblCellMar>
          <w:top w:w="28" w:type="dxa"/>
          <w:left w:w="28" w:type="dxa"/>
          <w:bottom w:w="28" w:type="dxa"/>
          <w:right w:w="28" w:type="dxa"/>
        </w:tblCellMar>
      </w:tblPr>
      <w:tblGrid>
        <w:gridCol w:w="4341"/>
        <w:gridCol w:w="211"/>
        <w:gridCol w:w="571"/>
        <w:gridCol w:w="166"/>
        <w:gridCol w:w="146"/>
        <w:gridCol w:w="211"/>
        <w:gridCol w:w="571"/>
        <w:gridCol w:w="166"/>
        <w:gridCol w:w="146"/>
        <w:gridCol w:w="211"/>
        <w:gridCol w:w="571"/>
        <w:gridCol w:w="391"/>
      </w:tblGrid>
      <w:tr>
        <w:trPr/>
        <w:tc>
          <w:tcPr>
            <w:tcW w:w="4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Increases for tax provisions related to prior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Decreases for tax provision related to prior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Increases for tax provisions related to current year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unrecognized tax benefits, if recognized, would not affect the effective income tax rate due to the valuation allowance that currently offsets deferred tax assets. Interest and penalties were zero. The Company does not expect the unrecognized tax benefits to change significantly over the next twelve months.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files federal and state income tax returns. All periods since inception are subject to examination by federal and state authorities, where applicable. There are currently no pending income tax examinations.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8. Commitments and Contingencies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Operating Leases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leases its headquarters with its main office in San Carlos, California.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September 2022, the Company entered into a thirty-month sub-lease agreement for office space located at 900 Middlefield Road, 4th Floor, Redwood City, California, which commenced in January 2023 and expired in July 2025. In connection with the sub-lease expiration, the security deposit of $2.1 million was returned to the Company and recorded as part of cash and cash equivalents at December 31, 2025.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November 2021, the Company entered into a four-year lease for additional lab space located at 1585 Industrial Road, San Carlos, California which commenced in January 2023 and expires in January 2027. Under the provisions of the agreement, upon the commencement date, the term of the lab space located at 1599 Industrial Road, San Carlos, California (1599 lease), was also extended from April 2026 to January 2027. The lease included a renewal option for an additional five years until January 2032, which had initially been included in the determination of the right-of-use asset at inception. As the term of the 1599 lease was extended, this did not result in a separate contract, accordingly, the Company re-measured the right-of-use asset and lease liability totaling to $7.8 million under one lease, discounted at 11.4%, the Company’s estimated incremental borrowing rate. In addition, the lease included a lease incentive in the form of a tenant improvement allowance of up to $1.5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November 2023, the Company submitted a claim of approximately $1.5 million against tenant improvement allowance reimbursement in connection with its operating lease for lab space located at 1585 Industrial Road, San Carlos, California which was received in January 2024. Of the total reimbursement, approximately $0.4 million constitutes a loan required to be repaid in the form of additional lease payments over the remaining original lease term at an annual interest rate of 7%. The Company has determined that impact of the remeasurement to be immaterial.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2025, the Company identified a significant change in circumstances within its control related to the permanent shutdown of laboratory operations (see Note 4). The shutdown was limited to laboratory activities, and the facility continues to be used for administrative and other operational purposes. As a result of this change in circumstances, the Company reassessed whether it was reasonably certain to exercise a renewal option associated with its laboratory facility lease and concluded that it was no longer reasonably certain to exercise the option.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Accordingly, the Company reassessed the lease term and incremental borrowing rate, and re-measured the related operating lease right-of-use asset and lease liability in accordance with ASC 842. The remeasurement resulted in a reduction of the operating lease liability of $5.1 million and a corresponding reduction of the right-of-use asset of approximately $5.0 million. The lease liability was re-measured using an updated incremental borrowing rate of approximately 8.1%, determined as of the modification date based on the remaining lease term and prevailing U.S. Treasury yields adjusted for a market-based credit spread reflective of the Company’s credit risk.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lease costs and cash paid for the Company’s leases (in thousands):</w:t>
      </w:r>
    </w:p>
    <w:tbl>
      <w:tblPr>
        <w:tblW w:w="6422" w:type="dxa"/>
        <w:jc w:val="left"/>
        <w:tblInd w:w="0" w:type="dxa"/>
        <w:tblLayout w:type="fixed"/>
        <w:tblCellMar>
          <w:top w:w="28" w:type="dxa"/>
          <w:left w:w="28" w:type="dxa"/>
          <w:bottom w:w="28" w:type="dxa"/>
          <w:right w:w="28" w:type="dxa"/>
        </w:tblCellMar>
      </w:tblPr>
      <w:tblGrid>
        <w:gridCol w:w="3301"/>
        <w:gridCol w:w="211"/>
        <w:gridCol w:w="571"/>
        <w:gridCol w:w="146"/>
        <w:gridCol w:w="146"/>
        <w:gridCol w:w="211"/>
        <w:gridCol w:w="571"/>
        <w:gridCol w:w="146"/>
        <w:gridCol w:w="146"/>
        <w:gridCol w:w="211"/>
        <w:gridCol w:w="571"/>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Supplemental balance sheet information related to operating leases is as follows:</w:t>
      </w:r>
    </w:p>
    <w:tbl>
      <w:tblPr>
        <w:tblW w:w="6216" w:type="dxa"/>
        <w:jc w:val="left"/>
        <w:tblInd w:w="0" w:type="dxa"/>
        <w:tblLayout w:type="fixed"/>
        <w:tblCellMar>
          <w:top w:w="28" w:type="dxa"/>
          <w:left w:w="28" w:type="dxa"/>
          <w:bottom w:w="28" w:type="dxa"/>
          <w:right w:w="28" w:type="dxa"/>
        </w:tblCellMar>
      </w:tblPr>
      <w:tblGrid>
        <w:gridCol w:w="3316"/>
        <w:gridCol w:w="151"/>
        <w:gridCol w:w="375"/>
        <w:gridCol w:w="271"/>
        <w:gridCol w:w="146"/>
        <w:gridCol w:w="146"/>
        <w:gridCol w:w="466"/>
        <w:gridCol w:w="271"/>
        <w:gridCol w:w="146"/>
        <w:gridCol w:w="146"/>
        <w:gridCol w:w="466"/>
        <w:gridCol w:w="316"/>
      </w:tblGrid>
      <w:tr>
        <w:trPr/>
        <w:tc>
          <w:tcPr>
            <w:tcW w:w="33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Maturities of lease liabilities as of December 31, 2025 were as follows (in thousands):</w:t>
      </w:r>
    </w:p>
    <w:tbl>
      <w:tblPr>
        <w:tblW w:w="5313" w:type="dxa"/>
        <w:jc w:val="left"/>
        <w:tblInd w:w="0" w:type="dxa"/>
        <w:tblLayout w:type="fixed"/>
        <w:tblCellMar>
          <w:top w:w="28" w:type="dxa"/>
          <w:left w:w="28" w:type="dxa"/>
          <w:bottom w:w="28" w:type="dxa"/>
          <w:right w:w="28" w:type="dxa"/>
        </w:tblCellMar>
      </w:tblPr>
      <w:tblGrid>
        <w:gridCol w:w="3241"/>
        <w:gridCol w:w="146"/>
        <w:gridCol w:w="408"/>
        <w:gridCol w:w="1107"/>
        <w:gridCol w:w="4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Commitments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Present value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from time to time, may be party to litigation arising in the ordinary course of business. The Company was not subject to any material legal proceedings during the years ended December 31, 2025, 2024, and 2023, and to the best of its knowledge, no material legal proceedings are currently pending or threatened.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standard indemnification agreements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fair value of these agreements is not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pStyle w:val="TextBody"/>
        <w:bidi w:val="0"/>
        <w:spacing w:before="120" w:after="120"/>
        <w:jc w:val="left"/>
        <w:rPr>
          <w:rFonts w:ascii="Times New Roman" w:hAnsi="Times New Roman"/>
          <w:sz w:val="20"/>
        </w:rPr>
      </w:pPr>
      <w:r>
        <w:rPr>
          <w:rFonts w:ascii="Times New Roman" w:hAnsi="Times New Roman"/>
          <w:b/>
          <w:color w:val="000000"/>
          <w:sz w:val="20"/>
        </w:rPr>
        <w:t>Note 9. Net Loss Per Share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(in thousands except share and per share data):</w:t>
      </w:r>
    </w:p>
    <w:tbl>
      <w:tblPr>
        <w:tblW w:w="9108" w:type="dxa"/>
        <w:jc w:val="left"/>
        <w:tblInd w:w="0" w:type="dxa"/>
        <w:tblLayout w:type="fixed"/>
        <w:tblCellMar>
          <w:top w:w="28" w:type="dxa"/>
          <w:left w:w="28" w:type="dxa"/>
          <w:bottom w:w="28" w:type="dxa"/>
          <w:right w:w="28" w:type="dxa"/>
        </w:tblCellMar>
      </w:tblPr>
      <w:tblGrid>
        <w:gridCol w:w="4206"/>
        <w:gridCol w:w="146"/>
        <w:gridCol w:w="211"/>
        <w:gridCol w:w="1036"/>
        <w:gridCol w:w="166"/>
        <w:gridCol w:w="146"/>
        <w:gridCol w:w="211"/>
        <w:gridCol w:w="1036"/>
        <w:gridCol w:w="166"/>
        <w:gridCol w:w="146"/>
        <w:gridCol w:w="211"/>
        <w:gridCol w:w="1036"/>
        <w:gridCol w:w="391"/>
      </w:tblGrid>
      <w:tr>
        <w:trPr/>
        <w:tc>
          <w:tcPr>
            <w:tcW w:w="4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Weighted-average common shares outstanding, </w:t>
              <w:br/>
              <w:t>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52,228,068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36,105,671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34,106,923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Since the Company was in a loss position for all periods presented, basic net loss per share is the same as diluted net loss per share for all periods as the inclusion of all common stock equivalents outstanding would have been anti-dilutive. Potentially dilutive securities that were not included in the diluted per share calculations because they would be anti-dilutive were as follows:</w:t>
      </w:r>
    </w:p>
    <w:tbl>
      <w:tblPr>
        <w:tblW w:w="8253" w:type="dxa"/>
        <w:jc w:val="left"/>
        <w:tblInd w:w="0" w:type="dxa"/>
        <w:tblLayout w:type="fixed"/>
        <w:tblCellMar>
          <w:top w:w="28" w:type="dxa"/>
          <w:left w:w="28" w:type="dxa"/>
          <w:bottom w:w="28" w:type="dxa"/>
          <w:right w:w="28" w:type="dxa"/>
        </w:tblCellMar>
      </w:tblPr>
      <w:tblGrid>
        <w:gridCol w:w="3796"/>
        <w:gridCol w:w="146"/>
        <w:gridCol w:w="146"/>
        <w:gridCol w:w="1036"/>
        <w:gridCol w:w="146"/>
        <w:gridCol w:w="146"/>
        <w:gridCol w:w="146"/>
        <w:gridCol w:w="931"/>
        <w:gridCol w:w="146"/>
        <w:gridCol w:w="146"/>
        <w:gridCol w:w="146"/>
        <w:gridCol w:w="931"/>
        <w:gridCol w:w="3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8,255,280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9,168,745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7,357,607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shares issuable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subject to future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37,024,389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46,217,849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9,185,462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7,501,172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10. Segment Reporting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operates and manages its business as one reportable and operating segment, which is the business of developing small molecule drugs to treat patients with metabolic diseases. The Company’s interim chief executive officer, who is the chief operating decision maker, reviews financial information on an aggregate basis for allocating resources and evaluating financial performance. All long-lived assets are maintained in, and all losses are attributable to, the United States of America.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Below is the breakdown of the Company’s research and development and general and administrative expenses for the years ended December 31, 2025, 2024 and 2023 (in thousands):</w:t>
      </w:r>
    </w:p>
    <w:tbl>
      <w:tblPr>
        <w:tblW w:w="9943" w:type="dxa"/>
        <w:jc w:val="left"/>
        <w:tblInd w:w="0" w:type="dxa"/>
        <w:tblLayout w:type="fixed"/>
        <w:tblCellMar>
          <w:top w:w="28" w:type="dxa"/>
          <w:left w:w="28" w:type="dxa"/>
          <w:bottom w:w="28" w:type="dxa"/>
          <w:right w:w="28" w:type="dxa"/>
        </w:tblCellMar>
      </w:tblPr>
      <w:tblGrid>
        <w:gridCol w:w="5751"/>
        <w:gridCol w:w="146"/>
        <w:gridCol w:w="211"/>
        <w:gridCol w:w="676"/>
        <w:gridCol w:w="146"/>
        <w:gridCol w:w="146"/>
        <w:gridCol w:w="211"/>
        <w:gridCol w:w="781"/>
        <w:gridCol w:w="146"/>
        <w:gridCol w:w="146"/>
        <w:gridCol w:w="211"/>
        <w:gridCol w:w="781"/>
        <w:gridCol w:w="591"/>
      </w:tblGrid>
      <w:tr>
        <w:trPr/>
        <w:tc>
          <w:tcPr>
            <w:tcW w:w="5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research organization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GLP - 131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clinical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activities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Expenses related to manufacturing of clinical and research material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expenses (including</w:t>
              <w:br/>
              <w:t>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 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102,546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23" w:type="dxa"/>
        <w:jc w:val="left"/>
        <w:tblInd w:w="0" w:type="dxa"/>
        <w:tblLayout w:type="fixed"/>
        <w:tblCellMar>
          <w:top w:w="28" w:type="dxa"/>
          <w:left w:w="28" w:type="dxa"/>
          <w:bottom w:w="28" w:type="dxa"/>
          <w:right w:w="28" w:type="dxa"/>
        </w:tblCellMar>
      </w:tblPr>
      <w:tblGrid>
        <w:gridCol w:w="3541"/>
        <w:gridCol w:w="146"/>
        <w:gridCol w:w="211"/>
        <w:gridCol w:w="676"/>
        <w:gridCol w:w="146"/>
        <w:gridCol w:w="146"/>
        <w:gridCol w:w="211"/>
        <w:gridCol w:w="676"/>
        <w:gridCol w:w="146"/>
        <w:gridCol w:w="146"/>
        <w:gridCol w:w="211"/>
        <w:gridCol w:w="676"/>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expenses (including</w:t>
              <w:br/>
              <w:t>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 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tbl>
      <w:tblPr>
        <w:tblW w:w="5488" w:type="dxa"/>
        <w:jc w:val="left"/>
        <w:tblInd w:w="0" w:type="dxa"/>
        <w:tblLayout w:type="fixed"/>
        <w:tblCellMar>
          <w:top w:w="28" w:type="dxa"/>
          <w:left w:w="28" w:type="dxa"/>
          <w:bottom w:w="28" w:type="dxa"/>
          <w:right w:w="28" w:type="dxa"/>
        </w:tblCellMar>
      </w:tblPr>
      <w:tblGrid>
        <w:gridCol w:w="2671"/>
        <w:gridCol w:w="146"/>
        <w:gridCol w:w="211"/>
        <w:gridCol w:w="571"/>
        <w:gridCol w:w="146"/>
        <w:gridCol w:w="146"/>
        <w:gridCol w:w="211"/>
        <w:gridCol w:w="346"/>
        <w:gridCol w:w="146"/>
        <w:gridCol w:w="146"/>
        <w:gridCol w:w="211"/>
        <w:gridCol w:w="346"/>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Reconciliation of segment loss from operations to net loss:</w:t>
      </w:r>
    </w:p>
    <w:tbl>
      <w:tblPr>
        <w:tblW w:w="8293" w:type="dxa"/>
        <w:jc w:val="left"/>
        <w:tblInd w:w="0" w:type="dxa"/>
        <w:tblLayout w:type="fixed"/>
        <w:tblCellMar>
          <w:top w:w="28" w:type="dxa"/>
          <w:left w:w="28" w:type="dxa"/>
          <w:bottom w:w="28" w:type="dxa"/>
          <w:right w:w="28" w:type="dxa"/>
        </w:tblCellMar>
      </w:tblPr>
      <w:tblGrid>
        <w:gridCol w:w="4081"/>
        <w:gridCol w:w="146"/>
        <w:gridCol w:w="211"/>
        <w:gridCol w:w="736"/>
        <w:gridCol w:w="166"/>
        <w:gridCol w:w="146"/>
        <w:gridCol w:w="211"/>
        <w:gridCol w:w="841"/>
        <w:gridCol w:w="166"/>
        <w:gridCol w:w="146"/>
        <w:gridCol w:w="211"/>
        <w:gridCol w:w="841"/>
        <w:gridCol w:w="3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of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common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bookmarkStart w:id="23" w:name="item_9_changes_in_disagreements_with_acc"/>
      <w:bookmarkEnd w:id="23"/>
      <w:r>
        <w:rPr>
          <w:rFonts w:ascii="Times New Roman" w:hAnsi="Times New Roman"/>
          <w:b/>
          <w:color w:val="000000"/>
          <w:sz w:val="20"/>
        </w:rPr>
        <w:t>Item 9. Changes in and Disagreements with Accountants on Accounting and Financial Disclosure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0" w:after="120"/>
        <w:jc w:val="left"/>
        <w:rPr>
          <w:rFonts w:ascii="Times New Roman" w:hAnsi="Times New Roman"/>
          <w:sz w:val="20"/>
        </w:rPr>
      </w:pPr>
      <w:bookmarkStart w:id="24" w:name="item_9a_controls_procedures"/>
      <w:bookmarkEnd w:id="24"/>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management, under the supervision and with the participation of our interim Chief Executive Officer and our Chief Operating Officer, our principal executive officer and principal financial officer, respectively, conducted an evaluation of the effectiveness of the design and operation of our disclosure controls and procedures, as defined in Rules 13a-15(e) and 15d-15(e) under the Exchange Act as of the end of the period covered by this Annual Report on Form 10-K. Based on this evaluation, our interim Chief Executive Officer and our Chief Operating Officer have concluded that as of such date our disclosure controls and procedures were effective at a reasonable assurance level (a) to ensure that information that we are required to disclose in reports that we file or submit under the Exchange Act is recorded, processed, summarized and reported within the time periods specified in SEC rules and forms and (b) to ensure that information required to be disclosed by us in reports filed or submitted under the Exchange Act is accumulated and communicated to our management, including our interim Chief Executive Officer and Chief Operating Officer, as appropriate, to allow timely decisions regarding required disclosure.</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a company’s assets;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our assets that could have a material effect on the financial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Under the supervision of and with the participation of our principal executive officer and principal financial officer, our management assessed the effectiveness of our internal control over financial reporting as of December 31, 2025 based on the criteria set forth by the Committee of Sponsoring Organizations of the Treadway Commission in Internal Control — Integrated Framework (2013 framework). Based on this assessment, management concluded that our internal control over financial reporting was effective as of December 31,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Annual Report on Form 10-K does not include an attestation report of our independent registered public accounting firm due to our status as an emerging growth company under the JOBS Act.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were no other changes in our internal control over financial reporting identified in connection with the evaluation required by Rules 13a</w:t>
        <w:noBreakHyphen/>
        <w:t>15(d) and 15d</w:t>
        <w:noBreakHyphen/>
        <w:t>15(d) of the Exchange Act during the quarter ended December 31, 2025, that materially affected, or are reasonably likely to materially affect, our internal control over financial reporting.</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Limitations on Effectiveness of Controls and Procedures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bookmarkStart w:id="25" w:name="item_9b_or_information"/>
      <w:bookmarkEnd w:id="25"/>
      <w:r>
        <w:rPr>
          <w:rFonts w:ascii="Times New Roman" w:hAnsi="Times New Roman"/>
          <w:b/>
          <w:color w:val="000000"/>
          <w:sz w:val="20"/>
        </w:rPr>
        <w:t>Item 9B. Other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None.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 During the quarter ended December 31, 2025, none of the Company’s directors or officers (as defined in Rule 16a-1(f) under the Exchange Act) adopted, modified or terminated a plan or other arrangement intended to satisfy the affirmative defense conditions of Rule 10b5-1(c) or any non-Rule 10b5-1 trading arrangements under the Exchange Act.</w:t>
      </w:r>
    </w:p>
    <w:p>
      <w:pPr>
        <w:pStyle w:val="TextBody"/>
        <w:bidi w:val="0"/>
        <w:spacing w:before="0" w:after="120"/>
        <w:jc w:val="left"/>
        <w:rPr>
          <w:rFonts w:ascii="Times New Roman" w:hAnsi="Times New Roman"/>
          <w:b/>
          <w:color w:val="000000"/>
          <w:sz w:val="20"/>
        </w:rPr>
      </w:pPr>
      <w:bookmarkStart w:id="26" w:name="item_9c_disclosure_regarding_foreign"/>
      <w:bookmarkEnd w:id="26"/>
      <w:r>
        <w:rPr>
          <w:rFonts w:ascii="Times New Roman" w:hAnsi="Times New Roman"/>
          <w:b/>
          <w:color w:val="000000"/>
          <w:sz w:val="20"/>
        </w:rPr>
        <w:t>Item 9C. Disclosure Regarding Foreign Jurisdictions that Prevent Inspections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sz w:val="20"/>
        </w:rPr>
      </w:pPr>
      <w:bookmarkStart w:id="27" w:name="part_iii"/>
      <w:bookmarkEnd w:id="27"/>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r>
        <w:rPr>
          <w:rFonts w:ascii="Times New Roman" w:hAnsi="Times New Roman"/>
          <w:color w:val="000000"/>
          <w:sz w:val="20"/>
        </w:rPr>
        <w:t xml:space="preserve"> </w:t>
      </w:r>
    </w:p>
    <w:p>
      <w:pPr>
        <w:pStyle w:val="TextBody"/>
        <w:bidi w:val="0"/>
        <w:spacing w:before="0" w:after="120"/>
        <w:jc w:val="left"/>
        <w:rPr>
          <w:rFonts w:ascii="Times New Roman" w:hAnsi="Times New Roman"/>
          <w:b/>
          <w:color w:val="000000"/>
          <w:sz w:val="20"/>
        </w:rPr>
      </w:pPr>
      <w:bookmarkStart w:id="28" w:name="item_10_directors_executive_ficers_corpo"/>
      <w:bookmarkEnd w:id="28"/>
      <w:r>
        <w:rPr>
          <w:rFonts w:ascii="Times New Roman" w:hAnsi="Times New Roman"/>
          <w:b/>
          <w:color w:val="000000"/>
          <w:sz w:val="20"/>
        </w:rPr>
        <w:t>Item 10. Directors, Executive Officers and Corporate Governance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adopted a written code of business conduct and ethics that applies to our directors, officers and employees, including our principal executive officer and principal financial and accounting officer, or persons performing similar functions. A current copy of the code is posted on the Governance section of our website, which is located at investors.biomeafusion.com. If we make any substantive amendments to, or grant any waivers from, the code of business conduct and ethics for our principal executive officer, principal financial and accounting officer, or persons performing similar functions, or any officer or director, we will disclose the nature of such amendment or waiver on our website or in a current report on Form 8-K.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adopted an insider trading policy that applies to our director, officers, employees and selected consultants. We believe that our insider trading policy is reasonably designed to promote compliance with insider trading laws, rules and regulations, and listing standards applicable to us. A copy of our insider trading policy is filed as Exhibit 19.1 to this Annual Report on Form 10-K.</w:t>
      </w:r>
    </w:p>
    <w:p>
      <w:pPr>
        <w:pStyle w:val="TextBody"/>
        <w:bidi w:val="0"/>
        <w:spacing w:before="0" w:after="120"/>
        <w:jc w:val="left"/>
        <w:rPr>
          <w:rFonts w:ascii="Times New Roman" w:hAnsi="Times New Roman"/>
          <w:sz w:val="20"/>
        </w:rPr>
      </w:pPr>
      <w:bookmarkStart w:id="29" w:name="item_11_executive_compensation"/>
      <w:bookmarkEnd w:id="29"/>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pStyle w:val="TextBody"/>
        <w:bidi w:val="0"/>
        <w:spacing w:before="0" w:after="120"/>
        <w:jc w:val="left"/>
        <w:rPr>
          <w:rFonts w:ascii="Times New Roman" w:hAnsi="Times New Roman"/>
          <w:b/>
          <w:color w:val="000000"/>
          <w:sz w:val="20"/>
        </w:rPr>
      </w:pPr>
      <w:bookmarkStart w:id="30" w:name="item_12_security_ownership_certain_benef"/>
      <w:bookmarkEnd w:id="30"/>
      <w:r>
        <w:rPr>
          <w:rFonts w:ascii="Times New Roman" w:hAnsi="Times New Roman"/>
          <w:b/>
          <w:color w:val="000000"/>
          <w:sz w:val="20"/>
        </w:rPr>
        <w:t>Item 12. Security Ownership of Certain Beneficial Owners and Management and Related Stockholder Matters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pStyle w:val="TextBody"/>
        <w:bidi w:val="0"/>
        <w:spacing w:before="0" w:after="120"/>
        <w:jc w:val="left"/>
        <w:rPr>
          <w:rFonts w:ascii="Times New Roman" w:hAnsi="Times New Roman"/>
          <w:sz w:val="20"/>
        </w:rPr>
      </w:pPr>
      <w:bookmarkStart w:id="31" w:name="item_13_certain_relationships_related_tr"/>
      <w:bookmarkEnd w:id="31"/>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pStyle w:val="TextBody"/>
        <w:bidi w:val="0"/>
        <w:spacing w:before="0" w:after="120"/>
        <w:jc w:val="left"/>
        <w:rPr>
          <w:rFonts w:ascii="Times New Roman" w:hAnsi="Times New Roman"/>
          <w:b/>
          <w:color w:val="000000"/>
          <w:sz w:val="20"/>
        </w:rPr>
      </w:pPr>
      <w:bookmarkStart w:id="32" w:name="item_14_principal_accounting_fees_servic"/>
      <w:bookmarkEnd w:id="32"/>
      <w:r>
        <w:rPr>
          <w:rFonts w:ascii="Times New Roman" w:hAnsi="Times New Roman"/>
          <w:b/>
          <w:color w:val="000000"/>
          <w:sz w:val="20"/>
        </w:rPr>
        <w:t>Item 14. Principal Accountant Fees and Services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3" w:name="part_iv"/>
      <w:bookmarkEnd w:id="3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bookmarkStart w:id="34" w:name="item_15_exhibits_financial_statement_sch"/>
      <w:bookmarkEnd w:id="34"/>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List the following documents filed as a part of the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statements filed as part of this Annual Report on Form 10</w:t>
        <w:noBreakHyphen/>
        <w:t>K are listed in the “Index to Financial Statements” under Part II, Item 8 of this Annual Report on Form 10</w:t>
        <w:noBreakHyphen/>
        <w:t>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 schedules have been omitted in this Annual Report on Form 10-K because they are not applicable, not required under the instructions, or the information requested is set forth in the financial statements or related notes thereto.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list of exhibits filed with this Annual Report on Form 10-K is set forth in the Exhibit Index preceding the signature page and is incorporated herein by reference or filed with this Annual Report on Form 10-K, in each case as indicated therein (numbered in accordance with Item 601 of Regulation S-K).</w:t>
      </w:r>
    </w:p>
    <w:p>
      <w:pPr>
        <w:pStyle w:val="TextBody"/>
        <w:bidi w:val="0"/>
        <w:spacing w:before="360" w:after="283"/>
        <w:jc w:val="left"/>
        <w:rPr>
          <w:rFonts w:ascii="Times New Roman" w:hAnsi="Times New Roman"/>
          <w:sz w:val="20"/>
        </w:rPr>
      </w:pPr>
      <w:bookmarkStart w:id="35" w:name="item_16_form_10k_summary"/>
      <w:bookmarkEnd w:id="35"/>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120"/>
        <w:jc w:val="left"/>
        <w:rPr>
          <w:rFonts w:ascii="Times New Roman" w:hAnsi="Times New Roman"/>
          <w:b/>
          <w:color w:val="000000"/>
          <w:sz w:val="20"/>
        </w:rPr>
      </w:pPr>
      <w:bookmarkStart w:id="36" w:name="exhibit_index"/>
      <w:bookmarkEnd w:id="36"/>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811"/>
        <w:gridCol w:w="146"/>
        <w:gridCol w:w="5399"/>
        <w:gridCol w:w="146"/>
        <w:gridCol w:w="586"/>
        <w:gridCol w:w="146"/>
        <w:gridCol w:w="728"/>
        <w:gridCol w:w="146"/>
        <w:gridCol w:w="796"/>
        <w:gridCol w:w="146"/>
        <w:gridCol w:w="1155"/>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Filed Herewith</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Amended and Restated Certificate of Incorporation, as currently in effect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Amended and Restated Bylaws, as currently in effect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Common Stock Certificate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Description of Registrant’s Securities Registered pursuant to Section 12 of the Securities Exchange Act of 1934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Investors’ Rights Agreement, dated December 18, 2020, by and among the Registrant and the investors listed therein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3/26/2021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Pre-Funded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Common Stock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Secondary Sublease, dated August 18, 2020, by and between the Registrant and Interactive Memories, Inc. d/b/a Mixbook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Indemnification and Advancement Agreement for Directors and Officers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Sublease Agreement between the Registrant and Box, Inc., dated September 7, 2022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0"/>
        <w:gridCol w:w="146"/>
        <w:gridCol w:w="6516"/>
        <w:gridCol w:w="146"/>
        <w:gridCol w:w="483"/>
        <w:gridCol w:w="146"/>
        <w:gridCol w:w="824"/>
        <w:gridCol w:w="146"/>
        <w:gridCol w:w="653"/>
        <w:gridCol w:w="146"/>
        <w:gridCol w:w="289"/>
      </w:tblGrid>
      <w:tr>
        <w:trPr/>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Equity Distribution Agreement, dated November 25, 2022, by and between the Company and Piper Sandler &amp; Co.</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11/25/2022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Executive Change in Control and Severance Agreement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First Amendment to Change in Control and Severance Agreement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Updated Form Executive Change in Control and Severance Agreement adopted November 13,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2020 Equity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3/26/2021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Stock Option Agreement under 2020 Equity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3/26/2021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2021 Incentive Award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Stock Option Grant Notice and Stock Option Agreement under the 2021 Incentive Award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Restricted Stock Award Grant Notice and Restricted Stock Award Agreement under the 2021 Incentive Award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Restricted Stock Unit Award Grant Notice and Restricted Stock Unit Award Agreement under the 2021 Incentive Award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Employee Stock Purchase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Employment Offer Letter Agreement by and between the Registrant and Thomas Butler</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3/26/2021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mea-ex10_10.htm">
              <w:r>
                <w:rPr>
                  <w:rStyle w:val="InternetLink"/>
                  <w:rFonts w:ascii="Times New Roman" w:hAnsi="Times New Roman"/>
                  <w:color w:val="0000FF"/>
                  <w:sz w:val="20"/>
                  <w:u w:val="single"/>
                </w:rPr>
                <w:t>Separation Agreement and Release, dated May 1, 2025, by and between the Registrant and Thomas Butler</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Employment Offer Letter Agreement by and between the Registrant and Ramses Erdtmann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3/26/2021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Employment Offer Letter Agreement by and between the Registrant and Franco Valle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8/11/2021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Employment Offer Letter Agreement by and between the Registrant and Juan Pablo Frias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Employment Offer Letter Agreement by and between the Registrant and Michael J.M. Hitchcock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1"/>
        <w:gridCol w:w="146"/>
        <w:gridCol w:w="6736"/>
        <w:gridCol w:w="146"/>
        <w:gridCol w:w="445"/>
        <w:gridCol w:w="146"/>
        <w:gridCol w:w="680"/>
        <w:gridCol w:w="146"/>
        <w:gridCol w:w="584"/>
        <w:gridCol w:w="146"/>
        <w:gridCol w:w="289"/>
      </w:tblGrid>
      <w:tr>
        <w:trPr/>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Amendment to Employment Offer Letter Agreement by and between the Registrant and Michael J.M. Hitchcock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Non-Employee Director Compensation Program</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2023 Inducement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Non-Qualified Stock Option Agreement under the 2023 Inducement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Form of Restricted Stock Award Agreement under the 2023 Inducement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Form of Restricted Stock Unit Agreement under the 2023 Inducement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Insider Trading Policy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Subsidiaries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mea-ex23_1.htm">
              <w:r>
                <w:rPr>
                  <w:rStyle w:val="InternetLink"/>
                  <w:rFonts w:ascii="Times New Roman" w:hAnsi="Times New Roman"/>
                  <w:color w:val="0000FF"/>
                  <w:sz w:val="20"/>
                  <w:u w:val="single"/>
                </w:rPr>
                <w:t>Consent of Independent Registered Public Accounting Firm</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on signature page to this Annual Report on Form 10-K)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me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mea-ex31_1.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me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mea-ex32_1.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Biomea Fusion, Inc.’s Compensation Recovery Policy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866" w:type="dxa"/>
        <w:jc w:val="left"/>
        <w:tblInd w:w="0" w:type="dxa"/>
        <w:tblLayout w:type="fixed"/>
        <w:tblCellMar>
          <w:top w:w="28" w:type="dxa"/>
          <w:left w:w="28" w:type="dxa"/>
          <w:bottom w:w="28" w:type="dxa"/>
          <w:right w:w="28" w:type="dxa"/>
        </w:tblCellMar>
      </w:tblPr>
      <w:tblGrid>
        <w:gridCol w:w="856"/>
        <w:gridCol w:w="146"/>
        <w:gridCol w:w="6556"/>
        <w:gridCol w:w="146"/>
        <w:gridCol w:w="146"/>
        <w:gridCol w:w="146"/>
        <w:gridCol w:w="146"/>
        <w:gridCol w:w="146"/>
        <w:gridCol w:w="146"/>
        <w:gridCol w:w="146"/>
        <w:gridCol w:w="286"/>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Indicates a management compensation plan, contract or arrangement</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The certifications attached as Exhibit 32.1 and 32.2 that accompany this Annual Report on Form 10-K are not deemed filed with the SEC and are not to be incorporated by reference into any filing of the Registrant under the Securities Act or the Exchange Act, whether made before or after the date of this Form 10-K,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7" w:name="signatures"/>
      <w:bookmarkEnd w:id="37"/>
      <w:r>
        <w:rPr>
          <w:rFonts w:ascii="Times New Roman" w:hAnsi="Times New Roman"/>
          <w:b/>
          <w:color w:val="000000"/>
          <w:sz w:val="20"/>
        </w:rPr>
        <w:t>SIGNATURES</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6314" w:type="dxa"/>
        <w:jc w:val="left"/>
        <w:tblInd w:w="0" w:type="dxa"/>
        <w:tblLayout w:type="fixed"/>
        <w:tblCellMar>
          <w:top w:w="28" w:type="dxa"/>
          <w:left w:w="28" w:type="dxa"/>
          <w:bottom w:w="28" w:type="dxa"/>
          <w:right w:w="28" w:type="dxa"/>
        </w:tblCellMar>
      </w:tblPr>
      <w:tblGrid>
        <w:gridCol w:w="1891"/>
        <w:gridCol w:w="146"/>
        <w:gridCol w:w="406"/>
        <w:gridCol w:w="387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Biomea Fusion,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J.M. Hitchcock</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Interim Chief Executive Officer, Director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Rainer Erdtmann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Operating Officer, Director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360" w:after="283"/>
        <w:jc w:val="center"/>
        <w:rPr>
          <w:rFonts w:ascii="Times New Roman" w:hAnsi="Times New Roman"/>
          <w:b/>
          <w:color w:val="000000"/>
          <w:sz w:val="20"/>
        </w:rPr>
      </w:pPr>
      <w:bookmarkStart w:id="38" w:name="power_of_attorney"/>
      <w:bookmarkEnd w:id="38"/>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 ALL BY THESE PRESENTS, that each person whose signature appears below constitutes and appoints each of Michael J.M. Hitchcock and Rainer Erdtmann as his or her true and lawful attorneys-in-fact and agents, each with the full power of substitution, for him or her in his or her name, place or stead, in any and all capacities, to sign any and all amendments to this Annual Report on Form 10-K, and to file the same, with all exhibits thereto, and other documents in connection therewith, with the U.S.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that said attorneys-in-fact and agents, or his or her substitute or substitutes, may lawfully do or cause to be done by virtue hereof.</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spacing w:before="40" w:after="283"/>
        <w:jc w:val="left"/>
        <w:rPr/>
      </w:pPr>
      <w:r>
        <w:rPr/>
        <w:t> </w:t>
      </w:r>
    </w:p>
    <w:p>
      <w:pPr>
        <w:pStyle w:val="TextBody"/>
        <w:bidi w:val="0"/>
        <w:spacing w:before="4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4"/>
        <w:gridCol w:w="146"/>
        <w:gridCol w:w="6234"/>
        <w:gridCol w:w="146"/>
        <w:gridCol w:w="1415"/>
      </w:tblGrid>
      <w:tr>
        <w:trPr/>
        <w:tc>
          <w:tcPr>
            <w:tcW w:w="2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22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J.M. Hitchcock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 Director (Principal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24, 2026</w:t>
            </w:r>
          </w:p>
        </w:tc>
      </w:tr>
      <w:tr>
        <w:trPr/>
        <w:tc>
          <w:tcPr>
            <w:tcW w:w="22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J.M. Hitchcock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Rainer Erdtmann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Officer, Director (Principal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24, 2026</w:t>
            </w:r>
          </w:p>
        </w:tc>
      </w:tr>
      <w:tr>
        <w:trPr/>
        <w:tc>
          <w:tcPr>
            <w:tcW w:w="22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Rainer Erdtmann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Eric Aguiar, M.D.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3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24, 2026</w:t>
            </w:r>
          </w:p>
        </w:tc>
      </w:tr>
      <w:tr>
        <w:trPr/>
        <w:tc>
          <w:tcPr>
            <w:tcW w:w="22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Eric Aguiar,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Julianne Averill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3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24, 2026</w:t>
            </w:r>
          </w:p>
        </w:tc>
      </w:tr>
      <w:tr>
        <w:trPr/>
        <w:tc>
          <w:tcPr>
            <w:tcW w:w="22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Julianne Averill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Sumita Ray, J.D.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24, 2026</w:t>
            </w:r>
          </w:p>
        </w:tc>
      </w:tr>
      <w:tr>
        <w:trPr/>
        <w:tc>
          <w:tcPr>
            <w:tcW w:w="22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Sumita Ray, J.D.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Elizabeth Faust, Ph.D.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3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24, 2026</w:t>
            </w:r>
          </w:p>
        </w:tc>
      </w:tr>
      <w:tr>
        <w:trPr/>
        <w:tc>
          <w:tcPr>
            <w:tcW w:w="22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Elizabeth Faust,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bmea-ex4_2.htm"/>
      <w:bookmarkStart w:id="40" w:name="ksbmeaex4_2"/>
      <w:bookmarkEnd w:id="39"/>
      <w:bookmarkEnd w:id="40"/>
      <w:r>
        <w:rPr>
          <w:rFonts w:ascii="Times New Roman" w:hAnsi="Times New Roman"/>
          <w:b/>
          <w:color w:val="000000"/>
          <w:sz w:val="20"/>
        </w:rPr>
        <w:t>Exhibit 4.2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DESCRIPTION OF REGISTRANT’S SECURITIES</w:t>
      </w:r>
    </w:p>
    <w:p>
      <w:pPr>
        <w:pStyle w:val="TextBody"/>
        <w:bidi w:val="0"/>
        <w:jc w:val="center"/>
        <w:rPr>
          <w:rFonts w:ascii="Times New Roman" w:hAnsi="Times New Roman"/>
          <w:b/>
          <w:color w:val="000000"/>
          <w:sz w:val="20"/>
        </w:rPr>
      </w:pPr>
      <w:r>
        <w:rPr>
          <w:rFonts w:ascii="Times New Roman" w:hAnsi="Times New Roman"/>
          <w:b/>
          <w:color w:val="000000"/>
          <w:sz w:val="20"/>
        </w:rPr>
        <w:t>REGISTERED PURSUANT TO SECTION 12 OF THE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left"/>
        <w:rPr>
          <w:rFonts w:ascii="Times New Roman" w:hAnsi="Times New Roman"/>
          <w:i/>
          <w:color w:val="000000"/>
          <w:sz w:val="20"/>
        </w:rPr>
      </w:pPr>
      <w:r>
        <w:rPr>
          <w:rFonts w:ascii="Times New Roman" w:hAnsi="Times New Roman"/>
          <w:i/>
          <w:color w:val="000000"/>
          <w:sz w:val="20"/>
        </w:rPr>
        <w:t>The following summary describes our capital stock and the material provisions of our amended and restated certificate of incorporation and our amended and restated bylaws, the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investors’ rights agreement, copies of which are incorporated by reference as Exhibits 3.1, 3.2 and 4.3, respectively, to our Annual Report on Form 10-K.</w:t>
      </w:r>
    </w:p>
    <w:p>
      <w:pPr>
        <w:pStyle w:val="TextBody"/>
        <w:bidi w:val="0"/>
        <w:spacing w:before="360" w:after="283"/>
        <w:jc w:val="left"/>
        <w:rPr>
          <w:rFonts w:ascii="Times New Roman" w:hAnsi="Times New Roman"/>
          <w:sz w:val="20"/>
        </w:rPr>
      </w:pPr>
      <w:r>
        <w:rPr>
          <w:rFonts w:ascii="Times New Roman" w:hAnsi="Times New Roman"/>
          <w:b/>
          <w:color w:val="000000"/>
          <w:sz w:val="20"/>
        </w:rPr>
        <w:t>Authorized Capital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authorized capital stock consists of 300,000,000 shares of common stock, par value $0.0001 per share, and 10,000,000 shares of preferred stock, par value $0.0001 per share, all of which preferred stock is undesignated. As of December 31, 2025, we had 72,299,440 shares of our common stock outstanding and no shares of preferred stock outstanding. Unless our board of directors determines otherwise, we will issue all shares of our capital stock in uncertificated form. </w:t>
      </w:r>
    </w:p>
    <w:p>
      <w:pPr>
        <w:pStyle w:val="TextBody"/>
        <w:bidi w:val="0"/>
        <w:spacing w:before="36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our liquidation, dissolution or winding up, holders of our common stock will be entitled to share ratably in all assets remaining after payment of all debts and other liabilities and any liquidation preference of any outstanding preferred stock. All of our outstanding shares of common stock are fully paid and non-assessable.</w:t>
      </w:r>
    </w:p>
    <w:p>
      <w:pPr>
        <w:pStyle w:val="TextBody"/>
        <w:bidi w:val="0"/>
        <w:spacing w:before="360" w:after="283"/>
        <w:jc w:val="left"/>
        <w:rPr>
          <w:rFonts w:ascii="Times New Roman" w:hAnsi="Times New Roman"/>
          <w:sz w:val="20"/>
        </w:rPr>
      </w:pPr>
      <w:r>
        <w:rPr>
          <w:rFonts w:ascii="Times New Roman" w:hAnsi="Times New Roman"/>
          <w:b/>
          <w:i/>
          <w:color w:val="000000"/>
          <w:sz w:val="20"/>
        </w:rPr>
        <w:t>Exchange Listing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listed on The Nasdaq Global Select Market under the symbol “BMEA.” On March 18, 2026, the closing price for our common stock, as reported on The Nasdaq Global Select Market, was $1.17 per share. As of March 18, 2026, we had approximately 29 stockholders of record. </w:t>
      </w:r>
    </w:p>
    <w:p>
      <w:pPr>
        <w:pStyle w:val="TextBody"/>
        <w:bidi w:val="0"/>
        <w:spacing w:before="360" w:after="283"/>
        <w:jc w:val="left"/>
        <w:rPr>
          <w:rFonts w:ascii="Times New Roman" w:hAnsi="Times New Roman"/>
          <w:sz w:val="20"/>
        </w:rPr>
      </w:pPr>
      <w:r>
        <w:rPr>
          <w:rFonts w:ascii="Times New Roman" w:hAnsi="Times New Roman"/>
          <w:b/>
          <w:i/>
          <w:color w:val="000000"/>
          <w:sz w:val="20"/>
        </w:rPr>
        <w:t>Transfer Agent and Registrar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transfer agent and registrar for our common stock is Equiniti Trust Company, LLC. The transfer agent and registrar’s address is 28 Liberty Street, Floor 53, New York, NY 10005. </w:t>
      </w:r>
    </w:p>
    <w:p>
      <w:pPr>
        <w:pStyle w:val="TextBody"/>
        <w:bidi w:val="0"/>
        <w:spacing w:before="360" w:after="283"/>
        <w:jc w:val="left"/>
        <w:rPr>
          <w:rFonts w:ascii="Times New Roman" w:hAnsi="Times New Roman"/>
          <w:sz w:val="20"/>
        </w:rPr>
      </w:pPr>
      <w:r>
        <w:rPr>
          <w:rFonts w:ascii="Times New Roman" w:hAnsi="Times New Roman"/>
          <w:b/>
          <w:color w:val="000000"/>
          <w:sz w:val="20"/>
        </w:rPr>
        <w:t>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Undesignated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the board of directors may fix are: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Dividend rights;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Dividend rates;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Conversion rights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Voting rights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Terms of redemption;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Liquidation preferences.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360" w:after="283"/>
        <w:jc w:val="left"/>
        <w:rPr>
          <w:rFonts w:ascii="Times New Roman" w:hAnsi="Times New Roman"/>
          <w:sz w:val="20"/>
        </w:rPr>
      </w:pPr>
      <w:r>
        <w:rPr>
          <w:rFonts w:ascii="Times New Roman" w:hAnsi="Times New Roman"/>
          <w:b/>
          <w:i/>
          <w:color w:val="000000"/>
          <w:sz w:val="20"/>
        </w:rPr>
        <w:t>Additional Series of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file and incorporate by reference into our applicable filings with the U.S. Securities and Exchange Commission the form of any certificate of designation that describes the terms of any additional series of preferred stock we may offer or issue. This description and any applicable prospectus or prospectus supplement will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title and stated value;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authorized;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liquidation preference per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purchase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dividend rate, period and payment date, and method of calculation for dividends;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dividends will be cumulative or non-cumulative and, if cumulative, the date from which dividends will accumulate;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procedures for any auction and remarketing,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provisions of a sinking fund,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provisions for redemption or repurchase, if applicable, and any restrictions on our ability to exercise those redemption and repurchase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listing of the preferred stock on any securities exchange or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preferred stock will be convertible into our common stock, and, if applicable, the conversion price, or how it will be calculated, and the conversion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voting rights, if any, of the preferred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preemptive rights,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transfer, sale or other assignment,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interests in the preferred stock will be represented by depositary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discussion of any material United States federal income tax considerations applicable to the preferred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relative ranking and preferences of the preferred stock as to dividend rights and rights if we liquidate, dissolve or wind up our affairs;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limitations on issuance of any class or series of preferred stock ranking senior to or on a parity with the series of preferred stock as to dividend rights and rights if we liquidate, dissolve or wind up our affairs; and</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specific terms, preferences, rights or limitations of, or restrictions on, the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we issue shares of preferred stock under any prospectus or prospectus supplement, the shares will be fully paid and nonassessable and will not be subject to any preemptive or similar rights.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Common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(i) 23,000,000 shares of common stock issuable upon the exercise of warrants and each of such warrants has an exercise price of $2.50 per share (the “Exercise Price”) or, if such warrant is being exercised for pre-funded warrants, the aggregate Exercise Price, less $0.00001, multiplied by the number of warrant shares as to which such warrant is being exercised, and may be exercised at any time prior to 5:00 p.m. (New York City Time) on December 20, 2026 (the “June 2025 Warrants”), and (ii) 14,024,389 shares of common stock issuable upon the exercise of warrants at the Exercise Price or, if such warrant is being exercised for pre-funded warrants, the aggregate Exercise Price, less $0.0001, multiplied by the number of warrant shares as to which such warrant is being exercised, and may be exercised at any time prior to 5:00 p.m. (New York City Time) on October 6, 2028 (the “October 2025 Warrants”, together with the June 2025 Warrants, the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holder of the Warrants will not entitled to exercise any portion of any Warrant, which, upon giving effect to such exercise, would cause (i) the aggregate number of shares of our common stock beneficially owned by the holder (together with its affiliates) to exceed 4.5% (or, at the election of the holder, up to 9.99%) of the number of shares of our common stock outstanding immediately after giving effect to the exercise, or (ii) the combined voting power of our securities beneficially owned by the holder (together with its affiliates) to exceed 4.99% (or, at the election of the holder, up to 9.99%) of the combined voting power of all of our securities then outstanding immediately after giving effect to the exercise, as such percentage ownership is determined in accordance with the terms of the Warrants. However, any holder may increase or decrease such percentage to any other percentage not in excess of 19.99% upon at least 61 days’ prior notice from the holder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exercise price of the Warrants and the number of shares of our common stock issuable upon exercise of the Warrants are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by virtue of such holder’s ownership of shares of our common stock, the holder of a Warrant does not have the rights or privileges of a holder of our common stock, including any voting rights, until such holder exercises the Warrant.</w:t>
      </w:r>
    </w:p>
    <w:p>
      <w:pPr>
        <w:pStyle w:val="TextBody"/>
        <w:bidi w:val="0"/>
        <w:spacing w:before="360" w:after="283"/>
        <w:jc w:val="left"/>
        <w:rPr>
          <w:rFonts w:ascii="Times New Roman" w:hAnsi="Times New Roman"/>
          <w:sz w:val="20"/>
        </w:rPr>
      </w:pPr>
      <w:r>
        <w:rPr>
          <w:rFonts w:ascii="Times New Roman" w:hAnsi="Times New Roman"/>
          <w:b/>
          <w:color w:val="000000"/>
          <w:sz w:val="20"/>
        </w:rPr>
        <w:t>Registration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holders of our common stock, or their transferees, are entitled to the registration rights set forth below with respect to registration of the resale of such shares under the Securities Act of 1933, as amended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 </w:t>
      </w:r>
    </w:p>
    <w:p>
      <w:pPr>
        <w:pStyle w:val="TextBody"/>
        <w:bidi w:val="0"/>
        <w:spacing w:before="360" w:after="283"/>
        <w:jc w:val="left"/>
        <w:rPr>
          <w:rFonts w:ascii="Times New Roman" w:hAnsi="Times New Roman"/>
          <w:sz w:val="20"/>
        </w:rPr>
      </w:pPr>
      <w:r>
        <w:rPr>
          <w:rFonts w:ascii="Times New Roman" w:hAnsi="Times New Roman"/>
          <w:b/>
          <w:i/>
          <w:color w:val="000000"/>
          <w:sz w:val="20"/>
        </w:rPr>
        <w:t>Demand Registration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major investors holding, collectively, 40% of registrable securities, or a lesser percent if the anticipated aggregate offering price exceeds $15.0 million, net of selling expenses, may request that we register all or a portion of their shares, subject to certain specified exceptions. If any of these holders exercises its demand registration rights, then holders of approximately 9.1 million shares of our common stock will be entitled to register their shares, subject to specified conditions and limitations in the corresponding offering. </w:t>
      </w:r>
    </w:p>
    <w:p>
      <w:pPr>
        <w:pStyle w:val="TextBody"/>
        <w:bidi w:val="0"/>
        <w:spacing w:before="360" w:after="283"/>
        <w:jc w:val="left"/>
        <w:rPr/>
      </w:pPr>
      <w:r>
        <w:rPr>
          <w:color w:val="000000"/>
        </w:rPr>
        <w:t>“</w:t>
      </w:r>
      <w:r>
        <w:rPr>
          <w:rFonts w:ascii="Times New Roman" w:hAnsi="Times New Roman"/>
          <w:b/>
          <w:i/>
          <w:color w:val="000000"/>
          <w:sz w:val="20"/>
        </w:rPr>
        <w:t>Piggyback” Registration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that we propose to register any of our securities under the Securities Act in an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Form S-3 Registration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major investors holding at least 20% of registrable securities may, on not more than two registrations on Form S-3 within any 12-month period, request that we register all or a portion of their shares on Form S-3 if we are qualified to file a registration statement on Form S-3, subject to specified exceptions. Such request for registration on Form S-3 must cover securities with an aggregate offering price which equals or exceeds $5.0 million, net of selling expenses. The right to have such shares registered on Form S-3 is further subject to other specified conditions and limitations.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Expenses of Registration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pay the registration expenses, other than underwriting discounts, selling commissions and stock transfer taxes, of the shares registered pursuant to the demand, piggyback and Form S-3 registrations described above. </w:t>
      </w:r>
    </w:p>
    <w:p>
      <w:pPr>
        <w:pStyle w:val="TextBody"/>
        <w:bidi w:val="0"/>
        <w:spacing w:before="360" w:after="283"/>
        <w:jc w:val="left"/>
        <w:rPr>
          <w:rFonts w:ascii="Times New Roman" w:hAnsi="Times New Roman"/>
          <w:sz w:val="20"/>
        </w:rPr>
      </w:pPr>
      <w:r>
        <w:rPr>
          <w:rFonts w:ascii="Times New Roman" w:hAnsi="Times New Roman"/>
          <w:b/>
          <w:i/>
          <w:color w:val="000000"/>
          <w:sz w:val="20"/>
        </w:rPr>
        <w:t>Termination of Registration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piggyback and Form S-3 registration rights described above will terminate upon the earliest of (i) with respect to each stockholder, such date, on or after the completion of our initial public offering (“IPO”), on which all registrable shares held by such stockholder may immediately be sold during any 90-day period pursuant to Rule 144 of the Securities Act, (ii) the occurrence of a deemed liquidation event, as defined in our amended and restated certificate of incorporation, as currently in effect and (iii) the fifth anniversary of our IPO. </w:t>
      </w:r>
    </w:p>
    <w:p>
      <w:pPr>
        <w:pStyle w:val="TextBody"/>
        <w:bidi w:val="0"/>
        <w:spacing w:before="360" w:after="283"/>
        <w:jc w:val="left"/>
        <w:rPr>
          <w:rFonts w:ascii="Times New Roman" w:hAnsi="Times New Roman"/>
          <w:sz w:val="20"/>
        </w:rPr>
      </w:pPr>
      <w:r>
        <w:rPr>
          <w:rFonts w:ascii="Times New Roman" w:hAnsi="Times New Roman"/>
          <w:b/>
          <w:color w:val="000000"/>
          <w:sz w:val="20"/>
        </w:rPr>
        <w:t>Authorized but Unissued Capital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Delaware General Corporation Law (“DGCL”)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 </w:t>
      </w:r>
    </w:p>
    <w:p>
      <w:pPr>
        <w:pStyle w:val="TextBody"/>
        <w:bidi w:val="0"/>
        <w:spacing w:before="360" w:after="283"/>
        <w:jc w:val="left"/>
        <w:rPr>
          <w:rFonts w:ascii="Times New Roman" w:hAnsi="Times New Roman"/>
          <w:sz w:val="20"/>
        </w:rPr>
      </w:pPr>
      <w:r>
        <w:rPr>
          <w:rFonts w:ascii="Times New Roman" w:hAnsi="Times New Roman"/>
          <w:b/>
          <w:color w:val="000000"/>
          <w:sz w:val="20"/>
        </w:rPr>
        <w:t>Provisions of our Amended and Restated Certificate of Incorporation and Amended and Restated Bylaws and Delaware Anti-Takeover Law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283"/>
        <w:jc w:val="left"/>
        <w:rPr>
          <w:rFonts w:ascii="Times New Roman" w:hAnsi="Times New Roman"/>
          <w:sz w:val="20"/>
        </w:rPr>
      </w:pPr>
      <w:r>
        <w:rPr>
          <w:rFonts w:ascii="Times New Roman" w:hAnsi="Times New Roman"/>
          <w:b/>
          <w:i/>
          <w:color w:val="000000"/>
          <w:sz w:val="20"/>
        </w:rPr>
        <w:t>Delaware anti-takeover statute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Undesignated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Special stockholder meetings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a special meeting of stockholders may be called at any time by our board of directors, but such special meetings may not be called by the stockholders or any other person or persons. </w:t>
      </w:r>
    </w:p>
    <w:p>
      <w:pPr>
        <w:pStyle w:val="TextBody"/>
        <w:bidi w:val="0"/>
        <w:spacing w:before="360" w:after="283"/>
        <w:jc w:val="left"/>
        <w:rPr>
          <w:rFonts w:ascii="Times New Roman" w:hAnsi="Times New Roman"/>
          <w:sz w:val="20"/>
        </w:rPr>
      </w:pPr>
      <w:r>
        <w:rPr>
          <w:rFonts w:ascii="Times New Roman" w:hAnsi="Times New Roman"/>
          <w:b/>
          <w:i/>
          <w:color w:val="000000"/>
          <w:sz w:val="20"/>
        </w:rPr>
        <w:t>Requirements for advance notification of stockholder nominations and proposals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contain advance notice procedures with respect to stockholder proposals and the nomination of candidates for election as directors, other than nominations made by or at the direction of the board of directors or a committee of the board of directors. </w:t>
      </w:r>
    </w:p>
    <w:p>
      <w:pPr>
        <w:pStyle w:val="TextBody"/>
        <w:bidi w:val="0"/>
        <w:spacing w:before="360" w:after="283"/>
        <w:jc w:val="left"/>
        <w:rPr>
          <w:rFonts w:ascii="Times New Roman" w:hAnsi="Times New Roman"/>
          <w:sz w:val="20"/>
        </w:rPr>
      </w:pPr>
      <w:r>
        <w:rPr>
          <w:rFonts w:ascii="Times New Roman" w:hAnsi="Times New Roman"/>
          <w:b/>
          <w:i/>
          <w:color w:val="000000"/>
          <w:sz w:val="20"/>
        </w:rPr>
        <w:t>No stockholder action by written consent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does not allow stockholders to act by written consent without a meeting. </w:t>
      </w:r>
    </w:p>
    <w:p>
      <w:pPr>
        <w:pStyle w:val="TextBody"/>
        <w:bidi w:val="0"/>
        <w:spacing w:before="360" w:after="283"/>
        <w:jc w:val="left"/>
        <w:rPr>
          <w:rFonts w:ascii="Times New Roman" w:hAnsi="Times New Roman"/>
          <w:sz w:val="20"/>
        </w:rPr>
      </w:pPr>
      <w:r>
        <w:rPr>
          <w:rFonts w:ascii="Times New Roman" w:hAnsi="Times New Roman"/>
          <w:b/>
          <w:i/>
          <w:color w:val="000000"/>
          <w:sz w:val="20"/>
        </w:rPr>
        <w:t>Classified board; election and removal of directors; filling vacancies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Choice of forum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DGCL, our amended and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will be the exclusive forum for the resolution of any complaint asserting a cause or causes of action against us or any defendant arising under the Securities Act. Such provision is intended to benefit and may be enforced by us, our officers and directors, employees and agents, including the underwriters and any other professional or entity who has prepared or certified any part of any registration statement or prospectus pursuant to which we have offered or sold securities. Nothing in our amended and restated certificate of incorporation and amended and restated bylaws preclude stockholders that assert claims under the Exchange Act from bringing such claims in state or federal court, subject to applicable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action the subject matter of which is within the scope described above is filed in a court other than a court located within the State of Delaware, or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w:t>
      </w:r>
    </w:p>
    <w:p>
      <w:pPr>
        <w:pStyle w:val="TextBody"/>
        <w:bidi w:val="0"/>
        <w:spacing w:before="360" w:after="283"/>
        <w:jc w:val="left"/>
        <w:rPr>
          <w:rFonts w:ascii="Times New Roman" w:hAnsi="Times New Roman"/>
          <w:sz w:val="20"/>
        </w:rPr>
      </w:pPr>
      <w:r>
        <w:rPr>
          <w:rFonts w:ascii="Times New Roman" w:hAnsi="Times New Roman"/>
          <w:b/>
          <w:i/>
          <w:color w:val="000000"/>
          <w:sz w:val="20"/>
        </w:rPr>
        <w:t>Amendment of charter provisions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amendment of any of the above provisions in our amended and restated certificate of incorporation, except for the provision making it possible for our board of directors to issue undesignated preferred stock, requires approval by a stockholder vote by the holders of at least 66-2/3% of the voting power of the then outstanding voting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provisions of the DGCL,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bmea-ex10_10.htm"/>
      <w:bookmarkStart w:id="42" w:name="ksbmeaex10_10"/>
      <w:bookmarkEnd w:id="41"/>
      <w:bookmarkEnd w:id="42"/>
      <w:r>
        <w:rPr>
          <w:rFonts w:ascii="Times New Roman" w:hAnsi="Times New Roman"/>
          <w:b/>
          <w:color w:val="000000"/>
          <w:sz w:val="20"/>
        </w:rPr>
        <w:t>Exhibit 10.10</w:t>
      </w:r>
      <w:r>
        <w:br w:type="page"/>
      </w:r>
    </w:p>
    <w:p>
      <w:pPr>
        <w:pStyle w:val="TextBody"/>
        <w:bidi w:val="0"/>
        <w:jc w:val="left"/>
        <w:rPr/>
      </w:pPr>
      <w:r>
        <w:rPr/>
        <w:t> </w:t>
      </w:r>
    </w:p>
    <w:p>
      <w:pPr>
        <w:pStyle w:val="TextBody"/>
        <w:bidi w:val="0"/>
        <w:spacing w:before="360" w:after="283"/>
        <w:jc w:val="center"/>
        <w:rPr>
          <w:rFonts w:ascii="Times New Roman" w:hAnsi="Times New Roman"/>
          <w:sz w:val="20"/>
        </w:rPr>
      </w:pPr>
      <w:r>
        <w:rPr>
          <w:rFonts w:ascii="Times New Roman" w:hAnsi="Times New Roman"/>
          <w:b/>
          <w:color w:val="000000"/>
          <w:sz w:val="20"/>
        </w:rPr>
        <w:t>BIOMEA FUSION, INC.</w:t>
      </w:r>
      <w:r>
        <w:rPr>
          <w:rFonts w:ascii="Times New Roman" w:hAnsi="Times New Roman"/>
          <w:color w:val="000000"/>
          <w:sz w:val="20"/>
        </w:rPr>
        <w:t xml:space="preserve">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CHANGE IN CONTROL AND SEVERANCE AGREEMENT</w:t>
      </w:r>
    </w:p>
    <w:p>
      <w:pPr>
        <w:pStyle w:val="TextBody"/>
        <w:bidi w:val="0"/>
        <w:spacing w:before="120" w:after="283"/>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This Change in Control and Severance Agreement (the “</w:t>
      </w:r>
      <w:r>
        <w:rPr>
          <w:rFonts w:ascii="Times New Roman" w:hAnsi="Times New Roman"/>
          <w:b/>
          <w:i/>
          <w:color w:val="000000"/>
          <w:sz w:val="20"/>
        </w:rPr>
        <w:t>Agreement</w:t>
      </w:r>
      <w:r>
        <w:rPr>
          <w:rFonts w:ascii="Times New Roman" w:hAnsi="Times New Roman"/>
          <w:color w:val="000000"/>
          <w:sz w:val="20"/>
        </w:rPr>
        <w:t xml:space="preserve">”) is made and entered into by and between </w:t>
      </w:r>
      <w:r>
        <w:rPr>
          <w:rFonts w:ascii="Times New Roman" w:hAnsi="Times New Roman"/>
          <w:b/>
          <w:color w:val="000000"/>
          <w:sz w:val="20"/>
        </w:rPr>
        <w:t>Thomas Butler</w:t>
      </w:r>
      <w:r>
        <w:rPr>
          <w:rFonts w:ascii="Times New Roman" w:hAnsi="Times New Roman"/>
          <w:color w:val="000000"/>
          <w:sz w:val="20"/>
        </w:rPr>
        <w:t xml:space="preserve"> (“</w:t>
      </w:r>
      <w:r>
        <w:rPr>
          <w:rFonts w:ascii="Times New Roman" w:hAnsi="Times New Roman"/>
          <w:b/>
          <w:i/>
          <w:color w:val="000000"/>
          <w:sz w:val="20"/>
        </w:rPr>
        <w:t>Executive</w:t>
      </w:r>
      <w:r>
        <w:rPr>
          <w:rFonts w:ascii="Times New Roman" w:hAnsi="Times New Roman"/>
          <w:color w:val="000000"/>
          <w:sz w:val="20"/>
        </w:rPr>
        <w:t>”) and Biomea Fusion, Inc. (the “</w:t>
      </w:r>
      <w:r>
        <w:rPr>
          <w:rFonts w:ascii="Times New Roman" w:hAnsi="Times New Roman"/>
          <w:b/>
          <w:i/>
          <w:color w:val="000000"/>
          <w:sz w:val="20"/>
        </w:rPr>
        <w:t>Company</w:t>
      </w:r>
      <w:r>
        <w:rPr>
          <w:rFonts w:ascii="Times New Roman" w:hAnsi="Times New Roman"/>
          <w:color w:val="000000"/>
          <w:sz w:val="20"/>
        </w:rPr>
        <w:t>”), effective as of August 16, 2018 (the “</w:t>
      </w:r>
      <w:r>
        <w:rPr>
          <w:rFonts w:ascii="Times New Roman" w:hAnsi="Times New Roman"/>
          <w:b/>
          <w:i/>
          <w:color w:val="000000"/>
          <w:sz w:val="20"/>
        </w:rPr>
        <w:t>Effective Date</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center"/>
        <w:rPr>
          <w:rFonts w:ascii="Times New Roman" w:hAnsi="Times New Roman"/>
          <w:sz w:val="20"/>
        </w:rPr>
      </w:pPr>
      <w:r>
        <w:rPr>
          <w:rFonts w:ascii="Times New Roman" w:hAnsi="Times New Roman"/>
          <w:color w:val="000000"/>
          <w:sz w:val="20"/>
          <w:u w:val="single"/>
        </w:rPr>
        <w:t>Background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The Board of Directors of the Company (the “Board”) recognizes that the possibility of an acquisition of the Company or an involuntary termination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 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 The Board believes that it is imperative to provide Executive with severance benefits upon certain terminations of Executive’s service to the Company that enhance Executive’s financial security and provide incentive and encouragement to Executive to remain with the Company notwithstanding the possibility of such an event.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 Unless otherwise defined herein, capitalized terms used in this Agreement are defined in Section 9 below.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u w:val="single"/>
        </w:rPr>
        <w:t>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parties hereto agree as follows:</w:t>
        <w:br/>
        <w:t> </w:t>
      </w:r>
    </w:p>
    <w:p>
      <w:pPr>
        <w:pStyle w:val="TextBody"/>
        <w:bidi w:val="0"/>
        <w:jc w:val="both"/>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Term of Agreement</w:t>
      </w:r>
      <w:r>
        <w:rPr>
          <w:rFonts w:ascii="Times New Roman" w:hAnsi="Times New Roman"/>
          <w:color w:val="000000"/>
          <w:sz w:val="20"/>
        </w:rPr>
        <w:t xml:space="preserve">. This Agreement shall become effective as of the Effective Date and terminate upon the date that all obligations of the parties hereto with respect to this Agreement have been satisfied. </w:t>
        <w:br/>
        <w:t> </w:t>
      </w:r>
    </w:p>
    <w:p>
      <w:pPr>
        <w:pStyle w:val="TextBody"/>
        <w:bidi w:val="0"/>
        <w:jc w:val="both"/>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At-Will Employment</w:t>
      </w:r>
      <w:r>
        <w:rPr>
          <w:rFonts w:ascii="Times New Roman" w:hAnsi="Times New Roman"/>
          <w:color w:val="000000"/>
          <w:sz w:val="20"/>
        </w:rPr>
        <w:t xml:space="preserve">. The Company and Executive acknowledge that Executive’s employment is and shall continue to be “at-will,” as defined under applicable law. Except as provided in Section 5 below, </w:t>
        <w:br/>
        <w:t xml:space="preserve">if Executive’s employment terminates for any reason, Executive shall not be entitled to any severance </w:t>
        <w:br/>
        <w:t xml:space="preserve">payments, benefits or compensation other than as provided in this Agreement. </w:t>
        <w:br/>
        <w:t> </w:t>
      </w:r>
    </w:p>
    <w:p>
      <w:pPr>
        <w:pStyle w:val="TextBody"/>
        <w:bidi w:val="0"/>
        <w:jc w:val="both"/>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Covered Termination Outside a Change in Control Period</w:t>
      </w:r>
      <w:r>
        <w:rPr>
          <w:rFonts w:ascii="Times New Roman" w:hAnsi="Times New Roman"/>
          <w:color w:val="000000"/>
          <w:sz w:val="20"/>
        </w:rPr>
        <w:t>. If Executive experiences a Covered Termination outside a Change in Control Period, then, subject to (i) Executive delivering to the Company an executed general release of all claims against the Company and its affiliates in a form approved by the Company (a “</w:t>
      </w:r>
      <w:r>
        <w:rPr>
          <w:rFonts w:ascii="Times New Roman" w:hAnsi="Times New Roman"/>
          <w:b/>
          <w:i/>
          <w:color w:val="000000"/>
          <w:sz w:val="20"/>
        </w:rPr>
        <w:t>Release of Claims</w:t>
      </w:r>
      <w:r>
        <w:rPr>
          <w:rFonts w:ascii="Times New Roman" w:hAnsi="Times New Roman"/>
          <w:color w:val="000000"/>
          <w:sz w:val="20"/>
        </w:rPr>
        <w:t xml:space="preserve">”) that becomes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effective and irrevocable in accordance with Section 14(a)(v) below, or such shorter period of time specified by the Company, following such Covered Termination and (ii) Executive’s continued compliance with Section 12 below, then in addition to any accrued but unpaid salary, benefits, vacation and expense reimbursements through the Termination Date payable in accordance with applicable law, the Company shall provide Executive with the following: </w:t>
        <w:br/>
        <w:t> </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Severance</w:t>
      </w:r>
      <w:r>
        <w:rPr>
          <w:rFonts w:ascii="Times New Roman" w:hAnsi="Times New Roman"/>
          <w:color w:val="000000"/>
          <w:sz w:val="20"/>
        </w:rPr>
        <w:t xml:space="preserve">. During the period of time commencing on the Termination Date and ending on the Twelve (12) month anniversary of the Termination Date, the Company shall continue to pay Executive his/her base salary at the rate in effect immediately prior to the Termination Date. Such payments shall be made in accordance with the Company’s standard payroll practices, less applicable withholdings, beginning on the first payroll date following the date the Release of Claims becomes effective and irrevocable in accordance with Section 14(a)(v) below, and with the first installment including any amounts that would have been paid had the Release of Claims been effective and irrevocable on the Termination Date. </w:t>
        <w:br/>
        <w:t> </w:t>
      </w:r>
    </w:p>
    <w:p>
      <w:pPr>
        <w:pStyle w:val="TextBody"/>
        <w:bidi w:val="0"/>
        <w:jc w:val="both"/>
        <w:rPr>
          <w:rFonts w:ascii="Times New Roman" w:hAnsi="Times New Roman"/>
          <w:sz w:val="20"/>
        </w:rPr>
      </w:pPr>
      <w:r>
        <w:rPr>
          <w:rFonts w:ascii="Times New Roman" w:hAnsi="Times New Roman"/>
          <w:color w:val="000000"/>
          <w:sz w:val="20"/>
        </w:rPr>
        <w:t>(b) Continued Healthcare. If Executive timely elects to receive continued healthcare coverage pursuant to the provisions of the Consolidated Omnibus Budget Reconciliation Act of 1985, as amended (“</w:t>
      </w:r>
      <w:r>
        <w:rPr>
          <w:rFonts w:ascii="Times New Roman" w:hAnsi="Times New Roman"/>
          <w:b/>
          <w:i/>
          <w:color w:val="000000"/>
          <w:sz w:val="20"/>
        </w:rPr>
        <w:t>COBRA</w:t>
      </w:r>
      <w:r>
        <w:rPr>
          <w:rFonts w:ascii="Times New Roman" w:hAnsi="Times New Roman"/>
          <w:color w:val="000000"/>
          <w:sz w:val="20"/>
        </w:rPr>
        <w:t>”), the Company shall directly pay, or reimburse Executive for, the Company’s portion of the premium (at the same rates in effect on the Termination Date) for Executive and Executive’s covered dependents through the earlier of (i) the Twelve (12) month anniversary of the Termination Date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Internal Revenue Code of 1986, as amended,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3(b), Executive may, if eligible, elect to continue healthcare coverage at Executive’s expense in accordance with the provisions of COBRA. Executive shall notify the Company immediately if Executive becomes covered by a group health plan of a subsequent employer.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Covered Termination During a Change in Control Period</w:t>
      </w:r>
      <w:r>
        <w:rPr>
          <w:rFonts w:ascii="Times New Roman" w:hAnsi="Times New Roman"/>
          <w:color w:val="000000"/>
          <w:sz w:val="20"/>
        </w:rPr>
        <w:t xml:space="preserve">. If Executive experiences a Covered Termination during a Change in Control Period, then, subject to (i) Executive delivering to the Company an executed Release of Claims that becomes effective and irrevocable in accordance with Section 14(a)(v) below, or such shorter period of time specified by the Company, following such Covered Termination and (ii) Executive’s continued compliance with Section 12 below, then in addition to any accrued but unpaid salary, benefits, vacation and expense reimbursements through the Termination Date payable in accordance with applicable law, the Company shall provide Executive with the following: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Severance</w:t>
      </w:r>
      <w:r>
        <w:rPr>
          <w:rFonts w:ascii="Times New Roman" w:hAnsi="Times New Roman"/>
          <w:color w:val="000000"/>
          <w:sz w:val="20"/>
        </w:rPr>
        <w:t xml:space="preserve">. During the period of time commencing on the Termination Date and ending on the Eighteen (18) month anniversary of the Termination Date, the Company shall continue to pay Executive his/her base salary at the rate in effect immediately prior to the Termination Date. Such payments shall be made in accordance with the Company’s standard payroll practices, less applicable withholdings, beginning on the first payroll date following the date the Release of Claims becomes effective and irrevocable in accordance with Section 14(a)(v) below, and with the first installment including any amounts that would have been paid had the Release of Claims been effective and irrevocable on the Termination Date.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Target Bonus</w:t>
      </w:r>
      <w:r>
        <w:rPr>
          <w:rFonts w:ascii="Times New Roman" w:hAnsi="Times New Roman"/>
          <w:color w:val="000000"/>
          <w:sz w:val="20"/>
        </w:rPr>
        <w:t xml:space="preserve">. Executive shall be entitled to receive an amount equal to Eighteen (18) months of Executive’s target annual bonus assuming achievement of performance goals at one hundred percent (100%) of target at the rate in effect immediately prior to the Termination Date, payable in a cash lump sum, less applicable withholdings, on the first payroll date following the date the Release of Claims becomes effective and irrevocable becomes effective and irrevocable in accordance with Section 14(a)(v) below.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Continued Healthcare</w:t>
      </w:r>
      <w:r>
        <w:rPr>
          <w:rFonts w:ascii="Times New Roman" w:hAnsi="Times New Roman"/>
          <w:color w:val="000000"/>
          <w:sz w:val="20"/>
        </w:rPr>
        <w:t>. If Executive timely elects to receive continued healthcare coverage pursuant to the provisions of COBRA, the Company shall directly pay, or reimburse Executive for, the Company’s portion of the premium (at the same rates in effect on the Termination Date) for Executive and Executive’s covered dependents through the earlier of (i) the Eighteen (18) month anniversary of the Termination Date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w:t>
        <w:br/>
        <w:t xml:space="preserve">either case, an amount equal to each remaining Company subsidy shall thereafter be paid to Executive in substantially equal monthly installments. After the Company ceases to pay premiums pursuant to this Section 4(c), Executive may, if eligible, elect to continue healthcare coverage at Executive’s expense in accordance with the provisions of COBRA. Executive shall notify the Company immediately if Executive becomes covered by a group health plan of a subsequent employer.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Equity Awards</w:t>
      </w:r>
      <w:r>
        <w:rPr>
          <w:rFonts w:ascii="Times New Roman" w:hAnsi="Times New Roman"/>
          <w:color w:val="000000"/>
          <w:sz w:val="20"/>
        </w:rPr>
        <w:t xml:space="preserve">. Each outstanding and unvested equity award (excluding any such awards that vest in whole or in part based on the attainment of performance-vesting conditions), including, without limitation, each restricted stock, stock option, restricted stock unit and stock appreciation right, held by Executive shall automatically become vested and, if applicable, exercisable and any forfeiture restrictions or rights of repurchase thereon shall immediately lapse with respect to one percent (100%) of the shares subject thereto (excluding any such awards that vest in whole or in part based on the attainment of performance-vesting conditions, which shall be governed by the terms of the applicable award agreement), as of immediately prior to the Termination Date. </w:t>
        <w:br/>
        <w:t> </w:t>
      </w:r>
    </w:p>
    <w:p>
      <w:pPr>
        <w:pStyle w:val="TextBody"/>
        <w:bidi w:val="0"/>
        <w:jc w:val="both"/>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Certain Reductions</w:t>
      </w:r>
      <w:r>
        <w:rPr>
          <w:rFonts w:ascii="Times New Roman" w:hAnsi="Times New Roman"/>
          <w:color w:val="000000"/>
          <w:sz w:val="20"/>
        </w:rPr>
        <w:t xml:space="preserve">. Notwithstanding anything herein to the contrary, the Company shall reduce Executive’s severance benefits under this Agreement, in whole or in part, by any other severance benefits, pay in lieu of notice, or other similar benefits payable to Executive by the Company in connection with Executive’s termination, including but not limited to payments or benefits pursuant to (a) any applicable legal requirement, including, without limitation, the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Worker Adjustment and Retraining Notification Act, or (b) any other Company agreement, arrangement, policy or practice relating to Executive’s termination of employment with the Company. The benefits provided under this Agreement are intended to satisfy, to the greatest extent possible, any and all statutory obligations that may arise out of Executive’s termination of employment. Such reductions shall be applied on a retroactive basis, with severance benefits paid first in time being recharacterized as payments pursuant to the Company’s statutory obligation.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Deemed Resignation</w:t>
      </w:r>
      <w:r>
        <w:rPr>
          <w:rFonts w:ascii="Times New Roman" w:hAnsi="Times New Roman"/>
          <w:color w:val="000000"/>
          <w:sz w:val="20"/>
        </w:rPr>
        <w:t xml:space="preserve">. Upon termination of Executive’s service for any reason, Executive shall be deemed to have resigned from all offices and directorships, if any, then held with the Company or any of its affiliates, and, at the Company’s request, Executive shall execute such documents as are necessary or desirable to effectuate such resignations.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7. </w:t>
      </w:r>
      <w:r>
        <w:rPr>
          <w:rFonts w:ascii="Times New Roman" w:hAnsi="Times New Roman"/>
          <w:color w:val="000000"/>
          <w:sz w:val="20"/>
          <w:u w:val="single"/>
        </w:rPr>
        <w:t>Other Terminations</w:t>
      </w:r>
      <w:r>
        <w:rPr>
          <w:rFonts w:ascii="Times New Roman" w:hAnsi="Times New Roman"/>
          <w:color w:val="000000"/>
          <w:sz w:val="20"/>
        </w:rPr>
        <w:t xml:space="preserve">. If Executive’s employment with the Company terminates for any reason other than due to a Covered Termination, then Executive shall not be entitled to any benefits hereunder other than accrued but unpaid salary, vacation and expense reimbursements through the Termination Date in accordance with applicable law and to elect any continued healthcare coverage as may be required under COBRA or similar state law.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8. </w:t>
      </w:r>
      <w:r>
        <w:rPr>
          <w:rFonts w:ascii="Times New Roman" w:hAnsi="Times New Roman"/>
          <w:color w:val="000000"/>
          <w:sz w:val="20"/>
          <w:u w:val="single"/>
        </w:rPr>
        <w:t>Limitation on Payments</w:t>
      </w:r>
      <w:r>
        <w:rPr>
          <w:rFonts w:ascii="Times New Roman" w:hAnsi="Times New Roman"/>
          <w:color w:val="000000"/>
          <w:sz w:val="20"/>
        </w:rPr>
        <w:t>. Notwithstanding anything in this Agreement to the contrary, if any payment or distribution Executive would receive pursuant to this Agreement or otherwise (“</w:t>
      </w:r>
      <w:r>
        <w:rPr>
          <w:rFonts w:ascii="Times New Roman" w:hAnsi="Times New Roman"/>
          <w:b/>
          <w:i/>
          <w:color w:val="000000"/>
          <w:sz w:val="20"/>
        </w:rPr>
        <w:t>Payment</w:t>
      </w:r>
      <w:r>
        <w:rPr>
          <w:rFonts w:ascii="Times New Roman" w:hAnsi="Times New Roman"/>
          <w:color w:val="000000"/>
          <w:sz w:val="20"/>
        </w:rPr>
        <w:t>”) would (a) constitute a “parachute payment” within the meaning of Section 280G of the Code and (b) but for this sentence, be subject to the excise tax imposed by Section 4999 of the Code (the “</w:t>
      </w:r>
      <w:r>
        <w:rPr>
          <w:rFonts w:ascii="Times New Roman" w:hAnsi="Times New Roman"/>
          <w:b/>
          <w:i/>
          <w:color w:val="000000"/>
          <w:sz w:val="20"/>
        </w:rPr>
        <w:t>Excise Tax</w:t>
      </w:r>
      <w:r>
        <w:rPr>
          <w:rFonts w:ascii="Times New Roman" w:hAnsi="Times New Roman"/>
          <w:color w:val="000000"/>
          <w:sz w:val="20"/>
        </w:rPr>
        <w:t xml:space="preserve">”), then such Payment shall either be (i) 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 Section 4999 of the Code. The Company will select an adviser with experience in performing calculations regarding the applicability of Section 280G of the Code and the Excise Tax, </w:t>
      </w:r>
      <w:r>
        <w:rPr>
          <w:rFonts w:ascii="Times New Roman" w:hAnsi="Times New Roman"/>
          <w:i/>
          <w:color w:val="000000"/>
          <w:sz w:val="20"/>
        </w:rPr>
        <w:t>provided</w:t>
      </w:r>
      <w:r>
        <w:rPr>
          <w:rFonts w:ascii="Times New Roman" w:hAnsi="Times New Roman"/>
          <w:color w:val="000000"/>
          <w:sz w:val="20"/>
        </w:rPr>
        <w:t xml:space="preserve">, that the adviser’s determination shall be made based upon “substantial authority” within the meaning of Section 6662 of the Code to perform the foregoing calculations. The Company shall bear all expenses with respect to the determinations by such adviser required to be made hereunder. The adviser shall provide its calculations to the Company and Executive within fifteen (15) calendar days after the date on which Executive’s right to a Payment is triggered (if requested at that time by the Company or Executive) or such other time as requested by the Company. Any good faith determinations of the adviser made hereunder shall be final, binding and conclusive upon the Company and Executive. Any reduction in payments or benefits pursuant to this Section 8 will occur in the following order: (1) reduction of cash payments; (2) cancellation of accelerated vesting of equity awards other than stock options; (3) cancellation of accelerated vesting of stock options; and (4) reduction of other benefits payable to Executive.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9. </w:t>
      </w:r>
      <w:r>
        <w:rPr>
          <w:rFonts w:ascii="Times New Roman" w:hAnsi="Times New Roman"/>
          <w:color w:val="000000"/>
          <w:sz w:val="20"/>
          <w:u w:val="single"/>
        </w:rPr>
        <w:t>Definitions</w:t>
      </w:r>
      <w:r>
        <w:rPr>
          <w:rFonts w:ascii="Times New Roman" w:hAnsi="Times New Roman"/>
          <w:color w:val="000000"/>
          <w:sz w:val="20"/>
        </w:rPr>
        <w:t xml:space="preserve">. The following terms used in this Agreement shall have the following meanings: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(a) “</w:t>
      </w:r>
      <w:r>
        <w:rPr>
          <w:rFonts w:ascii="Times New Roman" w:hAnsi="Times New Roman"/>
          <w:b/>
          <w:i/>
          <w:color w:val="000000"/>
          <w:sz w:val="20"/>
        </w:rPr>
        <w:t>Cause</w:t>
      </w:r>
      <w:r>
        <w:rPr>
          <w:rFonts w:ascii="Times New Roman" w:hAnsi="Times New Roman"/>
          <w:color w:val="000000"/>
          <w:sz w:val="20"/>
        </w:rPr>
        <w:t>” shall have the meaning set foroth in the Company’s 2021 Incentive Award Plan, as ameded from time to time (the “</w:t>
      </w:r>
      <w:r>
        <w:rPr>
          <w:rFonts w:ascii="Times New Roman" w:hAnsi="Times New Roman"/>
          <w:b/>
          <w:i/>
          <w:color w:val="000000"/>
          <w:sz w:val="20"/>
        </w:rPr>
        <w:t>Plan</w:t>
      </w:r>
      <w:r>
        <w:rPr>
          <w:rFonts w:ascii="Times New Roman" w:hAnsi="Times New Roman"/>
          <w:color w:val="000000"/>
          <w:sz w:val="20"/>
        </w:rPr>
        <w:t xml:space="preserve">”). The determination that a termination of Executive’s employment is either for Cause or without Cause shall be made by the Board or its Compensation Committee, in each case, in its sole discretion.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(b) “</w:t>
      </w:r>
      <w:r>
        <w:rPr>
          <w:rFonts w:ascii="Times New Roman" w:hAnsi="Times New Roman"/>
          <w:b/>
          <w:i/>
          <w:color w:val="000000"/>
          <w:sz w:val="20"/>
        </w:rPr>
        <w:t>Change in Control</w:t>
      </w:r>
      <w:r>
        <w:rPr>
          <w:rFonts w:ascii="Times New Roman" w:hAnsi="Times New Roman"/>
          <w:color w:val="000000"/>
          <w:sz w:val="20"/>
        </w:rPr>
        <w:t xml:space="preserve">” has the meaning ascribed to such term under the Plan; provided, that such transaction must also constitute a “change in control event” within the meaning of Treasury Regulation Section 1.409A-3(i)(5).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(c) “</w:t>
      </w:r>
      <w:r>
        <w:rPr>
          <w:rFonts w:ascii="Times New Roman" w:hAnsi="Times New Roman"/>
          <w:b/>
          <w:i/>
          <w:color w:val="000000"/>
          <w:sz w:val="20"/>
        </w:rPr>
        <w:t>Change in Control Period</w:t>
      </w:r>
      <w:r>
        <w:rPr>
          <w:rFonts w:ascii="Times New Roman" w:hAnsi="Times New Roman"/>
          <w:color w:val="000000"/>
          <w:sz w:val="20"/>
        </w:rPr>
        <w:t xml:space="preserve">” means the period of time commencing on the closing of a Change in Control and ending on the twelve (12) month anniversary of the closing such Change in Control.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(d) “</w:t>
      </w:r>
      <w:r>
        <w:rPr>
          <w:rFonts w:ascii="Times New Roman" w:hAnsi="Times New Roman"/>
          <w:b/>
          <w:i/>
          <w:color w:val="000000"/>
          <w:sz w:val="20"/>
        </w:rPr>
        <w:t>Covered Termination</w:t>
      </w:r>
      <w:r>
        <w:rPr>
          <w:rFonts w:ascii="Times New Roman" w:hAnsi="Times New Roman"/>
          <w:color w:val="000000"/>
          <w:sz w:val="20"/>
        </w:rPr>
        <w:t>” means the termination of Executive’s employment by the Company other than for Cause or by Executive for Good Reason, in each case that, to the extent necessary, constitutes a Separation from Service, and shall not include a termination due to</w:t>
        <w:br/>
        <w:t xml:space="preserve">Executive’s death or disability.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(e) “</w:t>
      </w:r>
      <w:r>
        <w:rPr>
          <w:rFonts w:ascii="Times New Roman" w:hAnsi="Times New Roman"/>
          <w:b/>
          <w:i/>
          <w:color w:val="000000"/>
          <w:sz w:val="20"/>
        </w:rPr>
        <w:t>Good Reason</w:t>
      </w:r>
      <w:r>
        <w:rPr>
          <w:rFonts w:ascii="Times New Roman" w:hAnsi="Times New Roman"/>
          <w:color w:val="000000"/>
          <w:sz w:val="20"/>
        </w:rPr>
        <w:t>” shall mean that Executive has complied in all material respects with the “Good Reason Process” (hereinafter defined) following the occurrence of any of the following events, without Executive’s prior written consent: (i) a material reduction of Executive’s annual base salary (unless pursuant to a salary reduction program applicable generally to the Company’s senior management employees); (ii) solely during a Change in Control Period, a material reduction in Executive’s role or responsibilities in the successor entity or the parent entity as compared to Executive’s role or responsibilities in the Company prior to the Change in Control; provided that a mere change of title and/or reporting authority alone shall not constitute such a material reduction; or (iii) relocation of Executive’s principal place of employment to a place greater than 50 miles from Executive’s then-current principal place of employment.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(f) “</w:t>
      </w:r>
      <w:r>
        <w:rPr>
          <w:rFonts w:ascii="Times New Roman" w:hAnsi="Times New Roman"/>
          <w:b/>
          <w:i/>
          <w:color w:val="000000"/>
          <w:sz w:val="20"/>
        </w:rPr>
        <w:t>Good Reason Process</w:t>
      </w:r>
      <w:r>
        <w:rPr>
          <w:rFonts w:ascii="Times New Roman" w:hAnsi="Times New Roman"/>
          <w:color w:val="000000"/>
          <w:sz w:val="20"/>
        </w:rPr>
        <w:t>” shall mean that (i) Executive has reasonably determined in good faith that a “Good Reason” condition has occurred; (ii) Executive has notified the Company in writing of the first occurrence of the Good Reason condition within sixty (60) days of the first time the Executive becomes aware of the occurrence of such condition; (iii) Executive has cooperated in good faith with the Company’s efforts, for a period not less than thirty (30) days immediately following the Company’s receipt of such notice (the “</w:t>
      </w:r>
      <w:r>
        <w:rPr>
          <w:rFonts w:ascii="Times New Roman" w:hAnsi="Times New Roman"/>
          <w:b/>
          <w:i/>
          <w:color w:val="000000"/>
          <w:sz w:val="20"/>
        </w:rPr>
        <w:t>Cure Period</w:t>
      </w:r>
      <w:r>
        <w:rPr>
          <w:rFonts w:ascii="Times New Roman" w:hAnsi="Times New Roman"/>
          <w:color w:val="000000"/>
          <w:sz w:val="20"/>
        </w:rPr>
        <w:t xml:space="preserve">”), to remedy the condition; (iv) notwithstanding such efforts, the Good Reason condition continues to exist; and (v) Executive terminates Executive’s employment with the Company within thirty (30) days after the end of the Cure Period. If the Company cures the Good Reason condition during the Cure Period, Good Reason shall be deemed not to have occurred.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(g) “</w:t>
      </w:r>
      <w:r>
        <w:rPr>
          <w:rFonts w:ascii="Times New Roman" w:hAnsi="Times New Roman"/>
          <w:b/>
          <w:i/>
          <w:color w:val="000000"/>
          <w:sz w:val="20"/>
        </w:rPr>
        <w:t>Separation from Service</w:t>
      </w:r>
      <w:r>
        <w:rPr>
          <w:rFonts w:ascii="Times New Roman" w:hAnsi="Times New Roman"/>
          <w:color w:val="000000"/>
          <w:sz w:val="20"/>
        </w:rPr>
        <w:t>” means a “separation from service” with the Company within the meaning of Section 409A of the Code and the Department of Treasury regulations and other guidance promulgated thereunder.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(h) “</w:t>
      </w:r>
      <w:r>
        <w:rPr>
          <w:rFonts w:ascii="Times New Roman" w:hAnsi="Times New Roman"/>
          <w:b/>
          <w:i/>
          <w:color w:val="000000"/>
          <w:sz w:val="20"/>
        </w:rPr>
        <w:t>Termination Date</w:t>
      </w:r>
      <w:r>
        <w:rPr>
          <w:rFonts w:ascii="Times New Roman" w:hAnsi="Times New Roman"/>
          <w:color w:val="000000"/>
          <w:sz w:val="20"/>
        </w:rPr>
        <w:t>” means the date on which Executive experiences a Covered Termination.</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10. </w:t>
      </w:r>
      <w:r>
        <w:rPr>
          <w:rFonts w:ascii="Times New Roman" w:hAnsi="Times New Roman"/>
          <w:color w:val="000000"/>
          <w:sz w:val="20"/>
          <w:u w:val="single"/>
        </w:rPr>
        <w:t>Successors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Company’s Successors</w:t>
      </w:r>
      <w:r>
        <w:rPr>
          <w:rFonts w:ascii="Times New Roman" w:hAnsi="Times New Roman"/>
          <w:color w:val="000000"/>
          <w:sz w:val="20"/>
        </w:rPr>
        <w:t xml:space="preserve">. Any successor to the Company (whether direct or indirect and whether by purchase, merger, consolidation, liquidation or otherwise) to all or substantially all of the Company’s business 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or assets which executes and delivers the assumption agreement described in this Section 10(a) or which becomes bound by the terms of this Agreement by operation of law.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Executive’s Successors</w:t>
      </w:r>
      <w:r>
        <w:rPr>
          <w:rFonts w:ascii="Times New Roman" w:hAnsi="Times New Roman"/>
          <w:color w:val="000000"/>
          <w:sz w:val="20"/>
        </w:rPr>
        <w:t>. The terms of this Agreement and all rights of Executive hereunder shall inure to the benefit of, and be enforceable by, Executive’s personal or legal representatives, executors, administrators, successors, heirs, distributees, devisees and legatees.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11. </w:t>
      </w:r>
      <w:r>
        <w:rPr>
          <w:rFonts w:ascii="Times New Roman" w:hAnsi="Times New Roman"/>
          <w:color w:val="000000"/>
          <w:sz w:val="20"/>
          <w:u w:val="single"/>
        </w:rPr>
        <w:t>Notices</w:t>
      </w:r>
      <w:r>
        <w:rPr>
          <w:rFonts w:ascii="Times New Roman" w:hAnsi="Times New Roman"/>
          <w:color w:val="000000"/>
          <w:sz w:val="20"/>
        </w:rPr>
        <w:t xml:space="preserve">. Any notices provided hereunder must be in writing and shall be deemed effective upon the earlier of personal delivery (including personal delivery by facsimile), delivery by email or the third day after mailing by first class mail, to the Company at its primary office location and to Executive at Executive’s address as listed in the Company’s books and records.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12. </w:t>
      </w:r>
      <w:r>
        <w:rPr>
          <w:rFonts w:ascii="Times New Roman" w:hAnsi="Times New Roman"/>
          <w:color w:val="000000"/>
          <w:sz w:val="20"/>
          <w:u w:val="single"/>
        </w:rPr>
        <w:t>Confidentiality; Non-Disparagement.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Confidentiality</w:t>
      </w:r>
      <w:r>
        <w:rPr>
          <w:rFonts w:ascii="Times New Roman" w:hAnsi="Times New Roman"/>
          <w:color w:val="000000"/>
          <w:sz w:val="20"/>
        </w:rPr>
        <w:t>. Executive hereby expressly confirms Executive’s continuing obligations to the Company pursuant to that certain confidentiality agreement by and between the Company and Executive (the “</w:t>
      </w:r>
      <w:r>
        <w:rPr>
          <w:rFonts w:ascii="Times New Roman" w:hAnsi="Times New Roman"/>
          <w:b/>
          <w:i/>
          <w:color w:val="000000"/>
          <w:sz w:val="20"/>
        </w:rPr>
        <w:t>Confidential Information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Non-Disparagement</w:t>
      </w:r>
      <w:r>
        <w:rPr>
          <w:rFonts w:ascii="Times New Roman" w:hAnsi="Times New Roman"/>
          <w:color w:val="000000"/>
          <w:sz w:val="20"/>
        </w:rPr>
        <w:t xml:space="preserve">. Executive agrees that Executive shall not disparage, criticize or defame the Company, its affiliates and their respective affiliates, directors, officers, agents, partners, stockholders or employees, either publicly or privately. Nothing in this Section 12(b) shall apply to any evidence or testimony required by any court, arbitrator or government agency.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Whistleblower Protections and Trade Secrets</w:t>
      </w:r>
      <w:r>
        <w:rPr>
          <w:rFonts w:ascii="Times New Roman" w:hAnsi="Times New Roman"/>
          <w:color w:val="000000"/>
          <w:sz w:val="20"/>
        </w:rPr>
        <w:t xml:space="preserve">. Notwithstanding anything to the </w:t>
        <w:br/>
        <w:t xml:space="preserve">contrary contained herein, nothing in this Agreement or the Confidential Information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Executive files a lawsuit for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13. </w:t>
      </w:r>
      <w:r>
        <w:rPr>
          <w:rFonts w:ascii="Times New Roman" w:hAnsi="Times New Roman"/>
          <w:color w:val="000000"/>
          <w:sz w:val="20"/>
          <w:u w:val="single"/>
        </w:rPr>
        <w:t>Dispute Resolution</w:t>
      </w:r>
      <w:r>
        <w:rPr>
          <w:rFonts w:ascii="Times New Roman" w:hAnsi="Times New Roman"/>
          <w:color w:val="000000"/>
          <w:sz w:val="20"/>
        </w:rPr>
        <w:t>. Unless otherwise prohibited by law or specified below, all disputes, claims and causes of action, in law or equity, arising from or relating to this Agreement or to Executive’s employment or the termination thereof (each, a “</w:t>
      </w:r>
      <w:r>
        <w:rPr>
          <w:rFonts w:ascii="Times New Roman" w:hAnsi="Times New Roman"/>
          <w:b/>
          <w:i/>
          <w:color w:val="000000"/>
          <w:sz w:val="20"/>
        </w:rPr>
        <w:t>Claim</w:t>
      </w:r>
      <w:r>
        <w:rPr>
          <w:rFonts w:ascii="Times New Roman" w:hAnsi="Times New Roman"/>
          <w:color w:val="000000"/>
          <w:sz w:val="20"/>
        </w:rPr>
        <w:t xml:space="preserve">”) shall be resolved solely and exclusively by final and binding arbitration held in San Mateo County, California through JAMS under its Employment Arbitration Rules and Procedures, which are available at www.jamsadr.com/rules-employment-arbitration. The arbitration provisions of this Agreement shall be governed by and enforceable pursuant to the Federal Arbitration Act. In all other respects for provisions not governed by the Federal Arbitration Act, this Agreement shall be construed in accordance with the laws of the State of California, without reference to conflicts of law principles. The arbitrator shall: (a) provide adequate discovery for the resolution of the dispute; and (b) issue a written arbitration decision, to include the arbitrator’s essential findings and conclusions and a statement of the award. Except to the extent of filing fees Executive would incur were the matter to be litigated in court, the Company shall be responsible for the JAMS administrative fees and the arbitrator’s fees and costs. The arbitrator shall award the prevailing party attorneys’ fees and expert fees, if any.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Confidential Information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Executive and the Company understand that by agreeing to arbitrate any claim pursuant to this Section 13, they will not have the right to have any claim decided by a jury or a court, but shall instead have any claim decided through arbitration. Executive and the Company waive any constitutional or other right to bring claims covered by this Agreement other than in their individual capacities. Except as may be prohibited by applicable law, the foregoing waiver includes the ability to assert claims as a plaintiff or class member in any purported class or representative proceeding. Notwithstanding the foregoing, Executive and the Company each have the right to resolve any issue or dispute over intellectual property rights by court action instead of arbitration.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14. </w:t>
      </w:r>
      <w:r>
        <w:rPr>
          <w:rFonts w:ascii="Times New Roman" w:hAnsi="Times New Roman"/>
          <w:color w:val="000000"/>
          <w:sz w:val="20"/>
          <w:u w:val="single"/>
        </w:rPr>
        <w:t>Miscellaneous Provisions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Section 409A</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Separation from Service</w:t>
      </w:r>
      <w:r>
        <w:rPr>
          <w:rFonts w:ascii="Times New Roman" w:hAnsi="Times New Roman"/>
          <w:color w:val="000000"/>
          <w:sz w:val="20"/>
        </w:rPr>
        <w:t>. Notwithstanding any provision to the contrary in this Agreement, no amount constituting deferred compensation subject to Section 409A of the Code shall be payable pursuant to Sections 3 or 4 above unless Executive’s termination of employment constitutes a Separation from Service.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Specified Employee</w:t>
      </w:r>
      <w:r>
        <w:rPr>
          <w:rFonts w:ascii="Times New Roman" w:hAnsi="Times New Roman"/>
          <w:color w:val="000000"/>
          <w:sz w:val="20"/>
        </w:rPr>
        <w:t xml:space="preserve">. Notwithstanding any provision to the contrary in this Agreement, if Executive is deemed at the time of his or her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six-month period measured from the date of Executive’s Separation from Service or (B) the date of Executive’s death. Upon the first business day following the expiration of the applicable Code Section 409A(a)(2)(B)(i) period, all payments deferred pursuant to this Section 14(a)(ii) shall be paid in a lump sum to Executive, and any remaining payments due under this Agreement shall be paid as otherwise provided herein.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Expense Reimbursements</w:t>
      </w:r>
      <w:r>
        <w:rPr>
          <w:rFonts w:ascii="Times New Roman" w:hAnsi="Times New Roman"/>
          <w:color w:val="000000"/>
          <w:sz w:val="20"/>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Installments</w:t>
      </w:r>
      <w:r>
        <w:rPr>
          <w:rFonts w:ascii="Times New Roman" w:hAnsi="Times New Roman"/>
          <w:color w:val="000000"/>
          <w:sz w:val="20"/>
        </w:rPr>
        <w:t xml:space="preserve">.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(v) </w:t>
      </w:r>
      <w:r>
        <w:rPr>
          <w:rFonts w:ascii="Times New Roman" w:hAnsi="Times New Roman"/>
          <w:color w:val="000000"/>
          <w:sz w:val="20"/>
          <w:u w:val="single"/>
        </w:rPr>
        <w:t>Release</w:t>
      </w:r>
      <w:r>
        <w:rPr>
          <w:rFonts w:ascii="Times New Roman" w:hAnsi="Times New Roman"/>
          <w:color w:val="000000"/>
          <w:sz w:val="20"/>
        </w:rPr>
        <w:t>. Notwithstanding anything to the contrary in this Agreement, to the extent that any payments due under this Agreement as a result of Executive’s termination of employment are subject to Executive’s execution and delivery of a Release of Claims, (A) the Company shall deliver the Release of Claims to Executive within ten business days following Executive’s Termination Date, and the Company’s failure to deliver a Release of Claims prior to the expiration of such ten business day period shall constitute a waiver of any requirement to execute a Release of Claims, (B) if Executive fails to execute the Release of Claims on or prior to the Release Expiration Date (as defined below) or timely revokes Executive’s acceptance of the Release of Claims thereafter, Executive shall not be entitled to any payments or benefits otherwise conditioned on the Release of Claims, and (C) in any case where Executive’s Termination Date and the Release Expiration Date fall in two separate taxable years, any payments required to be made to Executive that are conditioned on the Release of Claims and are treated as nonqualified deferred compensation for purposes of Section 409A of the Code shall be made in the later taxable year. For purposes hereof, “</w:t>
      </w:r>
      <w:r>
        <w:rPr>
          <w:rFonts w:ascii="Times New Roman" w:hAnsi="Times New Roman"/>
          <w:b/>
          <w:i/>
          <w:color w:val="000000"/>
          <w:sz w:val="20"/>
        </w:rPr>
        <w:t>Release Expiration Date</w:t>
      </w:r>
      <w:r>
        <w:rPr>
          <w:rFonts w:ascii="Times New Roman" w:hAnsi="Times New Roman"/>
          <w:color w:val="000000"/>
          <w:sz w:val="20"/>
        </w:rPr>
        <w:t xml:space="preserve">” shall mean (1) if Executive is under 40 years old as of the Termination Date, the date that is seven (7) days following the date upon which the Company timely delivers the Release of Claims to Executive, or such shorter time prescribed by the Company, and (2) if Executive is 40 years or older as of the Termination Date, the date that is twenty one (21) days following the date upon which the Company timely delivers the Release of Claims to Executive, or, if Executive’s termination of employment is “in connection with an exit incentive or other employment termination program” (as such phrase is defined in the Age Discrimination in Employment Act of 1967), the date that is forty five (45) days following such delivery date. To the extent that any payments of nonqualified deferred compensation (within the meaning of Section 409A) due under this Agreement as a result of Executive’s termination of employment are delayed pursuant to this Section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14(a)(v), such amounts shall be paid in a lump sum on the first payroll date following the date that Executive executes and does not revoke the Release of Claims (and the applicable revocation period has expired) or, in the case of any payments subject to Section 14(a)(v)(C), on the first payroll date to occur in the subsequent taxable year, if later.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Withholding</w:t>
      </w:r>
      <w:r>
        <w:rPr>
          <w:rFonts w:ascii="Times New Roman" w:hAnsi="Times New Roman"/>
          <w:color w:val="000000"/>
          <w:sz w:val="20"/>
        </w:rPr>
        <w:t xml:space="preserve">. The Company shall be entitled to withhold from any amounts payable under this Agreement any federal, state, local, or foreign withholding or other taxes or charges which the Company is required to withhold.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Waiver</w:t>
      </w:r>
      <w:r>
        <w:rPr>
          <w:rFonts w:ascii="Times New Roman" w:hAnsi="Times New Roman"/>
          <w:color w:val="000000"/>
          <w:sz w:val="20"/>
        </w:rPr>
        <w:t xml:space="preserve">. No provision of this Agreement shall be modified, waived or dis-charged unless the modification, waiver or discharge is agreed to in writing and signed by Executive and by an authorized member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Whole Agreement</w:t>
      </w:r>
      <w:r>
        <w:rPr>
          <w:rFonts w:ascii="Times New Roman" w:hAnsi="Times New Roman"/>
          <w:color w:val="000000"/>
          <w:sz w:val="20"/>
        </w:rPr>
        <w:t xml:space="preserve">. This Agreement and the Confidential Information Agreement represent the entire understanding of the parties hereto with respect to the subject matter hereof and supersede all prior promises, arrangements and understandings regarding the same, whether written or unwritten, including, without limitation, any severance or change in control benefits in Executive’s offer letter agreement, employment agreement and/or equity award agreement or previously approved by the Company.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Choice of Law</w:t>
      </w:r>
      <w:r>
        <w:rPr>
          <w:rFonts w:ascii="Times New Roman" w:hAnsi="Times New Roman"/>
          <w:color w:val="000000"/>
          <w:sz w:val="20"/>
        </w:rPr>
        <w:t>. All questions concerning the construction, validity and interpretation of this Agreement will be governed by the laws of the State of California without regard to its conflicts of law provisions.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Severability</w:t>
      </w:r>
      <w:r>
        <w:rPr>
          <w:rFonts w:ascii="Times New Roman" w:hAnsi="Times New Roman"/>
          <w:color w:val="000000"/>
          <w:sz w:val="20"/>
        </w:rPr>
        <w:t>. Whenever possible, each provision of this Agreement will be interpreted in such manner as to be effective and valid under applicable law, but if any provision of this Agreement is held to be invalid or unenforceable in any respect under any applicable law or rule in any jurisdiction, such invalidity or unenforceability will not affect any other provision or any other jurisdiction, but this Agreement will be reformed, construed and enforced in such jurisdiction as if such invalid or unenforceable provisions had never been contained herein.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Counterparts</w:t>
      </w:r>
      <w:r>
        <w:rPr>
          <w:rFonts w:ascii="Times New Roman" w:hAnsi="Times New Roman"/>
          <w:color w:val="000000"/>
          <w:sz w:val="20"/>
        </w:rPr>
        <w:t xml:space="preserve">. This Agreement may be executed in separate counterparts, any one of which need not contain signatures of more than one party, but all of which taken together will constitute one and the same Agreement.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Executive Acknowledgement</w:t>
      </w:r>
      <w:r>
        <w:rPr>
          <w:rFonts w:ascii="Times New Roman" w:hAnsi="Times New Roman"/>
          <w:color w:val="000000"/>
          <w:sz w:val="20"/>
        </w:rPr>
        <w:t>. Executive acknowledges that (i) Executive has consulted with or has had the opportunity to consult with independent counsel of Executive’s own choice concerning this Agreement, and has been advised to do so by the Company, and (ii) that Executive has read and understands the Agreement, is fully aware of its legal effect, and has entered into it freely based on Executive’s own judgment.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follows)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parties have executed this Agreement, in the case of the Company by its duly authorized member, as of the dates set forth below.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417" w:type="dxa"/>
        <w:jc w:val="left"/>
        <w:tblInd w:w="0" w:type="dxa"/>
        <w:tblLayout w:type="fixed"/>
        <w:tblCellMar>
          <w:top w:w="28" w:type="dxa"/>
          <w:left w:w="28" w:type="dxa"/>
          <w:bottom w:w="28" w:type="dxa"/>
          <w:right w:w="28" w:type="dxa"/>
        </w:tblCellMar>
      </w:tblPr>
      <w:tblGrid>
        <w:gridCol w:w="571"/>
        <w:gridCol w:w="1846"/>
      </w:tblGrid>
      <w:tr>
        <w:trPr/>
        <w:tc>
          <w:tcPr>
            <w:tcW w:w="57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24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BIOMEA FUSION, INC.</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8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Ramses Erdtmann</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7, 2021</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EXECUTIVE</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Butler</w:t>
            </w:r>
          </w:p>
        </w:tc>
      </w:tr>
      <w:tr>
        <w:trPr/>
        <w:tc>
          <w:tcPr>
            <w:tcW w:w="24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Butler</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7, 2021</w:t>
            </w:r>
          </w:p>
        </w:tc>
      </w:tr>
    </w:tbl>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bmea-ex23_1.htm"/>
      <w:bookmarkStart w:id="44" w:name="ksbmeaex23_1"/>
      <w:bookmarkEnd w:id="43"/>
      <w:bookmarkEnd w:id="44"/>
      <w:r>
        <w:rPr>
          <w:rFonts w:ascii="Times New Roman" w:hAnsi="Times New Roman"/>
          <w:b/>
          <w:color w:val="000000"/>
          <w:sz w:val="20"/>
        </w:rPr>
        <w:t>Exhibit 23.1</w:t>
      </w:r>
      <w:r>
        <w:br w:type="page"/>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Registration Statement Nos. 333-292588, 333-284148, 333-276391, 333-269112, 333-262477 and 333-255377 on Form S-8 and Registration Statement No. 333-289262 on Form S-3 of our report dated March 24, 2026, relating to the financial statements of Biomea Fusion, Inc. appearing in this Annual Report on Form 10-K for the year ended December 31, 2025.</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March 24,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bmea-ex31_1.htm"/>
      <w:bookmarkStart w:id="46" w:name="ksbmeaex31_1"/>
      <w:bookmarkEnd w:id="45"/>
      <w:bookmarkEnd w:id="46"/>
      <w:r>
        <w:rPr>
          <w:rFonts w:ascii="Times New Roman" w:hAnsi="Times New Roman"/>
          <w:b/>
          <w:color w:val="000000"/>
          <w:sz w:val="20"/>
        </w:rPr>
        <w:t>Exhibit 31.1</w:t>
      </w:r>
      <w:r>
        <w:br w:type="page"/>
      </w:r>
    </w:p>
    <w:p>
      <w:pPr>
        <w:pStyle w:val="TextBody"/>
        <w:bidi w:val="0"/>
        <w:jc w:val="left"/>
        <w:rPr/>
      </w:pPr>
      <w:r>
        <w:rPr/>
        <w:t> </w:t>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Michael J.M. Hitchcock,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Biomea Fusion,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120" w:after="283"/>
        <w:jc w:val="left"/>
        <w:rPr/>
      </w:pPr>
      <w:r>
        <w:rPr/>
        <w:t> </w:t>
      </w:r>
    </w:p>
    <w:p>
      <w:pPr>
        <w:pStyle w:val="TextBody"/>
        <w:bidi w:val="0"/>
        <w:jc w:val="left"/>
        <w:rPr/>
      </w:pPr>
      <w:r>
        <w:rPr/>
        <w:t> </w:t>
      </w:r>
    </w:p>
    <w:tbl>
      <w:tblPr>
        <w:tblW w:w="4882" w:type="dxa"/>
        <w:jc w:val="left"/>
        <w:tblInd w:w="0" w:type="dxa"/>
        <w:tblLayout w:type="fixed"/>
        <w:tblCellMar>
          <w:top w:w="28" w:type="dxa"/>
          <w:left w:w="28" w:type="dxa"/>
          <w:bottom w:w="28" w:type="dxa"/>
          <w:right w:w="28" w:type="dxa"/>
        </w:tblCellMar>
      </w:tblPr>
      <w:tblGrid>
        <w:gridCol w:w="1891"/>
        <w:gridCol w:w="109"/>
        <w:gridCol w:w="406"/>
        <w:gridCol w:w="247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J.M. Hitchcock</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J.M. Hitchcock</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bmea-ex31_2.htm"/>
      <w:bookmarkStart w:id="48" w:name="ksbmeaex31_2"/>
      <w:bookmarkEnd w:id="47"/>
      <w:bookmarkEnd w:id="48"/>
      <w:r>
        <w:rPr>
          <w:rFonts w:ascii="Times New Roman" w:hAnsi="Times New Roman"/>
          <w:b/>
          <w:color w:val="000000"/>
          <w:sz w:val="20"/>
        </w:rPr>
        <w:t>Exhibit 31.2</w:t>
      </w:r>
      <w:r>
        <w:br w:type="page"/>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Rainer Erdtmann,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Biomea Fusion,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120" w:after="283"/>
        <w:jc w:val="left"/>
        <w:rPr/>
      </w:pPr>
      <w:r>
        <w:rPr/>
        <w:t> </w:t>
      </w:r>
    </w:p>
    <w:p>
      <w:pPr>
        <w:pStyle w:val="TextBody"/>
        <w:bidi w:val="0"/>
        <w:jc w:val="left"/>
        <w:rPr/>
      </w:pPr>
      <w:r>
        <w:rPr/>
        <w:t> </w:t>
      </w:r>
    </w:p>
    <w:tbl>
      <w:tblPr>
        <w:tblW w:w="6217" w:type="dxa"/>
        <w:jc w:val="left"/>
        <w:tblInd w:w="0" w:type="dxa"/>
        <w:tblLayout w:type="fixed"/>
        <w:tblCellMar>
          <w:top w:w="28" w:type="dxa"/>
          <w:left w:w="28" w:type="dxa"/>
          <w:bottom w:w="28" w:type="dxa"/>
          <w:right w:w="28" w:type="dxa"/>
        </w:tblCellMar>
      </w:tblPr>
      <w:tblGrid>
        <w:gridCol w:w="1891"/>
        <w:gridCol w:w="109"/>
        <w:gridCol w:w="406"/>
        <w:gridCol w:w="381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Rainer Erdtmann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Rainer Erdtmann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bmea-ex32_1.htm"/>
      <w:bookmarkStart w:id="50" w:name="ksbmeaex32_1"/>
      <w:bookmarkEnd w:id="49"/>
      <w:bookmarkEnd w:id="50"/>
      <w:r>
        <w:rPr>
          <w:rFonts w:ascii="Times New Roman" w:hAnsi="Times New Roman"/>
          <w:b/>
          <w:color w:val="000000"/>
          <w:sz w:val="20"/>
        </w:rPr>
        <w:t>Exhibit 32.1</w:t>
      </w:r>
      <w:r>
        <w:br w:type="page"/>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Biomea Fusion, Inc. (the “Company”) on Form 10-K for the year ended December 31, 2025 as filed with the Securities and Exchange Commission on the date hereof (the “Report”), I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927" w:type="dxa"/>
        <w:jc w:val="left"/>
        <w:tblInd w:w="0" w:type="dxa"/>
        <w:tblLayout w:type="fixed"/>
        <w:tblCellMar>
          <w:top w:w="28" w:type="dxa"/>
          <w:left w:w="28" w:type="dxa"/>
          <w:bottom w:w="28" w:type="dxa"/>
          <w:right w:w="28" w:type="dxa"/>
        </w:tblCellMar>
      </w:tblPr>
      <w:tblGrid>
        <w:gridCol w:w="1891"/>
        <w:gridCol w:w="109"/>
        <w:gridCol w:w="406"/>
        <w:gridCol w:w="252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J.M. Hitchcock</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J.M. Hitchcock</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Principal Executive Officer</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bmea-ex32_2.htm"/>
      <w:bookmarkStart w:id="52" w:name="ksbmeaex32_2"/>
      <w:bookmarkEnd w:id="51"/>
      <w:bookmarkEnd w:id="52"/>
      <w:r>
        <w:rPr>
          <w:rFonts w:ascii="Times New Roman" w:hAnsi="Times New Roman"/>
          <w:b/>
          <w:color w:val="000000"/>
          <w:sz w:val="20"/>
        </w:rPr>
        <w:t>Exhibit 32.2</w:t>
      </w:r>
      <w:r>
        <w:br w:type="page"/>
      </w:r>
    </w:p>
    <w:p>
      <w:pPr>
        <w:pStyle w:val="TextBody"/>
        <w:bidi w:val="0"/>
        <w:jc w:val="left"/>
        <w:rPr/>
      </w:pPr>
      <w:r>
        <w:rPr/>
        <w:t> </w:t>
      </w:r>
    </w:p>
    <w:p>
      <w:pPr>
        <w:pStyle w:val="TextBody"/>
        <w:bidi w:val="0"/>
        <w:spacing w:before="360" w:after="283"/>
        <w:jc w:val="center"/>
        <w:rPr>
          <w:rFonts w:ascii="Times New Roman" w:hAnsi="Times New Roman"/>
          <w:sz w:val="20"/>
        </w:rPr>
      </w:pPr>
      <w:r>
        <w:rPr>
          <w:rFonts w:ascii="Arial" w:hAnsi="Arial"/>
          <w:b/>
          <w:color w:val="000000"/>
          <w:sz w:val="20"/>
        </w:rPr>
        <w:t>C</w:t>
      </w:r>
      <w:r>
        <w:rPr>
          <w:rFonts w:ascii="Times New Roman" w:hAnsi="Times New Roman"/>
          <w:b/>
          <w:color w:val="000000"/>
          <w:sz w:val="20"/>
        </w:rPr>
        <w:t>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Biomea Fusion, Inc. (the “Company”) on Form 10-K for the year ended December 31, 2025 as filed with the Securities and Exchange Commission on the date hereof (the “Report”), I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6217" w:type="dxa"/>
        <w:jc w:val="left"/>
        <w:tblInd w:w="0" w:type="dxa"/>
        <w:tblLayout w:type="fixed"/>
        <w:tblCellMar>
          <w:top w:w="28" w:type="dxa"/>
          <w:left w:w="28" w:type="dxa"/>
          <w:bottom w:w="28" w:type="dxa"/>
          <w:right w:w="28" w:type="dxa"/>
        </w:tblCellMar>
      </w:tblPr>
      <w:tblGrid>
        <w:gridCol w:w="1891"/>
        <w:gridCol w:w="109"/>
        <w:gridCol w:w="406"/>
        <w:gridCol w:w="381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Rainer Erdtmann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Rainer Erdtmann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egoe UI">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s://www.sec.gov/Archives/edgar/data/0001840439/000119312521122857/d119708dex32.htm" TargetMode="External"/><Relationship Id="rId9" Type="http://schemas.openxmlformats.org/officeDocument/2006/relationships/hyperlink" Target="https://www.sec.gov/Archives/edgar/data/0001840439/000119312521122857/d119708dex34.htm" TargetMode="External"/><Relationship Id="rId10" Type="http://schemas.openxmlformats.org/officeDocument/2006/relationships/hyperlink" Target="https://www.sec.gov/Archives/edgar/data/0001840439/000119312521112498/d113388dex42.htm" TargetMode="External"/><Relationship Id="rId11" Type="http://schemas.openxmlformats.org/officeDocument/2006/relationships/hyperlink" Target="https://www.sec.gov/Archives/edgar/data/1840439/000156459021030450/bmea-ex44_356.htm" TargetMode="External"/><Relationship Id="rId12" Type="http://schemas.openxmlformats.org/officeDocument/2006/relationships/hyperlink" Target="https://www.sec.gov/Archives/edgar/data/0001840439/000119312521096737/d113388dex101.htm" TargetMode="External"/><Relationship Id="rId13" Type="http://schemas.openxmlformats.org/officeDocument/2006/relationships/hyperlink" Target="https://www.sec.gov/Archives/edgar/data/1840439/000119312525143747/d877313dex41.htm" TargetMode="External"/><Relationship Id="rId14" Type="http://schemas.openxmlformats.org/officeDocument/2006/relationships/hyperlink" Target="https://www.sec.gov/Archives/edgar/data/1840439/000119312525143747/d877313dex42.htm" TargetMode="External"/><Relationship Id="rId15" Type="http://schemas.openxmlformats.org/officeDocument/2006/relationships/hyperlink" Target="https://www.sec.gov/Archives/edgar/data/1840439/000119312521112498/d113388dex102.htm" TargetMode="External"/><Relationship Id="rId16" Type="http://schemas.openxmlformats.org/officeDocument/2006/relationships/hyperlink" Target="https://www.sec.gov/Archives/edgar/data/1840439/000095017022009947/bmea-ex10_1.htm" TargetMode="External"/><Relationship Id="rId17" Type="http://schemas.openxmlformats.org/officeDocument/2006/relationships/hyperlink" Target="https://www.sec.gov/Archives/edgar/data/1840439/000119312522241932/d393975dex101.htm" TargetMode="External"/><Relationship Id="rId18" Type="http://schemas.openxmlformats.org/officeDocument/2006/relationships/hyperlink" Target="https://www.sec.gov/Archives/edgar/data/1840439/000119312522292554/d721850dex11.htm" TargetMode="External"/><Relationship Id="rId19" Type="http://schemas.openxmlformats.org/officeDocument/2006/relationships/hyperlink" Target="https://www.sec.gov/Archives/edgar/data/1840439/000119312521112498/d113388dex1011.htm" TargetMode="External"/><Relationship Id="rId20" Type="http://schemas.openxmlformats.org/officeDocument/2006/relationships/hyperlink" Target="https://www.sec.gov/Archives/edgar/data/1840439/000119312522114094/d142250dex991.htm" TargetMode="External"/><Relationship Id="rId21" Type="http://schemas.openxmlformats.org/officeDocument/2006/relationships/hyperlink" Target="https://www.sec.gov/Archives/edgar/data/1840439/000095017024038026/bmea-ex10_5c.htm" TargetMode="External"/><Relationship Id="rId22" Type="http://schemas.openxmlformats.org/officeDocument/2006/relationships/hyperlink" Target="https://www.sec.gov/Archives/edgar/data/0001840439/000119312521096737/d113388dex103a.htm" TargetMode="External"/><Relationship Id="rId23" Type="http://schemas.openxmlformats.org/officeDocument/2006/relationships/hyperlink" Target="https://www.sec.gov/Archives/edgar/data/0001840439/000119312521096737/d113388dex103b.htm" TargetMode="External"/><Relationship Id="rId24" Type="http://schemas.openxmlformats.org/officeDocument/2006/relationships/hyperlink" Target="https://www.sec.gov/Archives/edgar/data/1840439/000119312521112498/d113388dex104a.htm" TargetMode="External"/><Relationship Id="rId25" Type="http://schemas.openxmlformats.org/officeDocument/2006/relationships/hyperlink" Target="https://www.sec.gov/Archives/edgar/data/1840439/000119312521112498/d113388dex104b.htm" TargetMode="External"/><Relationship Id="rId26" Type="http://schemas.openxmlformats.org/officeDocument/2006/relationships/hyperlink" Target="https://www.sec.gov/Archives/edgar/data/1840439/000119312521112498/d113388dex104c.htm" TargetMode="External"/><Relationship Id="rId27" Type="http://schemas.openxmlformats.org/officeDocument/2006/relationships/hyperlink" Target="https://www.sec.gov/Archives/edgar/data/1840439/000119312521112498/d113388dex104d.htm" TargetMode="External"/><Relationship Id="rId28" Type="http://schemas.openxmlformats.org/officeDocument/2006/relationships/hyperlink" Target="https://www.sec.gov/Archives/edgar/data/1840439/000119312521112498/d113388dex105.htm" TargetMode="External"/><Relationship Id="rId29" Type="http://schemas.openxmlformats.org/officeDocument/2006/relationships/hyperlink" Target="https://www.sec.gov/Archives/edgar/data/0001840439/000119312521096737/d113388dex106.htm" TargetMode="External"/><Relationship Id="rId30" Type="http://schemas.openxmlformats.org/officeDocument/2006/relationships/hyperlink" Target="https://www.sec.gov/Archives/edgar/data/0001840439/000119312521096737/d113388dex107.htm" TargetMode="External"/><Relationship Id="rId31" Type="http://schemas.openxmlformats.org/officeDocument/2006/relationships/hyperlink" Target="https://www.sec.gov/Archives/edgar/data/1840439/000156459021043461/bmea-ex102_261.htm" TargetMode="External"/><Relationship Id="rId32" Type="http://schemas.openxmlformats.org/officeDocument/2006/relationships/hyperlink" Target="https://www.sec.gov/ix?doc=/Archives/edgar/data/1840439/000095017024052082/bmea-20240331.htm" TargetMode="External"/><Relationship Id="rId33" Type="http://schemas.openxmlformats.org/officeDocument/2006/relationships/hyperlink" Target="https://www.sec.gov/Archives/edgar/data/1840439/000095017025063543/bmea-ex10_1.htm" TargetMode="External"/><Relationship Id="rId34" Type="http://schemas.openxmlformats.org/officeDocument/2006/relationships/hyperlink" Target="https://www.sec.gov/Archives/edgar/data/1840439/000119312525264679/bmea-ex10_1.htm" TargetMode="External"/><Relationship Id="rId35" Type="http://schemas.openxmlformats.org/officeDocument/2006/relationships/hyperlink" Target="https://www.sec.gov/Archives/edgar/data/1840439/000119312521112498/d113388dex109.htm" TargetMode="External"/><Relationship Id="rId36" Type="http://schemas.openxmlformats.org/officeDocument/2006/relationships/hyperlink" Target="https://www.sec.gov/Archives/edgar/data/1840439/000119312524003349/d701282dex993a.htm" TargetMode="External"/><Relationship Id="rId37" Type="http://schemas.openxmlformats.org/officeDocument/2006/relationships/hyperlink" Target="https://www.sec.gov/Archives/edgar/data/1840439/000119312524003349/d701282dex993b.htm" TargetMode="External"/><Relationship Id="rId38" Type="http://schemas.openxmlformats.org/officeDocument/2006/relationships/hyperlink" Target="https://www.sec.gov/Archives/edgar/data/1840439/000119312524003349/d701282dex993c.htm" TargetMode="External"/><Relationship Id="rId39" Type="http://schemas.openxmlformats.org/officeDocument/2006/relationships/hyperlink" Target="https://www.sec.gov/Archives/edgar/data/1840439/000119312524003349/d701282dex993d.htm" TargetMode="External"/><Relationship Id="rId40" Type="http://schemas.openxmlformats.org/officeDocument/2006/relationships/hyperlink" Target="https://www.sec.gov/Archives/edgar/data/1840439/000095017025047775/bmea-ex19_1.htm" TargetMode="External"/><Relationship Id="rId41" Type="http://schemas.openxmlformats.org/officeDocument/2006/relationships/hyperlink" Target="https://www.sec.gov/Archives/edgar/data/1840439/000095017025047775/bmea-ex21_1.htm" TargetMode="External"/><Relationship Id="rId42" Type="http://schemas.openxmlformats.org/officeDocument/2006/relationships/hyperlink" Target="https://www.sec.gov/Archives/edgar/data/1840439/000095017025047775/bmea-ex97_1.htm"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94211</Words>
  <Characters>528440</Characters>
  <CharactersWithSpaces>623432</CharactersWithSpaces>
  <Paragraphs>7879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