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mea-20260922.htm"/>
      <w:bookmarkStart w:id="1" w:name="ksbmea20260922"/>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Biomea Fusion,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918"/>
        <w:gridCol w:w="836"/>
        <w:gridCol w:w="841"/>
        <w:gridCol w:w="1846"/>
        <w:gridCol w:w="1336"/>
      </w:tblGrid>
      <w:tr>
        <w:trPr/>
        <w:tc>
          <w:tcPr>
            <w:tcW w:w="91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001-40335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82-2520134</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1599 Industrial Road</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Carlos,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94070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761" w:type="dxa"/>
        <w:jc w:val="left"/>
        <w:tblInd w:w="0" w:type="dxa"/>
        <w:tblLayout w:type="fixed"/>
        <w:tblCellMar>
          <w:top w:w="28" w:type="dxa"/>
          <w:left w:w="28" w:type="dxa"/>
          <w:bottom w:w="28" w:type="dxa"/>
          <w:right w:w="28" w:type="dxa"/>
        </w:tblCellMar>
      </w:tblPr>
      <w:tblGrid>
        <w:gridCol w:w="5761"/>
      </w:tblGrid>
      <w:tr>
        <w:trPr/>
        <w:tc>
          <w:tcPr>
            <w:tcW w:w="5761" w:type="dxa"/>
            <w:tcBorders/>
            <w:vAlign w:val="center"/>
          </w:tcPr>
          <w:p>
            <w:pPr>
              <w:pStyle w:val="TableContents"/>
              <w:bidi w:val="0"/>
              <w:spacing w:before="0" w:after="283"/>
              <w:jc w:val="left"/>
              <w:rPr>
                <w:sz w:val="4"/>
                <w:szCs w:val="4"/>
              </w:rPr>
            </w:pPr>
            <w:r>
              <w:rPr>
                <w:sz w:val="4"/>
                <w:szCs w:val="4"/>
              </w:rPr>
            </w:r>
          </w:p>
        </w:tc>
      </w:tr>
      <w:tr>
        <w:trPr/>
        <w:tc>
          <w:tcPr>
            <w:tcW w:w="5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980-9099</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005" w:type="dxa"/>
        <w:jc w:val="left"/>
        <w:tblInd w:w="0" w:type="dxa"/>
        <w:tblLayout w:type="fixed"/>
        <w:tblCellMar>
          <w:top w:w="28" w:type="dxa"/>
          <w:left w:w="28" w:type="dxa"/>
          <w:bottom w:w="28" w:type="dxa"/>
          <w:right w:w="28" w:type="dxa"/>
        </w:tblCellMar>
      </w:tblPr>
      <w:tblGrid>
        <w:gridCol w:w="2941"/>
        <w:gridCol w:w="146"/>
        <w:gridCol w:w="946"/>
        <w:gridCol w:w="146"/>
        <w:gridCol w:w="382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BMEA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pPr>
      <w:r>
        <w:rPr/>
        <w:t>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22, 2026, Biomea Fusion, Inc. (the “Company”) updated the anticipated timing for topline results from the Company’s ongoing Phase I GLP-131 trial for BMF-650 in obese, otherwise healthy volunteers, which are now expected in October 2026.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259" w:type="dxa"/>
        <w:jc w:val="left"/>
        <w:tblInd w:w="0" w:type="dxa"/>
        <w:tblLayout w:type="fixed"/>
        <w:tblCellMar>
          <w:top w:w="28" w:type="dxa"/>
          <w:left w:w="28" w:type="dxa"/>
          <w:bottom w:w="28" w:type="dxa"/>
          <w:right w:w="28" w:type="dxa"/>
        </w:tblCellMar>
      </w:tblPr>
      <w:tblGrid>
        <w:gridCol w:w="556"/>
        <w:gridCol w:w="1726"/>
        <w:gridCol w:w="451"/>
        <w:gridCol w:w="352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Biomea Fusion,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52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Michael J.M. Hitchcock</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sz w:val="20"/>
              </w:rPr>
            </w:pPr>
            <w:r>
              <w:rPr>
                <w:rFonts w:ascii="Times New Roman" w:hAnsi="Times New Roman"/>
                <w:b/>
                <w:color w:val="000000"/>
                <w:sz w:val="20"/>
              </w:rPr>
              <w:t>Michael J.M. Hitchcock</w:t>
              <w:br/>
            </w:r>
            <w:r>
              <w:rPr>
                <w:rFonts w:ascii="Times New Roman" w:hAnsi="Times New Roman"/>
                <w:b/>
                <w:i/>
                <w:color w:val="000000"/>
                <w:sz w:val="20"/>
              </w:rPr>
              <w:t>Interim Chief Executive Officer, Director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392</Words>
  <Characters>2211</Characters>
  <CharactersWithSpaces>2602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