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Arial" w:hAnsi="Arial"/>
          <w:b/>
          <w:color w:val="000000"/>
          <w:sz w:val="20"/>
        </w:rPr>
      </w:pPr>
      <w:bookmarkStart w:id="0" w:name="prospectus_prelim.htm"/>
      <w:bookmarkStart w:id="1" w:name="ksprospectus_prelim"/>
      <w:bookmarkEnd w:id="0"/>
      <w:bookmarkEnd w:id="1"/>
      <w:r>
        <w:rPr>
          <w:rFonts w:ascii="Arial" w:hAnsi="Arial"/>
          <w:b/>
          <w:color w:val="000000"/>
          <w:sz w:val="20"/>
        </w:rPr>
        <w:t>Filed Pursuant to Rule 424(b)(5)</w:t>
        <w:br/>
        <w:t>Registration No. 333-289262</w:t>
      </w:r>
    </w:p>
    <w:p>
      <w:pPr>
        <w:pStyle w:val="TextBody"/>
        <w:bidi w:val="0"/>
        <w:jc w:val="left"/>
        <w:rPr>
          <w:rFonts w:ascii="Arial" w:hAnsi="Arial"/>
          <w:b/>
          <w:color w:val="FF0000"/>
          <w:sz w:val="20"/>
        </w:rPr>
      </w:pPr>
      <w:r>
        <w:rPr>
          <w:rFonts w:ascii="Arial" w:hAnsi="Arial"/>
          <w:b/>
          <w:color w:val="FF0000"/>
          <w:sz w:val="20"/>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w:t>
      </w:r>
    </w:p>
    <w:p>
      <w:pPr>
        <w:pStyle w:val="TextBody"/>
        <w:bidi w:val="0"/>
        <w:jc w:val="left"/>
        <w:rPr/>
      </w:pPr>
      <w:r>
        <w:rPr/>
        <w:t> </w:t>
      </w:r>
    </w:p>
    <w:p>
      <w:pPr>
        <w:pStyle w:val="TextBody"/>
        <w:bidi w:val="0"/>
        <w:jc w:val="center"/>
        <w:rPr>
          <w:rFonts w:ascii="Arial" w:hAnsi="Arial"/>
          <w:b/>
          <w:color w:val="FF0000"/>
          <w:sz w:val="20"/>
        </w:rPr>
      </w:pPr>
      <w:r>
        <w:rPr>
          <w:rFonts w:ascii="Arial" w:hAnsi="Arial"/>
          <w:b/>
          <w:color w:val="FF0000"/>
          <w:sz w:val="20"/>
        </w:rPr>
        <w:t>Subject to completion, dated September 22, 2026</w:t>
      </w:r>
    </w:p>
    <w:p>
      <w:pPr>
        <w:pStyle w:val="TextBody"/>
        <w:bidi w:val="0"/>
        <w:jc w:val="left"/>
        <w:rPr>
          <w:rFonts w:ascii="Arial" w:hAnsi="Arial"/>
          <w:sz w:val="18"/>
        </w:rPr>
      </w:pPr>
      <w:r>
        <w:rPr>
          <w:rFonts w:ascii="Arial" w:hAnsi="Arial"/>
          <w:b/>
          <w:color w:val="000000"/>
          <w:sz w:val="18"/>
        </w:rPr>
        <w:t>Preliminary prospectus supplement</w:t>
      </w:r>
      <w:r>
        <w:rPr>
          <w:rFonts w:ascii="Arial" w:hAnsi="Arial"/>
          <w:color w:val="000000"/>
          <w:sz w:val="18"/>
        </w:rPr>
        <w:t xml:space="preserve"> </w:t>
      </w:r>
    </w:p>
    <w:p>
      <w:pPr>
        <w:pStyle w:val="TextBody"/>
        <w:bidi w:val="0"/>
        <w:jc w:val="left"/>
        <w:rPr>
          <w:rFonts w:ascii="Arial" w:hAnsi="Arial"/>
          <w:color w:val="000000"/>
          <w:sz w:val="18"/>
        </w:rPr>
      </w:pPr>
      <w:r>
        <w:rPr>
          <w:rFonts w:ascii="Arial" w:hAnsi="Arial"/>
          <w:color w:val="000000"/>
          <w:sz w:val="18"/>
        </w:rPr>
        <w:t xml:space="preserve">(To prospectus dated August 15, 2025) </w:t>
      </w:r>
    </w:p>
    <w:p>
      <w:pPr>
        <w:pStyle w:val="TextBody"/>
        <w:bidi w:val="0"/>
        <w:spacing w:before="160" w:after="283"/>
        <w:jc w:val="center"/>
        <w:rPr>
          <w:rFonts w:ascii="Arial" w:hAnsi="Arial"/>
          <w:sz w:val="28"/>
        </w:rPr>
      </w:pPr>
      <w:r>
        <w:rPr>
          <w:rFonts w:ascii="Arial" w:hAnsi="Arial"/>
          <w:b/>
          <w:color w:val="000000"/>
          <w:sz w:val="28"/>
        </w:rPr>
        <w:t>Shares of Common Stock</w:t>
      </w:r>
      <w:r>
        <w:rPr>
          <w:rFonts w:ascii="Arial" w:hAnsi="Arial"/>
          <w:color w:val="000000"/>
          <w:sz w:val="28"/>
        </w:rPr>
        <w:t xml:space="preserve"> </w:t>
      </w:r>
    </w:p>
    <w:p>
      <w:pPr>
        <w:pStyle w:val="TextBody"/>
        <w:bidi w:val="0"/>
        <w:spacing w:before="140" w:after="283"/>
        <w:jc w:val="center"/>
        <w:rPr>
          <w:rFonts w:ascii="Arial" w:hAnsi="Arial"/>
          <w:sz w:val="28"/>
        </w:rPr>
      </w:pPr>
      <w:r>
        <w:rPr>
          <w:rFonts w:ascii="Arial" w:hAnsi="Arial"/>
          <w:b/>
          <w:color w:val="000000"/>
          <w:sz w:val="28"/>
        </w:rPr>
        <w:t>Pre-funded Warrants to Purchase up to Shares of Common Stock</w:t>
      </w:r>
      <w:r>
        <w:rPr>
          <w:rFonts w:ascii="Arial" w:hAnsi="Arial"/>
          <w:color w:val="000000"/>
          <w:sz w:val="28"/>
        </w:rPr>
        <w:t xml:space="preserve"> </w:t>
      </w:r>
    </w:p>
    <w:p>
      <w:pPr>
        <w:pStyle w:val="TextBody"/>
        <w:bidi w:val="0"/>
        <w:spacing w:before="140" w:after="283"/>
        <w:jc w:val="center"/>
        <w:rPr/>
      </w:pPr>
      <w:r>
        <w:rPr/>
        <w:drawing>
          <wp:inline distT="0" distB="0" distL="0" distR="0">
            <wp:extent cx="18288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66725"/>
                    </a:xfrm>
                    <a:prstGeom prst="rect">
                      <a:avLst/>
                    </a:prstGeom>
                  </pic:spPr>
                </pic:pic>
              </a:graphicData>
            </a:graphic>
          </wp:inline>
        </w:drawing>
      </w:r>
    </w:p>
    <w:p>
      <w:pPr>
        <w:pStyle w:val="TextBody"/>
        <w:bidi w:val="0"/>
        <w:spacing w:before="160" w:after="283"/>
        <w:jc w:val="left"/>
        <w:rPr>
          <w:rFonts w:ascii="Arial" w:hAnsi="Arial"/>
          <w:color w:val="000000"/>
          <w:sz w:val="18"/>
        </w:rPr>
      </w:pPr>
      <w:r>
        <w:rPr>
          <w:rFonts w:ascii="Arial" w:hAnsi="Arial"/>
          <w:color w:val="000000"/>
          <w:sz w:val="18"/>
        </w:rPr>
        <w:t>We are offering shares of our common stock, $0.0001 par value per share, in this offering, and, in lieu of common stock to certain investors that so choose, pre-funded warrants to purchase shares of common stock pursuant to this prospectus supplement and the accompanying prospectus. The purchase price of each pre-funded warrant equals the price per share at which shares of common stock are being sold to the public in this offering, minus $0.0001, and the exercise price of each pre-funded warrant equals $0.0001 per share. This prospectus supplement also relates to the offering of the shares of common stock issuable upon exercise of such pre-funded warrants.</w:t>
      </w:r>
    </w:p>
    <w:p>
      <w:pPr>
        <w:pStyle w:val="TextBody"/>
        <w:bidi w:val="0"/>
        <w:spacing w:before="160" w:after="283"/>
        <w:jc w:val="left"/>
        <w:rPr>
          <w:rFonts w:ascii="Arial" w:hAnsi="Arial"/>
          <w:color w:val="000000"/>
          <w:sz w:val="18"/>
        </w:rPr>
      </w:pPr>
      <w:r>
        <w:rPr>
          <w:rFonts w:ascii="Arial" w:hAnsi="Arial"/>
          <w:color w:val="000000"/>
          <w:sz w:val="18"/>
        </w:rPr>
        <w:t xml:space="preserve">The shares of our common stock (or pre-funded warrants) are immediately separable and will be issued separately. </w:t>
      </w:r>
    </w:p>
    <w:p>
      <w:pPr>
        <w:pStyle w:val="TextBody"/>
        <w:bidi w:val="0"/>
        <w:spacing w:before="160" w:after="283"/>
        <w:jc w:val="left"/>
        <w:rPr>
          <w:rFonts w:ascii="Arial" w:hAnsi="Arial"/>
          <w:color w:val="000000"/>
          <w:sz w:val="18"/>
        </w:rPr>
      </w:pPr>
      <w:r>
        <w:rPr>
          <w:rFonts w:ascii="Arial" w:hAnsi="Arial"/>
          <w:color w:val="000000"/>
          <w:sz w:val="18"/>
        </w:rPr>
        <w:t>We have engaged Konik Capital Partners, LLC, a division of T.R. Winston and Company, LLC (the underwriter or Konik), to act as underwriter in connection with this offering. We have agreed to issue warrants to the underwriter or its designees to purchase up to an aggregate number of shares of common stock equal to 7% of the aggregate number of shares of common stock sold in this offering at an exercise price equal to 250% of the public offering price per share to be sold in this offering (the underwriter warrants). The underwriter warrants will be exercisable at any time, and from time to time, in whole or in part, after issuance and expire one (1) year after the commencement of sales in this offering. The registration statement of which this prospectus is a part of registers the underwriter warrants and the shares of our common stock underlying the underwriter warrants. For additional information regarding the total compensation to be received by the underwriter, see “Underwriting” on page S-23 of this prospectus supplement.</w:t>
      </w:r>
    </w:p>
    <w:p>
      <w:pPr>
        <w:pStyle w:val="TextBody"/>
        <w:bidi w:val="0"/>
        <w:spacing w:before="160" w:after="283"/>
        <w:jc w:val="left"/>
        <w:rPr>
          <w:rFonts w:ascii="Arial" w:hAnsi="Arial"/>
          <w:color w:val="000000"/>
          <w:sz w:val="18"/>
        </w:rPr>
      </w:pPr>
      <w:r>
        <w:rPr>
          <w:rFonts w:ascii="Arial" w:hAnsi="Arial"/>
          <w:color w:val="000000"/>
          <w:sz w:val="18"/>
        </w:rPr>
        <w:t xml:space="preserve">Our common stock is listed on The Nasdaq Global Select Market under the symbol “BMEA.” On September 21, 2026, the last reported sale price of our common stock on The Nasdaq Global Select Market was $1.71 per share. There is no established public trading market for the pre-funded warrants, and we do not expect a market to develop. In addition, we do not intend to apply for a listing of the pre-funded warrants on the Nasdaq Global Select Market, any other national securities exchange or any other nationally recognized trading system. </w:t>
      </w:r>
    </w:p>
    <w:p>
      <w:pPr>
        <w:pStyle w:val="TextBody"/>
        <w:bidi w:val="0"/>
        <w:spacing w:before="160" w:after="283"/>
        <w:jc w:val="left"/>
        <w:rPr/>
      </w:pPr>
      <w:r>
        <w:rPr>
          <w:rFonts w:ascii="Arial" w:hAnsi="Arial"/>
          <w:b/>
          <w:color w:val="000000"/>
          <w:sz w:val="18"/>
        </w:rPr>
        <w:t>Investing in our securities involves a high degree of risk. See “</w:t>
      </w:r>
      <w:hyperlink w:anchor="supp77383_4">
        <w:r>
          <w:rPr>
            <w:rStyle w:val="InternetLink"/>
            <w:rFonts w:ascii="Arial" w:hAnsi="Arial"/>
            <w:b/>
            <w:color w:val="0000EE"/>
            <w:sz w:val="18"/>
            <w:u w:val="single"/>
          </w:rPr>
          <w:t>Risk Factors</w:t>
        </w:r>
      </w:hyperlink>
      <w:r>
        <w:rPr>
          <w:rFonts w:ascii="Arial" w:hAnsi="Arial"/>
          <w:color w:val="000000"/>
          <w:sz w:val="18"/>
        </w:rPr>
        <w:t xml:space="preserve">” </w:t>
      </w:r>
      <w:r>
        <w:rPr>
          <w:rFonts w:ascii="Arial" w:hAnsi="Arial"/>
          <w:b/>
          <w:color w:val="000000"/>
          <w:sz w:val="18"/>
        </w:rPr>
        <w:t>beginning on page S-5 of this prospectus supplement, in the accompanying prospectus and in the documents incorporated by reference into this prospectus supplement and the accompanying prospectus.</w:t>
      </w:r>
      <w:r>
        <w:rPr>
          <w:rFonts w:ascii="Arial" w:hAnsi="Arial"/>
          <w:color w:val="000000"/>
          <w:sz w:val="18"/>
        </w:rPr>
        <w:t xml:space="preserve"> </w:t>
      </w:r>
    </w:p>
    <w:p>
      <w:pPr>
        <w:pStyle w:val="TextBody"/>
        <w:bidi w:val="0"/>
        <w:spacing w:before="160" w:after="283"/>
        <w:jc w:val="left"/>
        <w:rPr>
          <w:rFonts w:ascii="Arial" w:hAnsi="Arial"/>
          <w:sz w:val="18"/>
        </w:rPr>
      </w:pPr>
      <w:r>
        <w:rPr>
          <w:rFonts w:ascii="Arial" w:hAnsi="Arial"/>
          <w:b/>
          <w:color w:val="000000"/>
          <w:sz w:val="18"/>
        </w:rPr>
        <w:t>Neither the Securities and Exchange Commission (SEC) nor any other regulatory body has approved or disapproved of these securities or passed on the adequacy or accuracy of this prospectus supplement or the accompanying prospectus. Any representation to the contrary is a criminal offense.</w:t>
      </w:r>
      <w:r>
        <w:rPr>
          <w:rFonts w:ascii="Arial" w:hAnsi="Arial"/>
          <w:color w:val="000000"/>
          <w:sz w:val="18"/>
        </w:rPr>
        <w:t xml:space="preserve">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7878" w:type="dxa"/>
        <w:jc w:val="left"/>
        <w:tblInd w:w="0" w:type="dxa"/>
        <w:tblLayout w:type="fixed"/>
        <w:tblCellMar>
          <w:top w:w="28" w:type="dxa"/>
          <w:left w:w="28" w:type="dxa"/>
          <w:bottom w:w="28" w:type="dxa"/>
          <w:right w:w="28" w:type="dxa"/>
        </w:tblCellMar>
      </w:tblPr>
      <w:tblGrid>
        <w:gridCol w:w="4381"/>
        <w:gridCol w:w="109"/>
        <w:gridCol w:w="495"/>
        <w:gridCol w:w="345"/>
        <w:gridCol w:w="109"/>
        <w:gridCol w:w="109"/>
        <w:gridCol w:w="762"/>
        <w:gridCol w:w="528"/>
        <w:gridCol w:w="109"/>
        <w:gridCol w:w="109"/>
        <w:gridCol w:w="302"/>
        <w:gridCol w:w="209"/>
        <w:gridCol w:w="311"/>
      </w:tblGrid>
      <w:tr>
        <w:trPr/>
        <w:tc>
          <w:tcPr>
            <w:tcW w:w="4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 share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 pre-funded</w:t>
              <w:br/>
              <w:t>warrant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8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Arial" w:hAnsi="Arial"/>
                <w:color w:val="000000"/>
                <w:sz w:val="18"/>
              </w:rPr>
            </w:pPr>
            <w:r>
              <w:rPr>
                <w:rFonts w:ascii="Arial" w:hAnsi="Arial"/>
                <w:color w:val="000000"/>
                <w:sz w:val="18"/>
              </w:rPr>
              <w:t>Public offering price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8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w:hAnsi="Arial"/>
                <w:sz w:val="18"/>
              </w:rPr>
            </w:pPr>
            <w:r>
              <w:rPr>
                <w:rFonts w:ascii="Arial" w:hAnsi="Arial"/>
                <w:color w:val="000000"/>
                <w:sz w:val="18"/>
              </w:rPr>
              <w:t>Underwriting discounts and commissions</w:t>
            </w:r>
            <w:r>
              <w:rPr>
                <w:rFonts w:ascii="Arial" w:hAnsi="Arial"/>
                <w:color w:val="000000"/>
                <w:sz w:val="14"/>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8"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9" w:type="dxa"/>
            <w:tcBorders/>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8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Arial" w:hAnsi="Arial"/>
                <w:color w:val="000000"/>
                <w:sz w:val="18"/>
              </w:rPr>
            </w:pPr>
            <w:r>
              <w:rPr>
                <w:rFonts w:ascii="Arial" w:hAnsi="Arial"/>
                <w:color w:val="000000"/>
                <w:sz w:val="18"/>
              </w:rPr>
              <w:t>Proceeds to Biomea Fusion, Inc., before expenses</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 w:hAnsi="Arial"/>
          <w:color w:val="000000"/>
          <w:sz w:val="16"/>
        </w:rPr>
      </w:pPr>
      <w:r>
        <w:rPr>
          <w:rFonts w:ascii="Arial" w:hAnsi="Arial"/>
          <w:color w:val="000000"/>
          <w:sz w:val="16"/>
        </w:rPr>
        <w:t>(1) See "Underwriting" for a description of the compensation payable to the underwriter.</w:t>
      </w:r>
    </w:p>
    <w:p>
      <w:pPr>
        <w:pStyle w:val="TextBody"/>
        <w:bidi w:val="0"/>
        <w:spacing w:before="160" w:after="283"/>
        <w:jc w:val="left"/>
        <w:rPr>
          <w:rFonts w:ascii="Arial" w:hAnsi="Arial"/>
          <w:color w:val="000000"/>
          <w:sz w:val="18"/>
        </w:rPr>
      </w:pPr>
      <w:r>
        <w:rPr>
          <w:rFonts w:ascii="Arial" w:hAnsi="Arial"/>
          <w:color w:val="000000"/>
          <w:sz w:val="18"/>
        </w:rPr>
        <w:t xml:space="preserve">We have granted the underwriter an option for a period of 30 days to purchase up to additional shares of our common stock from us at the public offering price less the underwriting discounts and commissions. </w:t>
      </w:r>
    </w:p>
    <w:p>
      <w:pPr>
        <w:pStyle w:val="TextBody"/>
        <w:bidi w:val="0"/>
        <w:spacing w:before="200" w:after="283"/>
        <w:jc w:val="left"/>
        <w:rPr>
          <w:rFonts w:ascii="Arial" w:hAnsi="Arial"/>
          <w:color w:val="000000"/>
          <w:sz w:val="18"/>
        </w:rPr>
      </w:pPr>
      <w:r>
        <w:rPr>
          <w:rFonts w:ascii="Arial" w:hAnsi="Arial"/>
          <w:color w:val="000000"/>
          <w:sz w:val="18"/>
        </w:rPr>
        <w:t xml:space="preserve">Delivery of the shares of common stock and the pre-funded warrants is expected to be made on or about , 2026. </w:t>
      </w:r>
    </w:p>
    <w:p>
      <w:pPr>
        <w:pStyle w:val="TextBody"/>
        <w:bidi w:val="0"/>
        <w:spacing w:before="100" w:after="283"/>
        <w:jc w:val="center"/>
        <w:rPr>
          <w:rFonts w:ascii="Arial" w:hAnsi="Arial"/>
          <w:b/>
          <w:color w:val="000000"/>
          <w:sz w:val="32"/>
        </w:rPr>
      </w:pPr>
      <w:r>
        <w:rPr>
          <w:rFonts w:ascii="Arial" w:hAnsi="Arial"/>
          <w:b/>
          <w:color w:val="000000"/>
          <w:sz w:val="32"/>
        </w:rPr>
        <w:t>Konik Capital Partners</w:t>
      </w:r>
    </w:p>
    <w:p>
      <w:pPr>
        <w:pStyle w:val="TextBody"/>
        <w:bidi w:val="0"/>
        <w:spacing w:before="120" w:after="283"/>
        <w:jc w:val="center"/>
        <w:rPr>
          <w:rFonts w:ascii="Arial" w:hAnsi="Arial"/>
          <w:b/>
          <w:i/>
          <w:color w:val="000000"/>
          <w:sz w:val="18"/>
        </w:rPr>
      </w:pPr>
      <w:r>
        <w:rPr>
          <w:rFonts w:ascii="Arial" w:hAnsi="Arial"/>
          <w:b/>
          <w:i/>
          <w:color w:val="000000"/>
          <w:sz w:val="18"/>
        </w:rPr>
        <w:t>a division of T.R. Winston &amp; Co.</w:t>
      </w:r>
    </w:p>
    <w:p>
      <w:pPr>
        <w:pStyle w:val="TextBody"/>
        <w:bidi w:val="0"/>
        <w:spacing w:before="120" w:after="283"/>
        <w:jc w:val="center"/>
        <w:rPr>
          <w:rFonts w:ascii="Arial" w:hAnsi="Arial"/>
          <w:sz w:val="18"/>
        </w:rPr>
      </w:pPr>
      <w:r>
        <w:rPr>
          <w:rFonts w:ascii="Arial" w:hAnsi="Arial"/>
          <w:b/>
          <w:color w:val="000000"/>
          <w:sz w:val="18"/>
        </w:rPr>
        <w:t>Prospectus Supplement dated , 2026</w:t>
      </w:r>
      <w:r>
        <w:rPr>
          <w:rFonts w:ascii="Arial" w:hAnsi="Arial"/>
          <w:color w:val="000000"/>
          <w:sz w:val="18"/>
        </w:rPr>
        <w:t xml:space="preserve">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2" w:name="toc"/>
      <w:bookmarkEnd w:id="2"/>
      <w:r>
        <w:rPr>
          <w:rFonts w:ascii="Arial" w:hAnsi="Arial"/>
          <w:b/>
          <w:color w:val="000000"/>
          <w:sz w:val="20"/>
        </w:rPr>
        <w:t>TABLE OF CONTENTS</w:t>
      </w:r>
      <w:r>
        <w:rPr>
          <w:rFonts w:ascii="Arial" w:hAnsi="Arial"/>
          <w:color w:val="000000"/>
          <w:sz w:val="20"/>
        </w:rPr>
        <w:t xml:space="preserve"> </w:t>
      </w:r>
    </w:p>
    <w:tbl>
      <w:tblPr>
        <w:tblW w:w="9100" w:type="dxa"/>
        <w:jc w:val="left"/>
        <w:tblInd w:w="0" w:type="dxa"/>
        <w:tblLayout w:type="fixed"/>
        <w:tblCellMar>
          <w:top w:w="28" w:type="dxa"/>
          <w:left w:w="28" w:type="dxa"/>
          <w:bottom w:w="28" w:type="dxa"/>
          <w:right w:w="28" w:type="dxa"/>
        </w:tblCellMar>
      </w:tblPr>
      <w:tblGrid>
        <w:gridCol w:w="8106"/>
        <w:gridCol w:w="146"/>
        <w:gridCol w:w="146"/>
        <w:gridCol w:w="511"/>
        <w:gridCol w:w="191"/>
      </w:tblGrid>
      <w:tr>
        <w:trPr/>
        <w:tc>
          <w:tcPr>
            <w:tcW w:w="8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PROSPECTUS SUPPLEMENT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1">
              <w:r>
                <w:rPr>
                  <w:rStyle w:val="InternetLink"/>
                  <w:rFonts w:ascii="Arial" w:hAnsi="Arial"/>
                  <w:color w:val="0000EE"/>
                  <w:sz w:val="20"/>
                  <w:u w:val="single"/>
                </w:rPr>
                <w:t>ABOUT THIS PROSPECTUS SUPPLEMENT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S-iii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2">
              <w:r>
                <w:rPr>
                  <w:rStyle w:val="InternetLink"/>
                  <w:rFonts w:ascii="Arial" w:hAnsi="Arial"/>
                  <w:color w:val="0000EE"/>
                  <w:sz w:val="20"/>
                  <w:u w:val="single"/>
                </w:rPr>
                <w:t>MARKET, INDUSTRY AND OTHER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S-v</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3">
              <w:r>
                <w:rPr>
                  <w:rStyle w:val="InternetLink"/>
                  <w:rFonts w:ascii="Arial" w:hAnsi="Arial"/>
                  <w:color w:val="0000EE"/>
                  <w:sz w:val="20"/>
                  <w:u w:val="single"/>
                </w:rPr>
                <w:t>PROSPECTUS SUPPLEMENT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4">
              <w:r>
                <w:rPr>
                  <w:rStyle w:val="InternetLink"/>
                  <w:rFonts w:ascii="Arial" w:hAnsi="Arial"/>
                  <w:color w:val="0000EE"/>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5">
              <w:r>
                <w:rPr>
                  <w:rStyle w:val="InternetLink"/>
                  <w:rFonts w:ascii="Arial" w:hAnsi="Arial"/>
                  <w:color w:val="0000EE"/>
                  <w:sz w:val="20"/>
                  <w:u w:val="single"/>
                </w:rPr>
                <w:t>CAUTIONARY STATEMENT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S-10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6">
              <w:r>
                <w:rPr>
                  <w:rStyle w:val="InternetLink"/>
                  <w:rFonts w:ascii="Arial" w:hAnsi="Arial"/>
                  <w:color w:val="0000EE"/>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S-12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7">
              <w:r>
                <w:rPr>
                  <w:rStyle w:val="InternetLink"/>
                  <w:rFonts w:ascii="Arial" w:hAnsi="Arial"/>
                  <w:color w:val="0000EE"/>
                  <w:sz w:val="20"/>
                  <w:u w:val="single"/>
                </w:rPr>
                <w:t>DIVIDEND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S-13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8">
              <w:r>
                <w:rPr>
                  <w:rStyle w:val="InternetLink"/>
                  <w:rFonts w:ascii="Arial" w:hAnsi="Arial"/>
                  <w:color w:val="0000EE"/>
                  <w:sz w:val="20"/>
                  <w:u w:val="single"/>
                </w:rPr>
                <w:t>DILUTION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S-14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9">
              <w:r>
                <w:rPr>
                  <w:rStyle w:val="InternetLink"/>
                  <w:rFonts w:ascii="Arial" w:hAnsi="Arial"/>
                  <w:color w:val="0000EE"/>
                  <w:sz w:val="20"/>
                  <w:u w:val="single"/>
                </w:rPr>
                <w:t>MATERIAL U.S. FEDERAL INCOME TAX CONSEQUENCES FOR NON-U.S. 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S-16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10">
              <w:r>
                <w:rPr>
                  <w:rStyle w:val="InternetLink"/>
                  <w:rFonts w:ascii="Arial" w:hAnsi="Arial"/>
                  <w:color w:val="0000EE"/>
                  <w:sz w:val="20"/>
                  <w:u w:val="single"/>
                </w:rPr>
                <w:t>DESCRIPTION OF PRE-FUNDED WARRANTS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S-21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11">
              <w:r>
                <w:rPr>
                  <w:rStyle w:val="InternetLink"/>
                  <w:rFonts w:ascii="Arial" w:hAnsi="Arial"/>
                  <w:color w:val="0000EE"/>
                  <w:sz w:val="20"/>
                  <w:u w:val="single"/>
                </w:rPr>
                <w:t>UNDERWRITING</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S-23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12">
              <w:r>
                <w:rPr>
                  <w:rStyle w:val="InternetLink"/>
                  <w:rFonts w:ascii="Arial" w:hAnsi="Arial"/>
                  <w:color w:val="0000EE"/>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S-27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13">
              <w:r>
                <w:rPr>
                  <w:rStyle w:val="InternetLink"/>
                  <w:rFonts w:ascii="Arial" w:hAnsi="Arial"/>
                  <w:color w:val="0000EE"/>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S-27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14">
              <w:r>
                <w:rPr>
                  <w:rStyle w:val="InternetLink"/>
                  <w:rFonts w:ascii="Arial" w:hAnsi="Arial"/>
                  <w:color w:val="0000EE"/>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S-28</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0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77383_15">
              <w:r>
                <w:rPr>
                  <w:rStyle w:val="InternetLink"/>
                  <w:rFonts w:ascii="Arial" w:hAnsi="Arial"/>
                  <w:color w:val="0000EE"/>
                  <w:sz w:val="20"/>
                  <w:u w:val="single"/>
                </w:rPr>
                <w:t>INCORPORATION OF CERTAIN INFORMATION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S-29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 - CONTINUED</w:t>
      </w:r>
    </w:p>
    <w:p>
      <w:pPr>
        <w:pStyle w:val="TextBody"/>
        <w:bidi w:val="0"/>
        <w:jc w:val="left"/>
        <w:rPr/>
      </w:pPr>
      <w:r>
        <w:rPr/>
        <w:t> </w:t>
      </w:r>
    </w:p>
    <w:p>
      <w:pPr>
        <w:pStyle w:val="TextBody"/>
        <w:bidi w:val="0"/>
        <w:spacing w:before="160" w:after="283"/>
        <w:jc w:val="left"/>
        <w:rPr>
          <w:rFonts w:ascii="Arial" w:hAnsi="Arial"/>
          <w:sz w:val="20"/>
        </w:rPr>
      </w:pPr>
      <w:r>
        <w:rPr>
          <w:rFonts w:ascii="Arial" w:hAnsi="Arial"/>
          <w:b/>
          <w:color w:val="000000"/>
          <w:sz w:val="20"/>
        </w:rPr>
        <w:t>PROSPECTUS</w:t>
      </w:r>
      <w:r>
        <w:rPr>
          <w:rFonts w:ascii="Arial" w:hAnsi="Arial"/>
          <w:color w:val="000000"/>
          <w:sz w:val="20"/>
        </w:rPr>
        <w:t xml:space="preserve"> </w:t>
      </w:r>
    </w:p>
    <w:tbl>
      <w:tblPr>
        <w:tblW w:w="7380" w:type="dxa"/>
        <w:jc w:val="left"/>
        <w:tblInd w:w="0" w:type="dxa"/>
        <w:tblLayout w:type="fixed"/>
        <w:tblCellMar>
          <w:top w:w="28" w:type="dxa"/>
          <w:left w:w="28" w:type="dxa"/>
          <w:bottom w:w="28" w:type="dxa"/>
          <w:right w:w="28" w:type="dxa"/>
        </w:tblCellMar>
      </w:tblPr>
      <w:tblGrid>
        <w:gridCol w:w="6381"/>
        <w:gridCol w:w="146"/>
        <w:gridCol w:w="146"/>
        <w:gridCol w:w="316"/>
        <w:gridCol w:w="391"/>
      </w:tblGrid>
      <w:tr>
        <w:trPr/>
        <w:tc>
          <w:tcPr>
            <w:tcW w:w="6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1">
              <w:r>
                <w:rPr>
                  <w:rStyle w:val="InternetLink"/>
                  <w:rFonts w:ascii="Arial" w:hAnsi="Arial"/>
                  <w:color w:val="0000EE"/>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2">
              <w:r>
                <w:rPr>
                  <w:rStyle w:val="InternetLink"/>
                  <w:rFonts w:ascii="Arial" w:hAnsi="Arial"/>
                  <w:color w:val="0000EE"/>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3">
              <w:r>
                <w:rPr>
                  <w:rStyle w:val="InternetLink"/>
                  <w:rFonts w:ascii="Arial" w:hAnsi="Arial"/>
                  <w:color w:val="0000EE"/>
                  <w:sz w:val="20"/>
                  <w:u w:val="single"/>
                </w:rPr>
                <w:t>INCORPORATION OF CERTAIN INFORMATION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4">
              <w:r>
                <w:rPr>
                  <w:rStyle w:val="InternetLink"/>
                  <w:rFonts w:ascii="Arial" w:hAnsi="Arial"/>
                  <w:color w:val="0000EE"/>
                  <w:sz w:val="20"/>
                  <w:u w:val="single"/>
                </w:rPr>
                <w:t>SPECIAL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5">
              <w:r>
                <w:rPr>
                  <w:rStyle w:val="InternetLink"/>
                  <w:rFonts w:ascii="Arial" w:hAnsi="Arial"/>
                  <w:color w:val="0000EE"/>
                  <w:sz w:val="20"/>
                  <w:u w:val="single"/>
                </w:rPr>
                <w:t>ABOUT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6">
              <w:r>
                <w:rPr>
                  <w:rStyle w:val="InternetLink"/>
                  <w:rFonts w:ascii="Arial" w:hAnsi="Arial"/>
                  <w:color w:val="0000EE"/>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7">
              <w:r>
                <w:rPr>
                  <w:rStyle w:val="InternetLink"/>
                  <w:rFonts w:ascii="Arial" w:hAnsi="Arial"/>
                  <w:color w:val="0000EE"/>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8">
              <w:r>
                <w:rPr>
                  <w:rStyle w:val="InternetLink"/>
                  <w:rFonts w:ascii="Arial" w:hAnsi="Arial"/>
                  <w:color w:val="0000EE"/>
                  <w:sz w:val="20"/>
                  <w:u w:val="single"/>
                </w:rPr>
                <w:t>DIVIDEND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9">
              <w:r>
                <w:rPr>
                  <w:rStyle w:val="InternetLink"/>
                  <w:rFonts w:ascii="Arial" w:hAnsi="Arial"/>
                  <w:color w:val="0000EE"/>
                  <w:sz w:val="20"/>
                  <w:u w:val="single"/>
                </w:rPr>
                <w:t>GENERAL 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10">
              <w:r>
                <w:rPr>
                  <w:rStyle w:val="InternetLink"/>
                  <w:rFonts w:ascii="Arial" w:hAnsi="Arial"/>
                  <w:color w:val="0000EE"/>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11">
              <w:r>
                <w:rPr>
                  <w:rStyle w:val="InternetLink"/>
                  <w:rFonts w:ascii="Arial" w:hAnsi="Arial"/>
                  <w:color w:val="0000EE"/>
                  <w:sz w:val="20"/>
                  <w:u w:val="single"/>
                </w:rPr>
                <w:t>DESCRIPTION OF DEBT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12">
              <w:r>
                <w:rPr>
                  <w:rStyle w:val="InternetLink"/>
                  <w:rFonts w:ascii="Arial" w:hAnsi="Arial"/>
                  <w:color w:val="0000EE"/>
                  <w:sz w:val="20"/>
                  <w:u w:val="single"/>
                </w:rPr>
                <w:t>DESCRIPTION OF WARRANTS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13">
              <w:r>
                <w:rPr>
                  <w:rStyle w:val="InternetLink"/>
                  <w:rFonts w:ascii="Arial" w:hAnsi="Arial"/>
                  <w:color w:val="0000EE"/>
                  <w:sz w:val="20"/>
                  <w:u w:val="single"/>
                </w:rPr>
                <w:t>DESCRIPTION OF UNITS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14">
              <w:r>
                <w:rPr>
                  <w:rStyle w:val="InternetLink"/>
                  <w:rFonts w:ascii="Arial" w:hAnsi="Arial"/>
                  <w:color w:val="0000EE"/>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15">
              <w:r>
                <w:rPr>
                  <w:rStyle w:val="InternetLink"/>
                  <w:rFonts w:ascii="Arial" w:hAnsi="Arial"/>
                  <w:color w:val="0000EE"/>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x77383_16">
              <w:r>
                <w:rPr>
                  <w:rStyle w:val="InternetLink"/>
                  <w:rFonts w:ascii="Arial" w:hAnsi="Arial"/>
                  <w:color w:val="0000EE"/>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3" w:name="supp77383_1"/>
      <w:bookmarkEnd w:id="3"/>
      <w:r>
        <w:rPr>
          <w:rFonts w:ascii="Arial" w:hAnsi="Arial"/>
          <w:b/>
          <w:color w:val="000000"/>
          <w:sz w:val="20"/>
        </w:rPr>
        <w:t>ABOUT THIS PROSPECTUS SUPPLEMENT</w:t>
      </w:r>
      <w:r>
        <w:rPr>
          <w:rFonts w:ascii="Arial" w:hAnsi="Arial"/>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 xml:space="preserve">This document is in two parts. The first part is this prospectus supplement, which describes the specific terms of this offering of common stock and pre-funded warrants to certain investors.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w:t>
      </w:r>
    </w:p>
    <w:p>
      <w:pPr>
        <w:pStyle w:val="TextBody"/>
        <w:bidi w:val="0"/>
        <w:spacing w:before="200" w:after="283"/>
        <w:jc w:val="left"/>
        <w:rPr>
          <w:rFonts w:ascii="Arial" w:hAnsi="Arial"/>
          <w:color w:val="000000"/>
          <w:sz w:val="20"/>
        </w:rPr>
      </w:pPr>
      <w:r>
        <w:rPr>
          <w:rFonts w:ascii="Arial" w:hAnsi="Arial"/>
          <w:color w:val="000000"/>
          <w:sz w:val="20"/>
        </w:rPr>
        <w:t xml:space="preserve">This prospectus supplement is part of a registration statement that we filed with the SEC using a “shelf” registration process. Under the shelf registration process, we may from time to time offer and sell any combination of the securities described in the accompanying prospectus up to a total dollar amount of $300.0 million, of which this offering is a part. The shares of our common stock and pre-funded warrants to certain investors that may be sold under this prospectus supplement are included in the $300.0 million of securities that may be sold using the accompanying prospectus. </w:t>
      </w:r>
    </w:p>
    <w:p>
      <w:pPr>
        <w:pStyle w:val="TextBody"/>
        <w:bidi w:val="0"/>
        <w:spacing w:before="200" w:after="283"/>
        <w:jc w:val="left"/>
        <w:rPr>
          <w:rFonts w:ascii="Arial" w:hAnsi="Arial"/>
          <w:sz w:val="20"/>
        </w:rPr>
      </w:pPr>
      <w:r>
        <w:rPr>
          <w:rFonts w:ascii="Arial" w:hAnsi="Arial"/>
          <w:b/>
          <w:color w:val="000000"/>
          <w:sz w:val="20"/>
        </w:rPr>
        <w:t>Neither we nor the underwriter have authorized anyone to provide any information other than that contained or incorporated by reference in this prospectus supplement, the accompanying prospectus or in any free writing prospectus prepared by us or on our behalf to which we have referred you. We take no responsibility for, and can provide no assurance as to the reliability of, any other information that others may give you. We are not, and the underwriter is not, making an offer to sell or soliciting an offer to buy these securities under any circumstance in any jurisdiction where the offer or solicitation is not permitted. You should assume that the information contained in this prospectus supplement, the accompanying prospectus and any free writing prospectus prepared by us or on our behalf is accurate only as of the date of the respective document in which the information appears, and that any information in documents that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 xml:space="preserve">It is important for you to read and consider all of the information contained in this prospectus supplement and the accompanying prospectus, including the documents incorporated by reference herein and therein, in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“Where You Can Find More Information” and “Incorporation of Certain Information by Reference” of this prospectus supplement, before investing in our common stock or pre-funded warrants. </w:t>
      </w:r>
    </w:p>
    <w:p>
      <w:pPr>
        <w:pStyle w:val="TextBody"/>
        <w:bidi w:val="0"/>
        <w:spacing w:before="200" w:after="283"/>
        <w:jc w:val="left"/>
        <w:rPr>
          <w:rFonts w:ascii="Arial" w:hAnsi="Arial"/>
          <w:color w:val="000000"/>
          <w:sz w:val="20"/>
        </w:rPr>
      </w:pPr>
      <w:r>
        <w:rPr>
          <w:rFonts w:ascii="Arial" w:hAnsi="Arial"/>
          <w:color w:val="000000"/>
          <w:sz w:val="20"/>
        </w:rPr>
        <w:t xml:space="preserve">We are offering to sell, and seeking offers to buy, shares of common stock and pre-funded warrants to certain investors only in jurisdictions where offers and sales are permitted. The distribution of this prospectus supplement and the accompanying prospectus and the offering of the common stock in certain jurisdictions may be restricted by law. No action is being taken in any jurisdiction outside the United States to permit a public offering of the securities or possession or distribution of this prospectus supplement or the accompanying prospectus in that jurisdiction. Persons outside the United </w:t>
      </w:r>
    </w:p>
    <w:p>
      <w:pPr>
        <w:pStyle w:val="TextBody"/>
        <w:bidi w:val="0"/>
        <w:jc w:val="center"/>
        <w:rPr>
          <w:rFonts w:ascii="Times New Roman" w:hAnsi="Times New Roman"/>
          <w:color w:val="000000"/>
          <w:sz w:val="20"/>
        </w:rPr>
      </w:pPr>
      <w:r>
        <w:rPr>
          <w:rFonts w:ascii="Times New Roman" w:hAnsi="Times New Roman"/>
          <w:color w:val="000000"/>
          <w:sz w:val="20"/>
        </w:rPr>
        <w:t>S-iii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00" w:after="283"/>
        <w:jc w:val="left"/>
        <w:rPr>
          <w:rFonts w:ascii="Arial" w:hAnsi="Arial"/>
          <w:color w:val="000000"/>
          <w:sz w:val="20"/>
        </w:rPr>
      </w:pPr>
      <w:r>
        <w:rPr>
          <w:rFonts w:ascii="Arial" w:hAnsi="Arial"/>
          <w:color w:val="000000"/>
          <w:sz w:val="20"/>
        </w:rPr>
        <w:t xml:space="preserve">Unless the context otherwise indicates, references in this prospectus supplement and the accompanying prospectus to “we,” “us,” “our,” “Biomea,” “the Company” and similar designations refer, collectively, Biomea Fusion, Inc., a Delaware corporation, and its subsidiaries, if any. </w:t>
      </w:r>
    </w:p>
    <w:p>
      <w:pPr>
        <w:pStyle w:val="TextBody"/>
        <w:bidi w:val="0"/>
        <w:spacing w:before="200" w:after="283"/>
        <w:jc w:val="left"/>
        <w:rPr>
          <w:rFonts w:ascii="Arial" w:hAnsi="Arial"/>
          <w:color w:val="000000"/>
          <w:sz w:val="20"/>
        </w:rPr>
      </w:pPr>
      <w:r>
        <w:rPr>
          <w:rFonts w:ascii="Arial" w:hAnsi="Arial"/>
          <w:color w:val="000000"/>
          <w:sz w:val="20"/>
        </w:rPr>
        <w:t xml:space="preserve">All references in this prospectus supplement and the accompanying prospectus to our financial statements include the related notes thereto. </w:t>
      </w:r>
    </w:p>
    <w:p>
      <w:pPr>
        <w:pStyle w:val="TextBody"/>
        <w:bidi w:val="0"/>
        <w:spacing w:before="200" w:after="283"/>
        <w:jc w:val="left"/>
        <w:rPr>
          <w:rFonts w:ascii="Arial" w:hAnsi="Arial"/>
          <w:sz w:val="15"/>
        </w:rPr>
      </w:pPr>
      <w:r>
        <w:rPr>
          <w:rFonts w:ascii="Arial" w:hAnsi="Arial"/>
          <w:color w:val="000000"/>
          <w:sz w:val="20"/>
        </w:rPr>
        <w:t xml:space="preserve">Biomea Fusion, Inc., the Biomea logo and our other registered or common law trademarks, trade names or service marks appearing in this prospectus supplement are owned by us. This prospectus supplement, any applicable prospectus or any information incorporated herein or therein may contain references to our trademarks and to trademarks belonging to other entities. Solely for convenience, trademarks and trade names referred to in this prospectus supplement and the accompanying prospectus, including logos, artwork and other visual displays, generally appear without the </w:t>
      </w:r>
      <w:r>
        <w:rPr>
          <w:rFonts w:ascii="Arial" w:hAnsi="Arial"/>
          <w:color w:val="000000"/>
          <w:sz w:val="15"/>
        </w:rPr>
        <w:t xml:space="preserve">® </w:t>
      </w:r>
      <w:r>
        <w:rPr>
          <w:rFonts w:ascii="Arial" w:hAnsi="Arial"/>
          <w:color w:val="000000"/>
          <w:sz w:val="20"/>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supplement, the accompanying prospectus or any related free writing prospectus are the property of their respective owners.</w:t>
      </w:r>
      <w:r>
        <w:rPr>
          <w:rFonts w:ascii="Arial" w:hAnsi="Arial"/>
          <w:color w:val="000000"/>
          <w:sz w:val="15"/>
        </w:rPr>
        <w:t xml:space="preserve"> </w:t>
      </w:r>
    </w:p>
    <w:p>
      <w:pPr>
        <w:pStyle w:val="TextBody"/>
        <w:bidi w:val="0"/>
        <w:spacing w:before="200" w:after="283"/>
        <w:jc w:val="left"/>
        <w:rPr>
          <w:rFonts w:ascii="Arial" w:hAnsi="Arial"/>
          <w:color w:val="000000"/>
          <w:sz w:val="20"/>
        </w:rPr>
      </w:pPr>
      <w:r>
        <w:rPr>
          <w:rFonts w:ascii="Arial" w:hAnsi="Arial"/>
          <w:color w:val="000000"/>
          <w:sz w:val="20"/>
        </w:rPr>
        <w:t xml:space="preserve">The industry and market data and other statistical information contained in the documents we incorporate by reference are based on management’s own estimates, independent publications, government publications, reports by market research firms or other published independent sources and, in each case, are believed by management to be reasonable estimates. Although we believe these sources are reliable, we have not independently verified the information. </w:t>
      </w:r>
    </w:p>
    <w:p>
      <w:pPr>
        <w:pStyle w:val="TextBody"/>
        <w:bidi w:val="0"/>
        <w:jc w:val="center"/>
        <w:rPr>
          <w:rFonts w:ascii="Times New Roman" w:hAnsi="Times New Roman"/>
          <w:color w:val="000000"/>
          <w:sz w:val="20"/>
        </w:rPr>
      </w:pPr>
      <w:r>
        <w:rPr>
          <w:rFonts w:ascii="Times New Roman" w:hAnsi="Times New Roman"/>
          <w:color w:val="000000"/>
          <w:sz w:val="20"/>
        </w:rPr>
        <w:t>S-iv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4" w:name="supp77383_2"/>
      <w:bookmarkEnd w:id="4"/>
      <w:r>
        <w:rPr>
          <w:rFonts w:ascii="Arial" w:hAnsi="Arial"/>
          <w:b/>
          <w:color w:val="000000"/>
          <w:sz w:val="20"/>
        </w:rPr>
        <w:t>MARKET, INDUSTRY AND OTHER DATA</w:t>
      </w:r>
      <w:r>
        <w:rPr>
          <w:rFonts w:ascii="Arial" w:hAnsi="Arial"/>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 xml:space="preserve">This prospectus supplement, including the information incorporated by reference herein,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w:t>
      </w:r>
    </w:p>
    <w:p>
      <w:pPr>
        <w:pStyle w:val="TextBody"/>
        <w:bidi w:val="0"/>
        <w:jc w:val="center"/>
        <w:rPr>
          <w:rFonts w:ascii="Times New Roman" w:hAnsi="Times New Roman"/>
          <w:color w:val="000000"/>
          <w:sz w:val="20"/>
        </w:rPr>
      </w:pPr>
      <w:r>
        <w:rPr>
          <w:rFonts w:ascii="Times New Roman" w:hAnsi="Times New Roman"/>
          <w:color w:val="000000"/>
          <w:sz w:val="20"/>
        </w:rPr>
        <w:t>S-v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0"/>
        <w:ind w:left="0" w:right="0" w:hanging="0"/>
        <w:jc w:val="center"/>
        <w:rPr>
          <w:rFonts w:ascii="Arial" w:hAnsi="Arial"/>
          <w:sz w:val="20"/>
          <w:bdr w:val="single" w:sz="6" w:space="1" w:color="000000"/>
        </w:rPr>
      </w:pPr>
      <w:bookmarkStart w:id="5" w:name="supp77383_3"/>
      <w:bookmarkEnd w:id="5"/>
      <w:r>
        <w:rPr>
          <w:rFonts w:ascii="Arial" w:hAnsi="Arial"/>
          <w:b/>
          <w:color w:val="000000"/>
          <w:sz w:val="20"/>
          <w:bdr w:val="single" w:sz="6" w:space="1" w:color="000000"/>
        </w:rPr>
        <w:t>PROSPECTUS SUPPLEMENT SUMMARY</w:t>
      </w:r>
      <w:r>
        <w:rPr>
          <w:rFonts w:ascii="Arial" w:hAnsi="Arial"/>
          <w:color w:val="000000"/>
          <w:sz w:val="20"/>
          <w:bdr w:val="single" w:sz="6" w:space="1" w:color="000000"/>
        </w:rPr>
        <w:t xml:space="preserve"> </w:t>
      </w:r>
    </w:p>
    <w:p>
      <w:pPr>
        <w:pStyle w:val="TextBody"/>
        <w:bidi w:val="0"/>
        <w:spacing w:before="200" w:after="283"/>
        <w:jc w:val="left"/>
        <w:rPr>
          <w:rFonts w:ascii="Arial" w:hAnsi="Arial"/>
          <w:sz w:val="20"/>
          <w:bdr w:val="single" w:sz="6" w:space="1" w:color="000000"/>
        </w:rPr>
      </w:pPr>
      <w:r>
        <w:rPr>
          <w:rFonts w:ascii="Arial" w:hAnsi="Arial"/>
          <w:i/>
          <w:color w:val="000000"/>
          <w:sz w:val="20"/>
          <w:bdr w:val="single" w:sz="6" w:space="1" w:color="000000"/>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prospectus, including the documents incorporated by reference, which are described under “Incorporation of Certain Information by Reference” in this prospectus supplement. You should also carefully consider the matters discussed in the section of this prospectus supplement titled “Risk Factors” and under similar sections of the accompanying prospectus and other periodic reports incorporated herein and therein by reference.</w:t>
      </w:r>
      <w:r>
        <w:rPr>
          <w:rFonts w:ascii="Arial" w:hAnsi="Arial"/>
          <w:color w:val="000000"/>
          <w:sz w:val="20"/>
          <w:bdr w:val="single" w:sz="6" w:space="1" w:color="000000"/>
        </w:rPr>
        <w:t xml:space="preserve"> </w:t>
      </w:r>
    </w:p>
    <w:p>
      <w:pPr>
        <w:pStyle w:val="TextBody"/>
        <w:bidi w:val="0"/>
        <w:spacing w:before="200" w:after="283"/>
        <w:jc w:val="left"/>
        <w:rPr>
          <w:rFonts w:ascii="Arial" w:hAnsi="Arial"/>
          <w:sz w:val="20"/>
          <w:bdr w:val="single" w:sz="6" w:space="1" w:color="000000"/>
        </w:rPr>
      </w:pPr>
      <w:r>
        <w:rPr>
          <w:rFonts w:ascii="Arial" w:hAnsi="Arial"/>
          <w:b/>
          <w:color w:val="000000"/>
          <w:sz w:val="20"/>
          <w:bdr w:val="single" w:sz="6" w:space="1" w:color="000000"/>
        </w:rPr>
        <w:t>Company Overview</w:t>
      </w:r>
      <w:r>
        <w:rPr>
          <w:rFonts w:ascii="Arial" w:hAnsi="Arial"/>
          <w:color w:val="000000"/>
          <w:sz w:val="20"/>
          <w:bdr w:val="single" w:sz="6" w:space="1" w:color="000000"/>
        </w:rPr>
        <w:t xml:space="preserve"> </w:t>
      </w:r>
    </w:p>
    <w:p>
      <w:pPr>
        <w:pStyle w:val="TextBody"/>
        <w:bidi w:val="0"/>
        <w:spacing w:before="80" w:after="283"/>
        <w:jc w:val="left"/>
        <w:rPr>
          <w:rFonts w:ascii="Arial" w:hAnsi="Arial"/>
          <w:color w:val="000000"/>
          <w:sz w:val="20"/>
          <w:bdr w:val="single" w:sz="6" w:space="1" w:color="000000"/>
        </w:rPr>
      </w:pPr>
      <w:r>
        <w:rPr>
          <w:rFonts w:ascii="Arial" w:hAnsi="Arial"/>
          <w:color w:val="000000"/>
          <w:sz w:val="20"/>
          <w:bdr w:val="single" w:sz="6" w:space="1" w:color="000000"/>
        </w:rPr>
        <w:t xml:space="preserve">We are a clinical-stage diabetes and obesity medicines company focused on the development of novel small molecule therapies to treat and improve the lives of patients with metabolic diseases. A covalent small molecule drug is a synthetic compound that forms a permanent bond to its target protein and offers a number of potential advantages over conventional non-covalent drugs, including greater target selectivity, lower drug exposure, and the ability to drive a deeper, more durable response. </w:t>
      </w:r>
    </w:p>
    <w:p>
      <w:pPr>
        <w:pStyle w:val="TextBody"/>
        <w:bidi w:val="0"/>
        <w:spacing w:before="200" w:after="283"/>
        <w:jc w:val="left"/>
        <w:rPr>
          <w:rFonts w:ascii="Arial" w:hAnsi="Arial"/>
          <w:color w:val="000000"/>
          <w:sz w:val="20"/>
          <w:bdr w:val="single" w:sz="6" w:space="1" w:color="000000"/>
        </w:rPr>
      </w:pPr>
      <w:r>
        <w:rPr>
          <w:rFonts w:ascii="Arial" w:hAnsi="Arial"/>
          <w:color w:val="000000"/>
          <w:sz w:val="20"/>
          <w:bdr w:val="single" w:sz="6" w:space="1" w:color="000000"/>
        </w:rPr>
        <w:t xml:space="preserve">Our lead clinical program’s drug candidate, icovamenib, is currently being developed as an orally bioavailable, and selective, covalent inhibitor of menin, which serves as a checkpoint to prevent beta cell proliferation and is an important transcriptional regulator known to play a direct role in beta cell homeostasis. Icovamenib’s potential in type 1 and type 2 diabetes as well as its impact in obesity is currently being investigated in two clinical and multiple preclinical studies. Our preclinical and clinical data to date support that inhibiting menin via icovamenib has the potential to enable the proliferation, preservation, and reactivation of healthy, functional beta cells capable of producing insulin, thereby leading to long-term glycemic control in patients with type 1 and type 2 diabetes. </w:t>
      </w:r>
    </w:p>
    <w:p>
      <w:pPr>
        <w:pStyle w:val="TextBody"/>
        <w:bidi w:val="0"/>
        <w:spacing w:before="200" w:after="283"/>
        <w:jc w:val="left"/>
        <w:rPr>
          <w:rFonts w:ascii="Arial" w:hAnsi="Arial"/>
          <w:color w:val="000000"/>
          <w:sz w:val="20"/>
          <w:bdr w:val="single" w:sz="6" w:space="1" w:color="000000"/>
        </w:rPr>
      </w:pPr>
      <w:r>
        <w:rPr>
          <w:rFonts w:ascii="Arial" w:hAnsi="Arial"/>
          <w:color w:val="000000"/>
          <w:sz w:val="20"/>
          <w:bdr w:val="single" w:sz="6" w:space="1" w:color="000000"/>
        </w:rPr>
        <w:t xml:space="preserve">In preclinical studies, the administration of icovamenib has produced a pronounced effect in preclinical models of diabetes, normalizing glucose levels during treatment and even after drug washout. As of the date of this prospectus, icovamenib is being evaluated across two ongoing Phase II clinical trials (COVALENT-211 and COVALENT-212) in type 2 diabetes. </w:t>
      </w:r>
    </w:p>
    <w:p>
      <w:pPr>
        <w:pStyle w:val="TextBody"/>
        <w:bidi w:val="0"/>
        <w:spacing w:before="200" w:after="283"/>
        <w:jc w:val="left"/>
        <w:rPr>
          <w:rFonts w:ascii="Arial" w:hAnsi="Arial"/>
          <w:color w:val="000000"/>
          <w:sz w:val="20"/>
          <w:bdr w:val="single" w:sz="6" w:space="1" w:color="000000"/>
        </w:rPr>
      </w:pPr>
      <w:r>
        <w:rPr>
          <w:rFonts w:ascii="Arial" w:hAnsi="Arial"/>
          <w:color w:val="000000"/>
          <w:sz w:val="20"/>
          <w:bdr w:val="single" w:sz="6" w:space="1" w:color="000000"/>
        </w:rPr>
        <w:t xml:space="preserve">With our strategic focus to become a diabetes and obesity medicines company, we discontinued our studies exploring icovamenib’s potential in oncology and plan to explore partnerships to further advance our oncology asset (BMF-500, a covalent inhibitor of FLT3), while concentrating internal resources on metabolic disorders. </w:t>
      </w:r>
    </w:p>
    <w:p>
      <w:pPr>
        <w:pStyle w:val="TextBody"/>
        <w:bidi w:val="0"/>
        <w:spacing w:before="200" w:after="283"/>
        <w:jc w:val="left"/>
        <w:rPr>
          <w:rFonts w:ascii="Arial" w:hAnsi="Arial"/>
          <w:color w:val="000000"/>
          <w:sz w:val="20"/>
          <w:bdr w:val="single" w:sz="6" w:space="1" w:color="000000"/>
        </w:rPr>
      </w:pPr>
      <w:r>
        <w:rPr>
          <w:rFonts w:ascii="Arial" w:hAnsi="Arial"/>
          <w:color w:val="000000"/>
          <w:sz w:val="20"/>
          <w:bdr w:val="single" w:sz="6" w:space="1" w:color="000000"/>
        </w:rPr>
        <w:t xml:space="preserve">In October 2025, we reported 52-week results from our Phase II COVALENT-111 trial of icovamenib in type 2 diabetes and most recently in April 2026, we reported topline results from our type 1 diabetes trial (COVALENT-112) of icovamenib in type 1 diabetes. </w:t>
      </w:r>
    </w:p>
    <w:p>
      <w:pPr>
        <w:pStyle w:val="TextBody"/>
        <w:bidi w:val="0"/>
        <w:spacing w:before="200" w:after="283"/>
        <w:jc w:val="left"/>
        <w:rPr>
          <w:rFonts w:ascii="Arial" w:hAnsi="Arial"/>
          <w:color w:val="000000"/>
          <w:sz w:val="20"/>
          <w:bdr w:val="single" w:sz="6" w:space="1" w:color="000000"/>
        </w:rPr>
      </w:pPr>
      <w:r>
        <w:rPr>
          <w:rFonts w:ascii="Arial" w:hAnsi="Arial"/>
          <w:color w:val="000000"/>
          <w:sz w:val="20"/>
          <w:bdr w:val="single" w:sz="6" w:space="1" w:color="000000"/>
        </w:rPr>
        <w:t xml:space="preserve">In September 2025, we announced that BMF-650, our investigational, next-generation, oral small molecule glucagon-like peptide-1 receptor agonist (GLP-1 RA), received Investigational new drug (IND)-clearance from the U.S. Food and Drug Administration (FDA). Our Phase I GLP-131 trial for BMF-650 in obese, otherwise healthy volunteers is ongoing, with topline results expected in October 2026. With its unique pharmacokinetic profile, enhanced oral bioavailability and potential for rapid, one-step dose escalation, we believe BMF-650 has the potential to provide a best-in-class therapeutic option for obesity. </w:t>
      </w:r>
    </w:p>
    <w:p>
      <w:pPr>
        <w:pStyle w:val="TextBody"/>
        <w:bidi w:val="0"/>
        <w:spacing w:before="80" w:after="283"/>
        <w:jc w:val="left"/>
        <w:rPr>
          <w:rFonts w:ascii="Arial" w:hAnsi="Arial"/>
          <w:sz w:val="20"/>
          <w:bdr w:val="single" w:sz="6" w:space="1" w:color="000000"/>
        </w:rPr>
      </w:pPr>
      <w:r>
        <w:rPr>
          <w:rFonts w:ascii="Arial" w:hAnsi="Arial"/>
          <w:b/>
          <w:color w:val="000000"/>
          <w:sz w:val="20"/>
          <w:bdr w:val="single" w:sz="6" w:space="1" w:color="000000"/>
        </w:rPr>
        <w:t>Recent Developments</w:t>
      </w:r>
      <w:r>
        <w:rPr>
          <w:rFonts w:ascii="Arial" w:hAnsi="Arial"/>
          <w:color w:val="000000"/>
          <w:sz w:val="20"/>
          <w:bdr w:val="single" w:sz="6" w:space="1" w:color="000000"/>
        </w:rPr>
        <w:t xml:space="preserve"> </w:t>
      </w:r>
    </w:p>
    <w:p>
      <w:pPr>
        <w:pStyle w:val="TextBody"/>
        <w:bidi w:val="0"/>
        <w:spacing w:before="120" w:after="283"/>
        <w:jc w:val="left"/>
        <w:rPr>
          <w:rFonts w:ascii="Arial" w:hAnsi="Arial"/>
          <w:sz w:val="20"/>
          <w:bdr w:val="single" w:sz="6" w:space="1" w:color="000000"/>
        </w:rPr>
      </w:pPr>
      <w:r>
        <w:rPr>
          <w:rFonts w:ascii="Arial" w:hAnsi="Arial"/>
          <w:i/>
          <w:color w:val="000000"/>
          <w:sz w:val="20"/>
          <w:bdr w:val="single" w:sz="6" w:space="1" w:color="000000"/>
        </w:rPr>
        <w:t>OPAL Study</w:t>
      </w:r>
      <w:r>
        <w:rPr>
          <w:rFonts w:ascii="Arial" w:hAnsi="Arial"/>
          <w:color w:val="000000"/>
          <w:sz w:val="20"/>
          <w:bdr w:val="single" w:sz="6" w:space="1" w:color="000000"/>
        </w:rPr>
        <w:t xml:space="preserve"> </w:t>
      </w:r>
    </w:p>
    <w:p>
      <w:pPr>
        <w:pStyle w:val="TextBody"/>
        <w:bidi w:val="0"/>
        <w:spacing w:before="200" w:after="283"/>
        <w:jc w:val="left"/>
        <w:rPr>
          <w:rFonts w:ascii="Arial" w:hAnsi="Arial"/>
          <w:color w:val="000000"/>
          <w:sz w:val="20"/>
          <w:bdr w:val="single" w:sz="6" w:space="1" w:color="000000"/>
        </w:rPr>
      </w:pPr>
      <w:r>
        <w:rPr>
          <w:rFonts w:ascii="Arial" w:hAnsi="Arial"/>
          <w:color w:val="000000"/>
          <w:sz w:val="20"/>
          <w:bdr w:val="single" w:sz="6" w:space="1" w:color="000000"/>
        </w:rPr>
        <w:t xml:space="preserve">In August 2026, we announced the first participant was dosed in a newly activated experimental arm of the ongoing platform research study, Investigating and Optimizing Physical Function with Weight Loss: A Multi-Arm Open Label Adaptive Platform Trial (OPAL), being conducted in collaboration with the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S-1</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00" w:after="283"/>
        <w:ind w:left="0" w:right="0" w:hanging="0"/>
        <w:jc w:val="left"/>
        <w:rPr>
          <w:rFonts w:ascii="Arial" w:hAnsi="Arial"/>
          <w:color w:val="000000"/>
          <w:sz w:val="20"/>
          <w:bdr w:val="single" w:sz="6" w:space="1" w:color="000000"/>
        </w:rPr>
      </w:pPr>
      <w:r>
        <w:rPr>
          <w:rFonts w:ascii="Arial" w:hAnsi="Arial"/>
          <w:color w:val="000000"/>
          <w:sz w:val="20"/>
          <w:bdr w:val="single" w:sz="6" w:space="1" w:color="000000"/>
        </w:rPr>
        <w:t>University of Leicester. The randomized, double-blind study arm is designed to enroll 64 participants and evaluate icovamenib (100 mg once daily for 12 weeks) in combination with low-dose semaglutide compared with low-dose semaglutide alone in individuals without type 2 diabetes who are overweight with one or more weight-related complications or obese. The study will evaluate weight loss, physical function, body composition, muscle health and metabolic outcomes, with the primary endpoint assessment at Week 24.</w:t>
      </w:r>
    </w:p>
    <w:p>
      <w:pPr>
        <w:pStyle w:val="TextBody"/>
        <w:bidi w:val="0"/>
        <w:spacing w:before="120" w:after="283"/>
        <w:jc w:val="left"/>
        <w:rPr>
          <w:rFonts w:ascii="Arial" w:hAnsi="Arial"/>
          <w:i/>
          <w:color w:val="000000"/>
          <w:sz w:val="20"/>
          <w:bdr w:val="single" w:sz="6" w:space="1" w:color="000000"/>
        </w:rPr>
      </w:pPr>
      <w:r>
        <w:rPr>
          <w:rFonts w:ascii="Arial" w:hAnsi="Arial"/>
          <w:i/>
          <w:color w:val="000000"/>
          <w:sz w:val="20"/>
          <w:bdr w:val="single" w:sz="6" w:space="1" w:color="000000"/>
        </w:rPr>
        <w:t>COVALENT-211</w:t>
      </w:r>
    </w:p>
    <w:p>
      <w:pPr>
        <w:pStyle w:val="TextBody"/>
        <w:bidi w:val="0"/>
        <w:spacing w:before="200" w:after="283"/>
        <w:jc w:val="left"/>
        <w:rPr>
          <w:rFonts w:ascii="Arial" w:hAnsi="Arial"/>
          <w:color w:val="000000"/>
          <w:sz w:val="20"/>
          <w:bdr w:val="single" w:sz="6" w:space="1" w:color="000000"/>
        </w:rPr>
      </w:pPr>
      <w:r>
        <w:rPr>
          <w:rFonts w:ascii="Arial" w:hAnsi="Arial"/>
          <w:color w:val="000000"/>
          <w:sz w:val="20"/>
          <w:bdr w:val="single" w:sz="6" w:space="1" w:color="000000"/>
        </w:rPr>
        <w:t>In August 2026, we announced the completion of enrollment in COVALENT-211 Phase II trial of icovamenib in insulin deficient type 2 diabetes. The randomized, double-blind trial enrolled 64 participants across 18 clinical sites and will evaluate icovamenib (100 mg once daily for 12 weeks), followed by a 40-week off-treatment period designed to assess the durability of glycemic control and beta-cell function beyond the dosing period, with the primary endpoint assessment at Week 26, with additional follow-up through Week 52.</w:t>
      </w:r>
    </w:p>
    <w:p>
      <w:pPr>
        <w:pStyle w:val="TextBody"/>
        <w:bidi w:val="0"/>
        <w:spacing w:before="200" w:after="283"/>
        <w:jc w:val="left"/>
        <w:rPr>
          <w:rFonts w:ascii="Arial" w:hAnsi="Arial"/>
          <w:sz w:val="20"/>
          <w:bdr w:val="single" w:sz="6" w:space="1" w:color="000000"/>
        </w:rPr>
      </w:pPr>
      <w:r>
        <w:rPr>
          <w:rFonts w:ascii="Arial" w:hAnsi="Arial"/>
          <w:b/>
          <w:color w:val="000000"/>
          <w:sz w:val="20"/>
          <w:bdr w:val="single" w:sz="6" w:space="1" w:color="000000"/>
        </w:rPr>
        <w:t>Company Information</w:t>
      </w:r>
      <w:r>
        <w:rPr>
          <w:rFonts w:ascii="Arial" w:hAnsi="Arial"/>
          <w:color w:val="000000"/>
          <w:sz w:val="20"/>
          <w:bdr w:val="single" w:sz="6" w:space="1" w:color="000000"/>
        </w:rPr>
        <w:t xml:space="preserve"> </w:t>
      </w:r>
    </w:p>
    <w:p>
      <w:pPr>
        <w:pStyle w:val="TextBody"/>
        <w:bidi w:val="0"/>
        <w:spacing w:before="80" w:after="283"/>
        <w:jc w:val="left"/>
        <w:rPr>
          <w:rFonts w:ascii="Arial" w:hAnsi="Arial"/>
          <w:color w:val="000000"/>
          <w:sz w:val="20"/>
          <w:bdr w:val="single" w:sz="6" w:space="1" w:color="000000"/>
        </w:rPr>
      </w:pPr>
      <w:r>
        <w:rPr>
          <w:rFonts w:ascii="Arial" w:hAnsi="Arial"/>
          <w:color w:val="000000"/>
          <w:sz w:val="20"/>
          <w:bdr w:val="single" w:sz="6" w:space="1" w:color="000000"/>
        </w:rPr>
        <w:t xml:space="preserve">We were formed under the laws of the State of Delaware on August 9, 2017 under the name “Biomea Fusion, LLC.” On December 18, 2020, all outstanding membership interests in Biomea Fusion, LLC were converted to equity interests in Biomea Fusion, Inc. In April 2021, we completed the initial public offering of our common stock. </w:t>
      </w:r>
    </w:p>
    <w:p>
      <w:pPr>
        <w:pStyle w:val="TextBody"/>
        <w:bidi w:val="0"/>
        <w:spacing w:before="200" w:after="283"/>
        <w:jc w:val="left"/>
        <w:rPr>
          <w:rFonts w:ascii="Arial" w:hAnsi="Arial"/>
          <w:sz w:val="20"/>
          <w:bdr w:val="single" w:sz="6" w:space="1" w:color="000000"/>
        </w:rPr>
      </w:pPr>
      <w:r>
        <w:rPr>
          <w:rFonts w:ascii="Arial" w:hAnsi="Arial"/>
          <w:color w:val="000000"/>
          <w:sz w:val="20"/>
          <w:bdr w:val="single" w:sz="6" w:space="1" w:color="000000"/>
        </w:rPr>
        <w:t xml:space="preserve">Our principal executive offices are located at 1599 Industrial Road, San Carlos, CA 94070, and our telephone number is (650) 980-9099. Our corporate website address is </w:t>
      </w:r>
      <w:r>
        <w:rPr>
          <w:rFonts w:ascii="Arial" w:hAnsi="Arial"/>
          <w:color w:val="000000"/>
          <w:sz w:val="20"/>
          <w:u w:val="single"/>
          <w:bdr w:val="single" w:sz="6" w:space="1" w:color="000000"/>
        </w:rPr>
        <w:t>www.biomeafusion.com</w:t>
      </w:r>
      <w:r>
        <w:rPr>
          <w:rFonts w:ascii="Arial" w:hAnsi="Arial"/>
          <w:color w:val="000000"/>
          <w:sz w:val="20"/>
          <w:bdr w:val="single" w:sz="6" w:space="1" w:color="000000"/>
        </w:rPr>
        <w:t xml:space="preserve">. Our website and the information contained on, or that can be accessed through, the website will not be deemed to be incorporated by reference in, and are not considered part of, this prospectus supplement. You should not rely on any such information in making your decision whether to purchase our securities. </w:t>
      </w:r>
    </w:p>
    <w:p>
      <w:pPr>
        <w:pStyle w:val="TextBody"/>
        <w:bidi w:val="0"/>
        <w:spacing w:before="200" w:after="283"/>
        <w:jc w:val="left"/>
        <w:rPr>
          <w:rFonts w:ascii="Arial" w:hAnsi="Arial"/>
          <w:sz w:val="20"/>
          <w:bdr w:val="single" w:sz="6" w:space="1" w:color="000000"/>
        </w:rPr>
      </w:pPr>
      <w:r>
        <w:rPr>
          <w:rFonts w:ascii="Arial" w:hAnsi="Arial"/>
          <w:color w:val="000000"/>
          <w:sz w:val="20"/>
          <w:bdr w:val="single" w:sz="6" w:space="1" w:color="000000"/>
        </w:rPr>
        <w:t xml:space="preserve">Our Annual Report on Form 10-K, Quarterly Reports on Form 10-Q and Current Reports on Form 8-K and amendments to those reports filed or furnished pursuant to Section 13(a) or 15(d) of the Securities Exchange Act of 1934, as amended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Arial" w:hAnsi="Arial"/>
          <w:color w:val="000000"/>
          <w:sz w:val="20"/>
          <w:u w:val="single"/>
          <w:bdr w:val="single" w:sz="6" w:space="1" w:color="000000"/>
        </w:rPr>
        <w:t>www.sec.gov</w:t>
      </w:r>
      <w:r>
        <w:rPr>
          <w:rFonts w:ascii="Arial" w:hAnsi="Arial"/>
          <w:color w:val="000000"/>
          <w:sz w:val="20"/>
          <w:bdr w:val="single" w:sz="6" w:space="1" w:color="000000"/>
        </w:rPr>
        <w:t xml:space="preserve">. </w:t>
      </w:r>
    </w:p>
    <w:p>
      <w:pPr>
        <w:pStyle w:val="TextBody"/>
        <w:bidi w:val="0"/>
        <w:spacing w:before="200" w:after="283"/>
        <w:jc w:val="left"/>
        <w:rPr>
          <w:rFonts w:ascii="Arial" w:hAnsi="Arial"/>
          <w:color w:val="000000"/>
          <w:sz w:val="20"/>
          <w:bdr w:val="single" w:sz="6" w:space="1" w:color="000000"/>
        </w:rPr>
      </w:pPr>
      <w:r>
        <w:rPr>
          <w:rFonts w:ascii="Arial" w:hAnsi="Arial"/>
          <w:color w:val="000000"/>
          <w:sz w:val="20"/>
          <w:bdr w:val="single" w:sz="6" w:space="1" w:color="000000"/>
        </w:rPr>
        <w:t xml:space="preserve">For additional information about our Company, please refer to other documents we have filed with the SEC and that are incorporated by reference into this prospectus supplement, as listed under in the section titled “Incorporation of Certain Information by Reference.” </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jc w:val="left"/>
        <w:rPr>
          <w:bdr w:val="single" w:sz="6" w:space="1" w:color="000000"/>
        </w:rPr>
      </w:pPr>
      <w:r>
        <w:rPr>
          <w:bdr w:val="single" w:sz="6" w:space="1" w:color="000000"/>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S-2</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0"/>
        <w:ind w:left="0" w:right="0" w:hanging="0"/>
        <w:jc w:val="left"/>
        <w:rPr>
          <w:rFonts w:ascii="Arial" w:hAnsi="Arial"/>
          <w:sz w:val="20"/>
          <w:bdr w:val="single" w:sz="6" w:space="1" w:color="000000"/>
        </w:rPr>
      </w:pPr>
      <w:r>
        <w:rPr>
          <w:rFonts w:ascii="Arial" w:hAnsi="Arial"/>
          <w:b/>
          <w:color w:val="000000"/>
          <w:sz w:val="20"/>
          <w:bdr w:val="single" w:sz="6" w:space="1" w:color="000000"/>
        </w:rPr>
        <w:t>The Offering</w:t>
      </w:r>
      <w:r>
        <w:rPr>
          <w:rFonts w:ascii="Arial" w:hAnsi="Arial"/>
          <w:color w:val="000000"/>
          <w:sz w:val="20"/>
          <w:bdr w:val="single" w:sz="6" w:space="1" w:color="000000"/>
        </w:rPr>
        <w:t xml:space="preserve"> </w:t>
      </w:r>
    </w:p>
    <w:tbl>
      <w:tblPr>
        <w:tblW w:w="10205" w:type="dxa"/>
        <w:jc w:val="left"/>
        <w:tblInd w:w="0" w:type="dxa"/>
        <w:tblLayout w:type="fixed"/>
        <w:tblCellMar>
          <w:top w:w="28" w:type="dxa"/>
          <w:left w:w="28" w:type="dxa"/>
          <w:bottom w:w="28" w:type="dxa"/>
          <w:right w:w="28" w:type="dxa"/>
        </w:tblCellMar>
      </w:tblPr>
      <w:tblGrid>
        <w:gridCol w:w="1755"/>
        <w:gridCol w:w="8450"/>
      </w:tblGrid>
      <w:tr>
        <w:trPr/>
        <w:tc>
          <w:tcPr>
            <w:tcW w:w="1755" w:type="dxa"/>
            <w:tcBorders/>
            <w:vAlign w:val="center"/>
          </w:tcPr>
          <w:p>
            <w:pPr>
              <w:pStyle w:val="TableContents"/>
              <w:bidi w:val="0"/>
              <w:spacing w:before="0" w:after="283"/>
              <w:jc w:val="left"/>
              <w:rPr>
                <w:sz w:val="4"/>
                <w:szCs w:val="4"/>
              </w:rPr>
            </w:pPr>
            <w:r>
              <w:rPr>
                <w:sz w:val="4"/>
                <w:szCs w:val="4"/>
              </w:rPr>
            </w:r>
          </w:p>
        </w:tc>
        <w:tc>
          <w:tcPr>
            <w:tcW w:w="8450" w:type="dxa"/>
            <w:tcBorders/>
            <w:vAlign w:val="center"/>
          </w:tcPr>
          <w:p>
            <w:pPr>
              <w:pStyle w:val="TableContents"/>
              <w:bidi w:val="0"/>
              <w:spacing w:before="0" w:after="283"/>
              <w:jc w:val="left"/>
              <w:rPr>
                <w:sz w:val="4"/>
                <w:szCs w:val="4"/>
              </w:rPr>
            </w:pPr>
            <w:r>
              <w:rPr>
                <w:sz w:val="4"/>
                <w:szCs w:val="4"/>
              </w:rPr>
            </w:r>
          </w:p>
        </w:tc>
      </w:tr>
      <w:tr>
        <w:trPr/>
        <w:tc>
          <w:tcPr>
            <w:tcW w:w="1755" w:type="dxa"/>
            <w:tcBorders/>
            <w:tcMar>
              <w:top w:w="0" w:type="dxa"/>
              <w:left w:w="0" w:type="dxa"/>
              <w:bottom w:w="0" w:type="dxa"/>
              <w:right w:w="0" w:type="dxa"/>
            </w:tcMar>
            <w:vAlign w:val="center"/>
          </w:tcPr>
          <w:p>
            <w:pPr>
              <w:pStyle w:val="TableContents"/>
              <w:bidi w:val="0"/>
              <w:spacing w:before="0" w:after="20"/>
              <w:jc w:val="left"/>
              <w:rPr>
                <w:rFonts w:ascii="Arial" w:hAnsi="Arial"/>
                <w:sz w:val="20"/>
              </w:rPr>
            </w:pPr>
            <w:r>
              <w:rPr>
                <w:rFonts w:ascii="Arial" w:hAnsi="Arial"/>
                <w:b/>
                <w:color w:val="000000"/>
                <w:sz w:val="20"/>
              </w:rPr>
              <w:t>Common stock offered by us</w:t>
            </w:r>
            <w:r>
              <w:rPr>
                <w:rFonts w:ascii="Arial" w:hAnsi="Arial"/>
                <w:color w:val="000000"/>
                <w:sz w:val="20"/>
              </w:rPr>
              <w:t xml:space="preserve"> </w:t>
            </w:r>
          </w:p>
        </w:tc>
        <w:tc>
          <w:tcPr>
            <w:tcW w:w="8450" w:type="dxa"/>
            <w:tcBorders/>
            <w:tcMar>
              <w:top w:w="0" w:type="dxa"/>
              <w:left w:w="0" w:type="dxa"/>
              <w:bottom w:w="0" w:type="dxa"/>
              <w:right w:w="0" w:type="dxa"/>
            </w:tcMar>
            <w:vAlign w:val="center"/>
          </w:tcPr>
          <w:p>
            <w:pPr>
              <w:pStyle w:val="TableContents"/>
              <w:bidi w:val="0"/>
              <w:jc w:val="left"/>
              <w:rPr/>
            </w:pPr>
            <w:r>
              <w:rPr>
                <w:color w:val="000000"/>
              </w:rPr>
              <w:t>             </w:t>
            </w:r>
            <w:r>
              <w:rPr>
                <w:rFonts w:ascii="Arial" w:hAnsi="Arial"/>
                <w:color w:val="000000"/>
                <w:sz w:val="20"/>
              </w:rPr>
              <w:t xml:space="preserve">shares of common stock (or shares if the underwriter exercises their option to purchase additional shares in full), excluding shares of common stock issuable upon exercise of the underwriter warrants. </w:t>
            </w:r>
          </w:p>
          <w:p>
            <w:pPr>
              <w:pStyle w:val="TableContents"/>
              <w:bidi w:val="0"/>
              <w:spacing w:before="0" w:after="283"/>
              <w:jc w:val="left"/>
              <w:rPr/>
            </w:pPr>
            <w:r>
              <w:rPr/>
              <w:t> </w:t>
            </w:r>
          </w:p>
        </w:tc>
      </w:tr>
    </w:tbl>
    <w:p>
      <w:pPr>
        <w:pStyle w:val="TextBody"/>
        <w:bidi w:val="0"/>
        <w:spacing w:before="0" w:after="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1407"/>
        <w:gridCol w:w="8798"/>
      </w:tblGrid>
      <w:tr>
        <w:trPr/>
        <w:tc>
          <w:tcPr>
            <w:tcW w:w="1407" w:type="dxa"/>
            <w:tcBorders/>
            <w:vAlign w:val="center"/>
          </w:tcPr>
          <w:p>
            <w:pPr>
              <w:pStyle w:val="TableContents"/>
              <w:bidi w:val="0"/>
              <w:spacing w:before="0" w:after="283"/>
              <w:jc w:val="left"/>
              <w:rPr>
                <w:sz w:val="4"/>
                <w:szCs w:val="4"/>
              </w:rPr>
            </w:pPr>
            <w:r>
              <w:rPr>
                <w:sz w:val="4"/>
                <w:szCs w:val="4"/>
              </w:rPr>
            </w:r>
          </w:p>
        </w:tc>
        <w:tc>
          <w:tcPr>
            <w:tcW w:w="8798" w:type="dxa"/>
            <w:tcBorders/>
            <w:vAlign w:val="center"/>
          </w:tcPr>
          <w:p>
            <w:pPr>
              <w:pStyle w:val="TableContents"/>
              <w:bidi w:val="0"/>
              <w:spacing w:before="0" w:after="283"/>
              <w:jc w:val="left"/>
              <w:rPr>
                <w:sz w:val="4"/>
                <w:szCs w:val="4"/>
              </w:rPr>
            </w:pPr>
            <w:r>
              <w:rPr>
                <w:sz w:val="4"/>
                <w:szCs w:val="4"/>
              </w:rPr>
            </w:r>
          </w:p>
        </w:tc>
      </w:tr>
      <w:tr>
        <w:trPr/>
        <w:tc>
          <w:tcPr>
            <w:tcW w:w="1407" w:type="dxa"/>
            <w:tcBorders/>
            <w:tcMar>
              <w:top w:w="0" w:type="dxa"/>
              <w:left w:w="0" w:type="dxa"/>
              <w:bottom w:w="0" w:type="dxa"/>
              <w:right w:w="0" w:type="dxa"/>
            </w:tcMar>
            <w:vAlign w:val="center"/>
          </w:tcPr>
          <w:p>
            <w:pPr>
              <w:pStyle w:val="TableContents"/>
              <w:bidi w:val="0"/>
              <w:spacing w:before="0" w:after="20"/>
              <w:jc w:val="left"/>
              <w:rPr>
                <w:rFonts w:ascii="Arial" w:hAnsi="Arial"/>
                <w:sz w:val="20"/>
              </w:rPr>
            </w:pPr>
            <w:r>
              <w:rPr>
                <w:rFonts w:ascii="Arial" w:hAnsi="Arial"/>
                <w:b/>
                <w:color w:val="000000"/>
                <w:sz w:val="20"/>
              </w:rPr>
              <w:t>Pre-funded warrants offered by us</w:t>
            </w:r>
            <w:r>
              <w:rPr>
                <w:rFonts w:ascii="Arial" w:hAnsi="Arial"/>
                <w:color w:val="000000"/>
                <w:sz w:val="20"/>
              </w:rPr>
              <w:t xml:space="preserve"> </w:t>
            </w:r>
          </w:p>
        </w:tc>
        <w:tc>
          <w:tcPr>
            <w:tcW w:w="879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 are also offering, in lieu of common stock to certain investors, pre-funded warrants to purchase shares of common stock. Each pre-funded warrant is being offered and sold at an offering price of $ . The purchase price of each pre-funded warrant equals the price per share at which the shares of common stock are being sold to the public in this offering, minus $0.0001, and the exercise price of each pre-funded warrant will be $0.0001 per share. Each pre-funded warrant will be exercisable at any time after the date of issuance, subject to an ownership limitation. See Description of Warrants. This prospectus supplement also relates to the offering of the shares of common stock issuable upon exercise of such pre-funded warrants.</w:t>
            </w:r>
          </w:p>
        </w:tc>
      </w:tr>
    </w:tbl>
    <w:tbl>
      <w:tblPr>
        <w:tblW w:w="10205" w:type="dxa"/>
        <w:jc w:val="left"/>
        <w:tblInd w:w="0" w:type="dxa"/>
        <w:tblLayout w:type="fixed"/>
        <w:tblCellMar>
          <w:top w:w="28" w:type="dxa"/>
          <w:left w:w="28" w:type="dxa"/>
          <w:bottom w:w="28" w:type="dxa"/>
          <w:right w:w="28" w:type="dxa"/>
        </w:tblCellMar>
      </w:tblPr>
      <w:tblGrid>
        <w:gridCol w:w="1349"/>
        <w:gridCol w:w="8856"/>
      </w:tblGrid>
      <w:tr>
        <w:trPr/>
        <w:tc>
          <w:tcPr>
            <w:tcW w:w="1349" w:type="dxa"/>
            <w:tcBorders/>
            <w:vAlign w:val="center"/>
          </w:tcPr>
          <w:p>
            <w:pPr>
              <w:pStyle w:val="TableContents"/>
              <w:bidi w:val="0"/>
              <w:spacing w:before="0" w:after="283"/>
              <w:jc w:val="left"/>
              <w:rPr>
                <w:sz w:val="4"/>
                <w:szCs w:val="4"/>
              </w:rPr>
            </w:pPr>
            <w:r>
              <w:rPr>
                <w:sz w:val="4"/>
                <w:szCs w:val="4"/>
              </w:rPr>
            </w:r>
          </w:p>
        </w:tc>
        <w:tc>
          <w:tcPr>
            <w:tcW w:w="8856" w:type="dxa"/>
            <w:tcBorders/>
            <w:vAlign w:val="center"/>
          </w:tcPr>
          <w:p>
            <w:pPr>
              <w:pStyle w:val="TableContents"/>
              <w:bidi w:val="0"/>
              <w:spacing w:before="0" w:after="283"/>
              <w:jc w:val="left"/>
              <w:rPr>
                <w:sz w:val="4"/>
                <w:szCs w:val="4"/>
              </w:rPr>
            </w:pPr>
            <w:r>
              <w:rPr>
                <w:sz w:val="4"/>
                <w:szCs w:val="4"/>
              </w:rPr>
            </w:r>
          </w:p>
        </w:tc>
      </w:tr>
      <w:tr>
        <w:trPr/>
        <w:tc>
          <w:tcPr>
            <w:tcW w:w="134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Underwriter warrants</w:t>
            </w:r>
          </w:p>
        </w:tc>
        <w:tc>
          <w:tcPr>
            <w:tcW w:w="885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 xml:space="preserve">The registration statement of which this prospectus is a part of registers the underwriter warrants to purchase shares of our common stock to be issued to the underwriter in the offering as a portion of the compensation payable to the underwriter in connection with this offering. The underwriter warrants will be exercisable from issuance at the exercise price of $ (250% of the public offering price per share of our common stock) and expire one (1) year after the commencement of sales in this offering. </w:t>
            </w:r>
          </w:p>
          <w:p>
            <w:pPr>
              <w:pStyle w:val="TableContents"/>
              <w:bidi w:val="0"/>
              <w:jc w:val="left"/>
              <w:rPr/>
            </w:pPr>
            <w:r>
              <w:rPr/>
              <w:t> </w:t>
            </w:r>
          </w:p>
          <w:p>
            <w:pPr>
              <w:pStyle w:val="TableContents"/>
              <w:bidi w:val="0"/>
              <w:spacing w:before="0" w:after="283"/>
              <w:jc w:val="left"/>
              <w:rPr>
                <w:rFonts w:ascii="Arial" w:hAnsi="Arial"/>
                <w:color w:val="000000"/>
                <w:sz w:val="20"/>
              </w:rPr>
            </w:pPr>
            <w:r>
              <w:rPr>
                <w:rFonts w:ascii="Arial" w:hAnsi="Arial"/>
                <w:color w:val="000000"/>
                <w:sz w:val="20"/>
              </w:rPr>
              <w:t>See “Underwriting” on page S-23 of this prospectus supplement.</w:t>
            </w:r>
          </w:p>
        </w:tc>
      </w:tr>
    </w:tbl>
    <w:p>
      <w:pPr>
        <w:pStyle w:val="TextBody"/>
        <w:bidi w:val="0"/>
        <w:spacing w:before="0" w:after="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2440"/>
        <w:gridCol w:w="7765"/>
      </w:tblGrid>
      <w:tr>
        <w:trPr/>
        <w:tc>
          <w:tcPr>
            <w:tcW w:w="2440" w:type="dxa"/>
            <w:tcBorders/>
            <w:vAlign w:val="center"/>
          </w:tcPr>
          <w:p>
            <w:pPr>
              <w:pStyle w:val="TableContents"/>
              <w:bidi w:val="0"/>
              <w:spacing w:before="0" w:after="283"/>
              <w:jc w:val="left"/>
              <w:rPr>
                <w:sz w:val="4"/>
                <w:szCs w:val="4"/>
              </w:rPr>
            </w:pPr>
            <w:r>
              <w:rPr>
                <w:sz w:val="4"/>
                <w:szCs w:val="4"/>
              </w:rPr>
            </w:r>
          </w:p>
        </w:tc>
        <w:tc>
          <w:tcPr>
            <w:tcW w:w="7765" w:type="dxa"/>
            <w:tcBorders/>
            <w:vAlign w:val="center"/>
          </w:tcPr>
          <w:p>
            <w:pPr>
              <w:pStyle w:val="TableContents"/>
              <w:bidi w:val="0"/>
              <w:spacing w:before="0" w:after="283"/>
              <w:jc w:val="left"/>
              <w:rPr>
                <w:sz w:val="4"/>
                <w:szCs w:val="4"/>
              </w:rPr>
            </w:pPr>
            <w:r>
              <w:rPr>
                <w:sz w:val="4"/>
                <w:szCs w:val="4"/>
              </w:rPr>
            </w:r>
          </w:p>
        </w:tc>
      </w:tr>
      <w:tr>
        <w:trPr/>
        <w:tc>
          <w:tcPr>
            <w:tcW w:w="2440" w:type="dxa"/>
            <w:tcBorders/>
            <w:tcMar>
              <w:top w:w="0" w:type="dxa"/>
              <w:left w:w="0" w:type="dxa"/>
              <w:bottom w:w="0" w:type="dxa"/>
              <w:right w:w="0" w:type="dxa"/>
            </w:tcMar>
            <w:vAlign w:val="center"/>
          </w:tcPr>
          <w:p>
            <w:pPr>
              <w:pStyle w:val="TableContents"/>
              <w:bidi w:val="0"/>
              <w:spacing w:before="0" w:after="20"/>
              <w:jc w:val="left"/>
              <w:rPr>
                <w:rFonts w:ascii="Arial" w:hAnsi="Arial"/>
                <w:sz w:val="20"/>
              </w:rPr>
            </w:pPr>
            <w:r>
              <w:rPr>
                <w:rFonts w:ascii="Arial" w:hAnsi="Arial"/>
                <w:b/>
                <w:color w:val="000000"/>
                <w:sz w:val="20"/>
              </w:rPr>
              <w:t>Option to purchase additional shares</w:t>
            </w:r>
            <w:r>
              <w:rPr>
                <w:rFonts w:ascii="Arial" w:hAnsi="Arial"/>
                <w:color w:val="000000"/>
                <w:sz w:val="20"/>
              </w:rPr>
              <w:t xml:space="preserve"> </w:t>
            </w:r>
          </w:p>
        </w:tc>
        <w:tc>
          <w:tcPr>
            <w:tcW w:w="7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 have granted the underwriter the option for a period of 30 days to purchase an additional shares of our common stock, which it may exercise, in whole or in part. The number of shares subject to the underwriter’s option equals 15% of the total number of shares of common stock and pre-funded warrants we are offering.</w:t>
            </w:r>
          </w:p>
        </w:tc>
      </w:tr>
      <w:tr>
        <w:trPr/>
        <w:tc>
          <w:tcPr>
            <w:tcW w:w="2440" w:type="dxa"/>
            <w:tcBorders/>
            <w:tcMar>
              <w:top w:w="0" w:type="dxa"/>
              <w:left w:w="0" w:type="dxa"/>
              <w:bottom w:w="0" w:type="dxa"/>
              <w:right w:w="0" w:type="dxa"/>
            </w:tcMar>
            <w:vAlign w:val="center"/>
          </w:tcPr>
          <w:p>
            <w:pPr>
              <w:pStyle w:val="TableContents"/>
              <w:bidi w:val="0"/>
              <w:spacing w:before="0" w:after="20"/>
              <w:jc w:val="left"/>
              <w:rPr/>
            </w:pPr>
            <w:r>
              <w:rPr/>
              <w:t> </w:t>
            </w:r>
          </w:p>
        </w:tc>
        <w:tc>
          <w:tcPr>
            <w:tcW w:w="77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0" w:type="dxa"/>
            <w:tcBorders/>
            <w:tcMar>
              <w:top w:w="0" w:type="dxa"/>
              <w:left w:w="0" w:type="dxa"/>
              <w:bottom w:w="0" w:type="dxa"/>
              <w:right w:w="0" w:type="dxa"/>
            </w:tcMar>
            <w:vAlign w:val="center"/>
          </w:tcPr>
          <w:p>
            <w:pPr>
              <w:pStyle w:val="TableContents"/>
              <w:bidi w:val="0"/>
              <w:spacing w:before="0" w:after="20"/>
              <w:jc w:val="left"/>
              <w:rPr>
                <w:rFonts w:ascii="Arial" w:hAnsi="Arial"/>
                <w:sz w:val="20"/>
              </w:rPr>
            </w:pPr>
            <w:r>
              <w:rPr>
                <w:rFonts w:ascii="Arial" w:hAnsi="Arial"/>
                <w:b/>
                <w:color w:val="000000"/>
                <w:sz w:val="20"/>
              </w:rPr>
              <w:t>Common stock to be outstanding immediately after this offering</w:t>
            </w:r>
            <w:r>
              <w:rPr>
                <w:rFonts w:ascii="Arial" w:hAnsi="Arial"/>
                <w:color w:val="000000"/>
                <w:sz w:val="20"/>
              </w:rPr>
              <w:t xml:space="preserve"> </w:t>
            </w:r>
          </w:p>
        </w:tc>
        <w:tc>
          <w:tcPr>
            <w:tcW w:w="7765"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 xml:space="preserve">shares (or shares, if the underwriter exercises in full their option to purchase additional shares) assuming no exercise of any warrants included in this offering. </w:t>
            </w:r>
          </w:p>
        </w:tc>
      </w:tr>
    </w:tbl>
    <w:p>
      <w:pPr>
        <w:pStyle w:val="TextBody"/>
        <w:bidi w:val="0"/>
        <w:spacing w:before="0" w:after="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1104"/>
        <w:gridCol w:w="9101"/>
      </w:tblGrid>
      <w:tr>
        <w:trPr/>
        <w:tc>
          <w:tcPr>
            <w:tcW w:w="1104" w:type="dxa"/>
            <w:tcBorders/>
            <w:vAlign w:val="center"/>
          </w:tcPr>
          <w:p>
            <w:pPr>
              <w:pStyle w:val="TableContents"/>
              <w:bidi w:val="0"/>
              <w:spacing w:before="0" w:after="283"/>
              <w:jc w:val="left"/>
              <w:rPr>
                <w:sz w:val="4"/>
                <w:szCs w:val="4"/>
              </w:rPr>
            </w:pPr>
            <w:r>
              <w:rPr>
                <w:sz w:val="4"/>
                <w:szCs w:val="4"/>
              </w:rPr>
            </w:r>
          </w:p>
        </w:tc>
        <w:tc>
          <w:tcPr>
            <w:tcW w:w="9101" w:type="dxa"/>
            <w:tcBorders/>
            <w:vAlign w:val="center"/>
          </w:tcPr>
          <w:p>
            <w:pPr>
              <w:pStyle w:val="TableContents"/>
              <w:bidi w:val="0"/>
              <w:spacing w:before="0" w:after="283"/>
              <w:jc w:val="left"/>
              <w:rPr>
                <w:sz w:val="4"/>
                <w:szCs w:val="4"/>
              </w:rPr>
            </w:pPr>
            <w:r>
              <w:rPr>
                <w:sz w:val="4"/>
                <w:szCs w:val="4"/>
              </w:rPr>
            </w:r>
          </w:p>
        </w:tc>
      </w:tr>
      <w:tr>
        <w:trPr/>
        <w:tc>
          <w:tcPr>
            <w:tcW w:w="1104" w:type="dxa"/>
            <w:tcBorders/>
            <w:tcMar>
              <w:top w:w="0" w:type="dxa"/>
              <w:left w:w="0" w:type="dxa"/>
              <w:bottom w:w="0" w:type="dxa"/>
              <w:right w:w="0" w:type="dxa"/>
            </w:tcMar>
            <w:vAlign w:val="center"/>
          </w:tcPr>
          <w:p>
            <w:pPr>
              <w:pStyle w:val="TableContents"/>
              <w:bidi w:val="0"/>
              <w:spacing w:before="0" w:after="20"/>
              <w:jc w:val="left"/>
              <w:rPr>
                <w:rFonts w:ascii="Arial" w:hAnsi="Arial"/>
                <w:sz w:val="20"/>
              </w:rPr>
            </w:pPr>
            <w:r>
              <w:rPr>
                <w:rFonts w:ascii="Arial" w:hAnsi="Arial"/>
                <w:b/>
                <w:color w:val="000000"/>
                <w:sz w:val="20"/>
              </w:rPr>
              <w:t>Use of proceeds</w:t>
            </w:r>
            <w:r>
              <w:rPr>
                <w:rFonts w:ascii="Arial" w:hAnsi="Arial"/>
                <w:color w:val="000000"/>
                <w:sz w:val="20"/>
              </w:rPr>
              <w:t xml:space="preserve"> </w:t>
            </w:r>
          </w:p>
        </w:tc>
        <w:tc>
          <w:tcPr>
            <w:tcW w:w="910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 xml:space="preserve">We estimate that the net proceeds to us from this offering will be approximately $ million (or approximately $ million if the underwriter exercises their option to purchase additional shares in full), after deducting the underwriting discounts and commissions and estimated offering expenses payable by us. </w:t>
            </w:r>
          </w:p>
          <w:p>
            <w:pPr>
              <w:pStyle w:val="TableContents"/>
              <w:bidi w:val="0"/>
              <w:jc w:val="left"/>
              <w:rPr/>
            </w:pPr>
            <w:r>
              <w:rPr/>
              <w:t> </w:t>
            </w:r>
          </w:p>
          <w:p>
            <w:pPr>
              <w:pStyle w:val="TableContents"/>
              <w:bidi w:val="0"/>
              <w:jc w:val="left"/>
              <w:rPr>
                <w:rFonts w:ascii="Arial" w:hAnsi="Arial"/>
                <w:color w:val="000000"/>
                <w:sz w:val="20"/>
              </w:rPr>
            </w:pPr>
            <w:r>
              <w:rPr>
                <w:rFonts w:ascii="Arial" w:hAnsi="Arial"/>
                <w:color w:val="000000"/>
                <w:sz w:val="20"/>
              </w:rPr>
              <w:t>We currently intend to use the net proceeds from this offering, together with our existing cash, cash equivalents and restricted cash, to complete our Phase II development of icovamenib in type 2 and type 1 diabetes, engage with the FDA to start registrational studies in both diabetes indications, and continue the clinical development of our next-generation, oral small-molecule GLP-1 receptor agonist candidate, BMF-650, in obesity and diabetes, as well as for other general corporate purposes.</w:t>
            </w:r>
          </w:p>
          <w:p>
            <w:pPr>
              <w:pStyle w:val="TableContents"/>
              <w:bidi w:val="0"/>
              <w:jc w:val="left"/>
              <w:rPr/>
            </w:pPr>
            <w:r>
              <w:rPr/>
              <w:t> </w:t>
            </w:r>
          </w:p>
          <w:p>
            <w:pPr>
              <w:pStyle w:val="TableContents"/>
              <w:bidi w:val="0"/>
              <w:spacing w:before="0" w:after="283"/>
              <w:jc w:val="left"/>
              <w:rPr>
                <w:rFonts w:ascii="Arial" w:hAnsi="Arial"/>
                <w:color w:val="000000"/>
                <w:sz w:val="20"/>
              </w:rPr>
            </w:pPr>
            <w:r>
              <w:rPr>
                <w:rFonts w:ascii="Arial" w:hAnsi="Arial"/>
                <w:color w:val="000000"/>
                <w:sz w:val="20"/>
              </w:rPr>
              <w:t>See “Use of Proceeds” on page S-12 of this prospectus supplement.</w:t>
            </w:r>
          </w:p>
        </w:tc>
      </w:tr>
    </w:tbl>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S-3</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883"/>
        <w:gridCol w:w="9322"/>
      </w:tblGrid>
      <w:tr>
        <w:trPr/>
        <w:tc>
          <w:tcPr>
            <w:tcW w:w="883" w:type="dxa"/>
            <w:tcBorders/>
            <w:vAlign w:val="center"/>
          </w:tcPr>
          <w:p>
            <w:pPr>
              <w:pStyle w:val="TableContents"/>
              <w:bidi w:val="0"/>
              <w:spacing w:before="0" w:after="283"/>
              <w:jc w:val="left"/>
              <w:rPr>
                <w:sz w:val="4"/>
                <w:szCs w:val="4"/>
              </w:rPr>
            </w:pPr>
            <w:r>
              <w:rPr>
                <w:sz w:val="4"/>
                <w:szCs w:val="4"/>
              </w:rPr>
            </w:r>
          </w:p>
        </w:tc>
        <w:tc>
          <w:tcPr>
            <w:tcW w:w="9322" w:type="dxa"/>
            <w:tcBorders/>
            <w:vAlign w:val="center"/>
          </w:tcPr>
          <w:p>
            <w:pPr>
              <w:pStyle w:val="TableContents"/>
              <w:bidi w:val="0"/>
              <w:spacing w:before="0" w:after="283"/>
              <w:jc w:val="left"/>
              <w:rPr>
                <w:sz w:val="4"/>
                <w:szCs w:val="4"/>
              </w:rPr>
            </w:pPr>
            <w:r>
              <w:rPr>
                <w:sz w:val="4"/>
                <w:szCs w:val="4"/>
              </w:rPr>
            </w:r>
          </w:p>
        </w:tc>
      </w:tr>
      <w:tr>
        <w:trPr/>
        <w:tc>
          <w:tcPr>
            <w:tcW w:w="883" w:type="dxa"/>
            <w:tcBorders/>
            <w:tcMar>
              <w:top w:w="0" w:type="dxa"/>
              <w:left w:w="0" w:type="dxa"/>
              <w:bottom w:w="0" w:type="dxa"/>
              <w:right w:w="0" w:type="dxa"/>
            </w:tcMar>
            <w:vAlign w:val="center"/>
          </w:tcPr>
          <w:p>
            <w:pPr>
              <w:pStyle w:val="TableContents"/>
              <w:bidi w:val="0"/>
              <w:spacing w:before="0" w:after="20"/>
              <w:jc w:val="left"/>
              <w:rPr>
                <w:rFonts w:ascii="Arial" w:hAnsi="Arial"/>
                <w:sz w:val="20"/>
              </w:rPr>
            </w:pPr>
            <w:r>
              <w:rPr>
                <w:rFonts w:ascii="Arial" w:hAnsi="Arial"/>
                <w:b/>
                <w:color w:val="000000"/>
                <w:sz w:val="20"/>
              </w:rPr>
              <w:t>Risk factors</w:t>
            </w:r>
            <w:r>
              <w:rPr>
                <w:rFonts w:ascii="Arial" w:hAnsi="Arial"/>
                <w:color w:val="000000"/>
                <w:sz w:val="20"/>
              </w:rPr>
              <w:t xml:space="preserve"> </w:t>
            </w:r>
          </w:p>
        </w:tc>
        <w:tc>
          <w:tcPr>
            <w:tcW w:w="932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Your investment involves a high degree of risk. See the information contained in “Risk Factors” beginning on page S-5 of this prospectus supplement, and in the related sections of the accompanying prospectus and in the documents incorporated by reference herein and therein for a discussion of factors to consider before deciding to purchase shares of our common stock. </w:t>
            </w:r>
          </w:p>
        </w:tc>
      </w:tr>
    </w:tbl>
    <w:tbl>
      <w:tblPr>
        <w:tblW w:w="10205" w:type="dxa"/>
        <w:jc w:val="left"/>
        <w:tblInd w:w="0" w:type="dxa"/>
        <w:tblLayout w:type="fixed"/>
        <w:tblCellMar>
          <w:top w:w="28" w:type="dxa"/>
          <w:left w:w="28" w:type="dxa"/>
          <w:bottom w:w="28" w:type="dxa"/>
          <w:right w:w="28" w:type="dxa"/>
        </w:tblCellMar>
      </w:tblPr>
      <w:tblGrid>
        <w:gridCol w:w="1793"/>
        <w:gridCol w:w="8412"/>
      </w:tblGrid>
      <w:tr>
        <w:trPr/>
        <w:tc>
          <w:tcPr>
            <w:tcW w:w="1793" w:type="dxa"/>
            <w:tcBorders/>
            <w:vAlign w:val="center"/>
          </w:tcPr>
          <w:p>
            <w:pPr>
              <w:pStyle w:val="TableContents"/>
              <w:bidi w:val="0"/>
              <w:spacing w:before="0" w:after="283"/>
              <w:jc w:val="left"/>
              <w:rPr>
                <w:sz w:val="4"/>
                <w:szCs w:val="4"/>
              </w:rPr>
            </w:pPr>
            <w:r>
              <w:rPr>
                <w:sz w:val="4"/>
                <w:szCs w:val="4"/>
              </w:rPr>
            </w:r>
          </w:p>
        </w:tc>
        <w:tc>
          <w:tcPr>
            <w:tcW w:w="8412" w:type="dxa"/>
            <w:tcBorders/>
            <w:vAlign w:val="center"/>
          </w:tcPr>
          <w:p>
            <w:pPr>
              <w:pStyle w:val="TableContents"/>
              <w:bidi w:val="0"/>
              <w:spacing w:before="0" w:after="283"/>
              <w:jc w:val="left"/>
              <w:rPr>
                <w:sz w:val="4"/>
                <w:szCs w:val="4"/>
              </w:rPr>
            </w:pPr>
            <w:r>
              <w:rPr>
                <w:sz w:val="4"/>
                <w:szCs w:val="4"/>
              </w:rPr>
            </w:r>
          </w:p>
        </w:tc>
      </w:tr>
      <w:tr>
        <w:trPr/>
        <w:tc>
          <w:tcPr>
            <w:tcW w:w="1793" w:type="dxa"/>
            <w:tcBorders/>
            <w:tcMar>
              <w:top w:w="0" w:type="dxa"/>
              <w:left w:w="0" w:type="dxa"/>
              <w:bottom w:w="0" w:type="dxa"/>
              <w:right w:w="0" w:type="dxa"/>
            </w:tcMar>
            <w:vAlign w:val="center"/>
          </w:tcPr>
          <w:p>
            <w:pPr>
              <w:pStyle w:val="TableContents"/>
              <w:bidi w:val="0"/>
              <w:spacing w:before="0" w:after="20"/>
              <w:jc w:val="left"/>
              <w:rPr>
                <w:rFonts w:ascii="Arial" w:hAnsi="Arial"/>
                <w:sz w:val="20"/>
              </w:rPr>
            </w:pPr>
            <w:r>
              <w:rPr>
                <w:rFonts w:ascii="Arial" w:hAnsi="Arial"/>
                <w:b/>
                <w:color w:val="000000"/>
                <w:sz w:val="20"/>
              </w:rPr>
              <w:t>Nasdaq Global Select Market symbol</w:t>
            </w:r>
            <w:r>
              <w:rPr>
                <w:rFonts w:ascii="Arial" w:hAnsi="Arial"/>
                <w:color w:val="000000"/>
                <w:sz w:val="20"/>
              </w:rPr>
              <w:t xml:space="preserve"> </w:t>
            </w:r>
          </w:p>
        </w:tc>
        <w:tc>
          <w:tcPr>
            <w:tcW w:w="8412" w:type="dxa"/>
            <w:tcBorders/>
            <w:tcMar>
              <w:top w:w="0" w:type="dxa"/>
              <w:left w:w="0" w:type="dxa"/>
              <w:bottom w:w="0" w:type="dxa"/>
              <w:right w:w="0" w:type="dxa"/>
            </w:tcMar>
            <w:vAlign w:val="center"/>
          </w:tcPr>
          <w:p>
            <w:pPr>
              <w:pStyle w:val="TableContents"/>
              <w:bidi w:val="0"/>
              <w:jc w:val="left"/>
              <w:rPr/>
            </w:pPr>
            <w:r>
              <w:rPr>
                <w:color w:val="000000"/>
              </w:rPr>
              <w:t>“</w:t>
            </w:r>
            <w:r>
              <w:rPr>
                <w:rFonts w:ascii="Arial" w:hAnsi="Arial"/>
                <w:color w:val="000000"/>
                <w:sz w:val="20"/>
              </w:rPr>
              <w:t xml:space="preserve">BMEA” </w:t>
            </w:r>
          </w:p>
          <w:p>
            <w:pPr>
              <w:pStyle w:val="TableContents"/>
              <w:bidi w:val="0"/>
              <w:jc w:val="left"/>
              <w:rPr/>
            </w:pPr>
            <w:r>
              <w:rPr/>
              <w:t> </w:t>
            </w:r>
          </w:p>
          <w:p>
            <w:pPr>
              <w:pStyle w:val="TableContents"/>
              <w:bidi w:val="0"/>
              <w:spacing w:before="0" w:after="283"/>
              <w:jc w:val="left"/>
              <w:rPr>
                <w:rFonts w:ascii="Arial" w:hAnsi="Arial"/>
                <w:color w:val="000000"/>
                <w:sz w:val="20"/>
              </w:rPr>
            </w:pPr>
            <w:r>
              <w:rPr>
                <w:rFonts w:ascii="Arial" w:hAnsi="Arial"/>
                <w:color w:val="000000"/>
                <w:sz w:val="20"/>
              </w:rPr>
              <w:t xml:space="preserve">There is no established public trading market for the pre-funded warrants and we do not expect a market to develop. In addition, we do not intend to apply for listing of the pre-funded warrants on any securities exchange or recognized trading system. </w:t>
            </w:r>
          </w:p>
        </w:tc>
      </w:tr>
    </w:tbl>
    <w:p>
      <w:pPr>
        <w:pStyle w:val="TextBody"/>
        <w:bidi w:val="0"/>
        <w:spacing w:before="200" w:after="283"/>
        <w:jc w:val="left"/>
        <w:rPr>
          <w:rFonts w:ascii="Arial" w:hAnsi="Arial"/>
          <w:color w:val="000000"/>
          <w:sz w:val="20"/>
          <w:bdr w:val="single" w:sz="6" w:space="1" w:color="000000"/>
        </w:rPr>
      </w:pPr>
      <w:r>
        <w:rPr>
          <w:rFonts w:ascii="Arial" w:hAnsi="Arial"/>
          <w:color w:val="000000"/>
          <w:sz w:val="20"/>
          <w:bdr w:val="single" w:sz="6" w:space="1" w:color="000000"/>
        </w:rPr>
        <w:t xml:space="preserve">The number of shares of our common stock that will be outstanding immediately after this offering as shown above is based on 72,483,852 shares outstanding as of June 30, 2026. The number of shares outstanding as of June 30, 2026 as used throughout this prospectus supplement, unless otherwise indicated, excludes: </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Arial" w:hAnsi="Arial"/>
          <w:color w:val="000000"/>
          <w:sz w:val="20"/>
          <w:bdr w:val="single" w:sz="6" w:space="1" w:color="000000"/>
        </w:rPr>
      </w:pPr>
      <w:r>
        <w:rPr>
          <w:rFonts w:ascii="Arial" w:hAnsi="Arial"/>
          <w:color w:val="000000"/>
          <w:sz w:val="20"/>
          <w:bdr w:val="single" w:sz="6" w:space="1" w:color="000000"/>
        </w:rPr>
        <w:t>13,184,249 shares of our common stock issuable upon the exercise of stock options issued and outstanding as of June 30, 2026 under our 2020 Equity Incentive Plan (the 2020 Plan), our 2021 Incentive Award Plan (the 2021 Plan), and our 2023 Inducement Equity Plan (the Inducement Plan) at a weighted-average exercise price of $3.10 per share</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Arial" w:hAnsi="Arial"/>
          <w:color w:val="000000"/>
          <w:sz w:val="20"/>
          <w:bdr w:val="single" w:sz="6" w:space="1" w:color="000000"/>
        </w:rPr>
      </w:pPr>
      <w:r>
        <w:rPr>
          <w:rFonts w:ascii="Arial" w:hAnsi="Arial"/>
          <w:color w:val="000000"/>
          <w:sz w:val="20"/>
          <w:bdr w:val="single" w:sz="6" w:space="1" w:color="000000"/>
        </w:rPr>
        <w:t>1,434,437 shares of our common stock reserved for future issuance as of June 30, 2026 under our 2021 Plan;</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Arial" w:hAnsi="Arial"/>
          <w:color w:val="000000"/>
          <w:sz w:val="20"/>
          <w:bdr w:val="single" w:sz="6" w:space="1" w:color="000000"/>
        </w:rPr>
      </w:pPr>
      <w:r>
        <w:rPr>
          <w:rFonts w:ascii="Arial" w:hAnsi="Arial"/>
          <w:color w:val="000000"/>
          <w:sz w:val="20"/>
          <w:bdr w:val="single" w:sz="6" w:space="1" w:color="000000"/>
        </w:rPr>
        <w:t>1,864,500 shares of our common stock reserved for future issuance as of June 30, 2026 under our Inducement Plan;</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Arial" w:hAnsi="Arial"/>
          <w:color w:val="000000"/>
          <w:sz w:val="20"/>
          <w:bdr w:val="single" w:sz="6" w:space="1" w:color="000000"/>
        </w:rPr>
      </w:pPr>
      <w:r>
        <w:rPr>
          <w:rFonts w:ascii="Arial" w:hAnsi="Arial"/>
          <w:color w:val="000000"/>
          <w:sz w:val="20"/>
          <w:bdr w:val="single" w:sz="6" w:space="1" w:color="000000"/>
        </w:rPr>
        <w:t>1,343,590 shares of our common stock reserved for issuance as of June 30, 2026 under our 2021 Employee Stock Purchase Plan;</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Arial" w:hAnsi="Arial"/>
          <w:color w:val="000000"/>
          <w:sz w:val="20"/>
          <w:bdr w:val="single" w:sz="6" w:space="1" w:color="000000"/>
        </w:rPr>
      </w:pPr>
      <w:r>
        <w:rPr>
          <w:rFonts w:ascii="Arial" w:hAnsi="Arial"/>
          <w:color w:val="000000"/>
          <w:sz w:val="20"/>
          <w:bdr w:val="single" w:sz="6" w:space="1" w:color="000000"/>
        </w:rPr>
        <w:t>37,024,389 shares of our common stock issuable upon the exercise of common stock warrants to purchase shares of common stock that we issued in connection with our June 2025 and October 2025 underwritten public offerings;</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Arial" w:hAnsi="Arial"/>
          <w:color w:val="000000"/>
          <w:sz w:val="20"/>
          <w:bdr w:val="single" w:sz="6" w:space="1" w:color="000000"/>
        </w:rPr>
      </w:pPr>
      <w:r>
        <w:rPr>
          <w:rFonts w:ascii="Arial" w:hAnsi="Arial"/>
          <w:color w:val="000000"/>
          <w:sz w:val="20"/>
          <w:bdr w:val="single" w:sz="6" w:space="1" w:color="000000"/>
        </w:rPr>
        <w:t>shares of our common stock underlying the underwriter warrants; and</w:t>
      </w:r>
    </w:p>
    <w:p>
      <w:pPr>
        <w:pStyle w:val="TextBody"/>
        <w:bidi w:val="0"/>
        <w:spacing w:before="0" w:after="0"/>
        <w:jc w:val="left"/>
        <w:rPr>
          <w:color w:val="000000"/>
          <w:bdr w:val="single" w:sz="6" w:space="1" w:color="000000"/>
        </w:rPr>
      </w:pPr>
      <w:r>
        <w:rPr>
          <w:color w:val="000000"/>
          <w:bdr w:val="single" w:sz="6" w:space="1" w:color="000000"/>
        </w:rPr>
        <w:t>▪</w:t>
      </w:r>
    </w:p>
    <w:p>
      <w:pPr>
        <w:pStyle w:val="TextBody"/>
        <w:bidi w:val="0"/>
        <w:spacing w:before="0" w:after="0"/>
        <w:jc w:val="left"/>
        <w:rPr>
          <w:rFonts w:ascii="Arial" w:hAnsi="Arial"/>
          <w:color w:val="000000"/>
          <w:sz w:val="20"/>
          <w:bdr w:val="single" w:sz="6" w:space="1" w:color="000000"/>
        </w:rPr>
      </w:pPr>
      <w:r>
        <w:rPr>
          <w:rFonts w:ascii="Arial" w:hAnsi="Arial"/>
          <w:color w:val="000000"/>
          <w:sz w:val="20"/>
          <w:bdr w:val="single" w:sz="6" w:space="1" w:color="000000"/>
        </w:rPr>
        <w:t>Up to $100.0 million of shares of our common stock that may be sold from time to time pursuant to our Equity Distribution Agreement with Piper Sandler &amp; Co. entered into on November 25, 2022, of which 2,271,122 shares have been sold to date and which has resulted in net proceeds of approximately $4.9 million to date.</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200" w:after="283"/>
              <w:jc w:val="left"/>
              <w:rPr>
                <w:rFonts w:ascii="Arial" w:hAnsi="Arial"/>
                <w:color w:val="000000"/>
                <w:sz w:val="20"/>
              </w:rPr>
            </w:pPr>
            <w:r>
              <w:rPr>
                <w:rFonts w:ascii="Arial" w:hAnsi="Arial"/>
                <w:color w:val="000000"/>
                <w:sz w:val="20"/>
              </w:rPr>
              <w:t xml:space="preserve">To the extent that any options are exercised, new options are issued or we otherwise issue additional shares of common stock or pre-funded warrants or warrants in the future at a price less than the public offering price, there may be further dilution to new investors purchasing common stock or pre-funded warrants in this offering. To the extent that pre-funded warrants purchased in this offering are exercised, investors purchasing our securities in this offering may experience dilution.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ableContents"/>
              <w:bidi w:val="0"/>
              <w:spacing w:before="200" w:after="283"/>
              <w:jc w:val="left"/>
              <w:rPr>
                <w:rFonts w:ascii="Arial" w:hAnsi="Arial"/>
                <w:color w:val="000000"/>
                <w:sz w:val="20"/>
              </w:rPr>
            </w:pPr>
            <w:r>
              <w:rPr>
                <w:rFonts w:ascii="Arial" w:hAnsi="Arial"/>
                <w:color w:val="000000"/>
                <w:sz w:val="20"/>
              </w:rPr>
              <w:t xml:space="preserve">Except as otherwise indicated, all information in this prospectus supplement assumes no exercise of the outstanding options referred to above, no exercise by the underwriter of their option to purchase additional shares of our common stock and no exercise of the pre-funded warrants we are offering in this offering. </w:t>
            </w:r>
          </w:p>
        </w:tc>
      </w:tr>
    </w:tbl>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S-4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6" w:name="supp77383_4"/>
      <w:bookmarkEnd w:id="6"/>
      <w:r>
        <w:rPr>
          <w:rFonts w:ascii="Arial" w:hAnsi="Arial"/>
          <w:b/>
          <w:color w:val="000000"/>
          <w:sz w:val="20"/>
        </w:rPr>
        <w:t>Risk Factors</w:t>
      </w:r>
      <w:r>
        <w:rPr>
          <w:rFonts w:ascii="Arial" w:hAnsi="Arial"/>
          <w:color w:val="000000"/>
          <w:sz w:val="20"/>
        </w:rPr>
        <w:t xml:space="preserve"> </w:t>
      </w:r>
    </w:p>
    <w:p>
      <w:pPr>
        <w:pStyle w:val="TextBody"/>
        <w:bidi w:val="0"/>
        <w:spacing w:before="200" w:after="283"/>
        <w:jc w:val="left"/>
        <w:rPr>
          <w:rFonts w:ascii="Arial" w:hAnsi="Arial"/>
          <w:sz w:val="20"/>
        </w:rPr>
      </w:pPr>
      <w:r>
        <w:rPr>
          <w:rFonts w:ascii="Arial" w:hAnsi="Arial"/>
          <w:i/>
          <w:color w:val="000000"/>
          <w:sz w:val="20"/>
        </w:rPr>
        <w:t>Your investment in our common stock involves a high degree of risk. Before deciding whether to invest in our common stock, you should carefully consider the risks discussed under the section captioned “Risk Factors” contained in our most recent Annual Report on Form 10-K and subsequent Quarterly Reports on Form 10-Q, which are incorporated by reference in this prospectus supplement and the accompanying prospectus in its entirety,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r>
        <w:rPr>
          <w:rFonts w:ascii="Arial" w:hAnsi="Arial"/>
          <w:color w:val="000000"/>
          <w:sz w:val="20"/>
        </w:rPr>
        <w:t xml:space="preserve"> </w:t>
      </w:r>
    </w:p>
    <w:p>
      <w:pPr>
        <w:pStyle w:val="TextBody"/>
        <w:bidi w:val="0"/>
        <w:spacing w:before="200" w:after="283"/>
        <w:jc w:val="left"/>
        <w:rPr>
          <w:rFonts w:ascii="Arial" w:hAnsi="Arial"/>
          <w:sz w:val="20"/>
        </w:rPr>
      </w:pPr>
      <w:r>
        <w:rPr>
          <w:rFonts w:ascii="Arial" w:hAnsi="Arial"/>
          <w:b/>
          <w:color w:val="000000"/>
          <w:sz w:val="20"/>
        </w:rPr>
        <w:t>Risks Related to This Offering</w:t>
      </w:r>
      <w:r>
        <w:rPr>
          <w:rFonts w:ascii="Arial" w:hAnsi="Arial"/>
          <w:color w:val="000000"/>
          <w:sz w:val="20"/>
        </w:rPr>
        <w:t xml:space="preserve"> </w:t>
      </w:r>
    </w:p>
    <w:p>
      <w:pPr>
        <w:pStyle w:val="TextBody"/>
        <w:bidi w:val="0"/>
        <w:spacing w:before="80" w:after="283"/>
        <w:jc w:val="left"/>
        <w:rPr>
          <w:rFonts w:ascii="Arial" w:hAnsi="Arial"/>
          <w:sz w:val="20"/>
        </w:rPr>
      </w:pPr>
      <w:r>
        <w:rPr>
          <w:rFonts w:ascii="Arial" w:hAnsi="Arial"/>
          <w:b/>
          <w:i/>
          <w:color w:val="000000"/>
          <w:sz w:val="20"/>
        </w:rPr>
        <w:t>If you purchase our securities in this offering, you will suffer immediate and substantial dilution in the book value of your investment.</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The offering price per share in this offering will exceed the net tangible book value per share of our common stock outstanding prior to this offering. After giving effect to (i) an aggregate of shares of our common stock sold at a price of $ per share and (ii) pre-funded warrants to purchase shares of our common stock sold at a public offering price of $ per pre-funded warrant, and after deducting commissions and estimated offering expenses payable by us, you will experience immediate dilution of $ per share, if you purchase securities in this offering, you will suffer immediate dilution of $ per share in the net tangible book value as of June 30, 2026 of the securities you purchase representing the difference between our as adjusted net tangible book value per share after giving effect to this offering and the public offering price per share of common stock. The exercise of outstanding stock options or other convertible securities will result in further dilution of your investment. See the section titled “Dilution” below for a more detailed illustration of the dilution you would incur if you participate in this offering. </w:t>
      </w:r>
    </w:p>
    <w:p>
      <w:pPr>
        <w:pStyle w:val="TextBody"/>
        <w:bidi w:val="0"/>
        <w:spacing w:before="200" w:after="283"/>
        <w:jc w:val="left"/>
        <w:rPr>
          <w:rFonts w:ascii="Arial" w:hAnsi="Arial"/>
          <w:sz w:val="20"/>
        </w:rPr>
      </w:pPr>
      <w:r>
        <w:rPr>
          <w:rFonts w:ascii="Arial" w:hAnsi="Arial"/>
          <w:b/>
          <w:i/>
          <w:color w:val="000000"/>
          <w:sz w:val="20"/>
        </w:rPr>
        <w:t>We have broad discretion in the use of our cash, cash equivalents and restricted cash, including the net proceeds we receive in this offering, and may not use them effectively.</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Our management has broad discretion to use our cash, cash equivalents and restricted cash, including the net proceeds we receive in this offering, to fund our operations and could spend these funds in ways that do not improve our results of operations or enhance the value of our common stock. Because of the number and variability of factors that will determine our use of these funds, their ultimate use may vary substantially from their currently intended use. The failure by our management to apply these funds effectively could result in financial losses that could have a material adverse effect on our business, cause the price of our common stock to decline and delay the development of our product candidates. Pending their use to fund our operations, we may invest our cash, cash equivalents and restricted cash, including the net proceeds from this offering, in a manner that does not produce income or that loses value. </w:t>
      </w:r>
    </w:p>
    <w:p>
      <w:pPr>
        <w:pStyle w:val="TextBody"/>
        <w:bidi w:val="0"/>
        <w:spacing w:before="200" w:after="283"/>
        <w:jc w:val="left"/>
        <w:rPr>
          <w:rFonts w:ascii="Arial" w:hAnsi="Arial"/>
          <w:sz w:val="20"/>
        </w:rPr>
      </w:pPr>
      <w:r>
        <w:rPr>
          <w:rFonts w:ascii="Arial" w:hAnsi="Arial"/>
          <w:b/>
          <w:i/>
          <w:color w:val="000000"/>
          <w:sz w:val="20"/>
        </w:rPr>
        <w:t>You may experience future dilution as a result of future equity offerings.</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for our common stock, in future transactions may be higher or lower than the price per share paid by investors in this offering. </w:t>
      </w:r>
    </w:p>
    <w:p>
      <w:pPr>
        <w:pStyle w:val="TextBody"/>
        <w:bidi w:val="0"/>
        <w:jc w:val="center"/>
        <w:rPr>
          <w:rFonts w:ascii="Times New Roman" w:hAnsi="Times New Roman"/>
          <w:color w:val="000000"/>
          <w:sz w:val="20"/>
        </w:rPr>
      </w:pPr>
      <w:r>
        <w:rPr>
          <w:rFonts w:ascii="Times New Roman" w:hAnsi="Times New Roman"/>
          <w:color w:val="000000"/>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rFonts w:ascii="Arial" w:hAnsi="Arial"/>
          <w:sz w:val="20"/>
        </w:rPr>
      </w:pPr>
      <w:r>
        <w:rPr>
          <w:rFonts w:ascii="Arial" w:hAnsi="Arial"/>
          <w:b/>
          <w:i/>
          <w:color w:val="000000"/>
          <w:sz w:val="20"/>
        </w:rPr>
        <w:t>Sales of a substantial number of shares of our common stock in the public market after this offering could cause our stock price to fall.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Sales of a substantial number of shares of our common stock in the public market or the perception that these sales might occur could depress the market price of our common stock and could impair our ability to raise capital through the sale of additional equity securities. In particular, if and when a new prospectus, prospectus supplement or a new registration statement is filed, we may sell additional shares of our common stock to raise capital, including pursuant to our Equity Distribution Agreement with Piper Sandler &amp; Co. entered into on November 25, 2022, under which we may sell up to $100,000,000 of our common stock, of which 2,271,122 shares have been sold to date and which has resulted in net proceeds of approximately $4.9 million to date. We are unable to predict the effect that any future sales may have on the prevailing market price of our common stock. In addition, the sale of substantial amounts of our common stock could adversely impact the price of our common stock. The sale, or the availability for sale, of a large number of shares of our common stock in the public market could cause the price of our common stock to decline. </w:t>
      </w:r>
    </w:p>
    <w:p>
      <w:pPr>
        <w:pStyle w:val="TextBody"/>
        <w:bidi w:val="0"/>
        <w:spacing w:before="200" w:after="283"/>
        <w:jc w:val="left"/>
        <w:rPr>
          <w:rFonts w:ascii="Arial" w:hAnsi="Arial"/>
          <w:color w:val="000000"/>
          <w:sz w:val="20"/>
        </w:rPr>
      </w:pPr>
      <w:r>
        <w:rPr>
          <w:rFonts w:ascii="Arial" w:hAnsi="Arial"/>
          <w:color w:val="000000"/>
          <w:sz w:val="20"/>
        </w:rPr>
        <w:t xml:space="preserve">In connection with this offering, for a period of 60 days following this offering, we and our directors and executive officers, have entered into lock-up agreements. We and our directors and executive officers, may be released from such lock-up agreements prior to the expiration of the applicable lock-up period with the prior written consent of Konik (see the section titled “Underwriting” beginning on page S-23 of this prospectus supplement). Upon expiration, we and our directors, executive officers and certain of our stockholders may sell shares into the market, which could adversely affect the market price of shares of our common stock. Future issuances of our common stock or our other equity securities could further depress the market for our common stock. We expect to continue to incur preclinical and clinical development and selling, general and administrative costs, and may need to sell additional equity securities to satisfy our funding requirements. The sale or the proposed sale of substantial amounts of our common stock or our other equity securities may adversely affect the market price of our common stock and our stock price may decline substantially. </w:t>
      </w:r>
    </w:p>
    <w:p>
      <w:pPr>
        <w:pStyle w:val="TextBody"/>
        <w:bidi w:val="0"/>
        <w:spacing w:before="200" w:after="283"/>
        <w:jc w:val="left"/>
        <w:rPr>
          <w:rFonts w:ascii="Arial" w:hAnsi="Arial"/>
          <w:color w:val="000000"/>
          <w:sz w:val="20"/>
        </w:rPr>
      </w:pPr>
      <w:r>
        <w:rPr>
          <w:rFonts w:ascii="Arial" w:hAnsi="Arial"/>
          <w:color w:val="000000"/>
          <w:sz w:val="20"/>
        </w:rPr>
        <w:t xml:space="preserve">Moreover, certain of our stockholders have rights, subject to some conditions, to require us to file registration statements covering their shares or to include their shares in registration statements that we may file for ourselves or other stockholders. We have also registered all shares of common stock that we may issue under our equity compensation plans. Such registered shares can be freely sold in the public market, subject to volume limitations applicable to affiliates and the lock-up agreements described above, to the extent applicable. </w:t>
      </w:r>
    </w:p>
    <w:p>
      <w:pPr>
        <w:pStyle w:val="TextBody"/>
        <w:bidi w:val="0"/>
        <w:spacing w:before="200" w:after="283"/>
        <w:jc w:val="left"/>
        <w:rPr>
          <w:rFonts w:ascii="Arial" w:hAnsi="Arial"/>
          <w:sz w:val="20"/>
        </w:rPr>
      </w:pPr>
      <w:r>
        <w:rPr>
          <w:rFonts w:ascii="Arial" w:hAnsi="Arial"/>
          <w:b/>
          <w:i/>
          <w:color w:val="000000"/>
          <w:sz w:val="20"/>
        </w:rPr>
        <w:t>The trading price of the shares of our common stock could be highly volatile, and purchasers of our common stock could incur substantial losses.</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Since our common stock began trading on The Nasdaq Global Select Market on April 16, 2021, our stock has traded at prices as low as $0.87 per share and as high as $41.80 per share through September 21, 2026. This volatility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prospectus and the documents incorporated by reference herein and therein. </w:t>
      </w:r>
    </w:p>
    <w:p>
      <w:pPr>
        <w:pStyle w:val="TextBody"/>
        <w:bidi w:val="0"/>
        <w:spacing w:before="200" w:after="283"/>
        <w:jc w:val="left"/>
        <w:rPr>
          <w:rFonts w:ascii="Arial" w:hAnsi="Arial"/>
          <w:color w:val="000000"/>
          <w:sz w:val="20"/>
        </w:rPr>
      </w:pPr>
      <w:r>
        <w:rPr>
          <w:rFonts w:ascii="Arial" w:hAnsi="Arial"/>
          <w:color w:val="000000"/>
          <w:sz w:val="20"/>
        </w:rPr>
        <w:t xml:space="preserve">As a result, you may not be able to sell your shares of common stock at or above the price at which you purchase them. In addition, the stock market in general, and The Nasdaq Global Select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t>
      </w:r>
    </w:p>
    <w:p>
      <w:pPr>
        <w:pStyle w:val="TextBody"/>
        <w:bidi w:val="0"/>
        <w:spacing w:before="200" w:after="283"/>
        <w:jc w:val="left"/>
        <w:rPr>
          <w:rFonts w:ascii="Arial" w:hAnsi="Arial"/>
          <w:color w:val="000000"/>
          <w:sz w:val="20"/>
        </w:rPr>
      </w:pPr>
      <w:r>
        <w:rPr>
          <w:rFonts w:ascii="Arial" w:hAnsi="Arial"/>
          <w:color w:val="000000"/>
          <w:sz w:val="20"/>
        </w:rPr>
        <w:t xml:space="preserve">The market price for our common stock may be influenced by many factors, including: </w:t>
      </w:r>
    </w:p>
    <w:p>
      <w:pPr>
        <w:pStyle w:val="TextBody"/>
        <w:bidi w:val="0"/>
        <w:jc w:val="center"/>
        <w:rPr>
          <w:rFonts w:ascii="Times New Roman" w:hAnsi="Times New Roman"/>
          <w:color w:val="000000"/>
          <w:sz w:val="20"/>
        </w:rPr>
      </w:pPr>
      <w:r>
        <w:rPr>
          <w:rFonts w:ascii="Times New Roman" w:hAnsi="Times New Roman"/>
          <w:color w:val="000000"/>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the timing, progress, costs and results of our ongoing, planned or any future clinical trials, clinical development programs or preclinical studies;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commencement, enrollment, progress or results of clinical trials of our product candidates or any future clinical trials we may conduct, or changes in the development status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adverse results or delays in preclinical studies and clinical trials such as the previously announced clinical hold on our INDs for the Phase I/II clinical trials of icovamenib in type 2 and type 1 diabetes, from June 2024 to September 2024;</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decision to initiate a clinical trial, not to initiate a clinical trial, or to terminate an existing clinical trial, including due to the suspension of a clinical trial by the FDA or other regulatory authorities;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any delay in our regulatory filings or any adverse regulatory decisions, including failure to receive regulatory approval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changes in laws or regulations applicable to our product candidates and any future products, including but not limited to clinical trial requirements for approvals;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adverse developments concerning our manufacturers or our manufacturing plans;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inability to obtain adequate supply for any of our product candidates or the components thereof, or inability to do so at acceptable prices;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inability to establish collaborations if needed;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failure to commercialize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additions or departures of key scientific or management personnel;</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unanticipated serious safety concerns related to the use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introduction of new products or services offered by us or our competitors;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announcements of significant acquisitions, strategic partnerships, joint ventures or capital commitments by us or our competitors;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ability to effectively manage our growth;</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ability to develop our product candidates for the treatment of type 1 and type 2 diabetes or other metabolic diseases;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actual or anticipated variations in quarterly operating results;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cash position;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failure to meet the estimates and projections of the investment community or that we may otherwise provide to the public;</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publication of research reports about us or our industry, or menin inhibitors in particular, or positive or negative recommendations or withdrawal of research coverage by securities analysts;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changes in the market valuations of similar companies;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changes in the structure of healthcare payment systems;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overall performance of the equity markets;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sales of our common stock or securities exercisable for or convertible into shares of our common stock, by us or our stockholders in the future;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trading volume of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changes in accounting practices;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ineffectiveness of our internal controls;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disputes or other developments relating to intellectual property or proprietary rights, including patents, litigation matters and our ability to obtain patent protection for our technologies;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significant lawsuits, including intellectual property or stockholder litigation;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impact of any natural disasters or public health emergencies;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inflationary pressures and general economic, political, industry and market conditions;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other events or factors, many of which are beyond our control;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other factors described in this “Risk Factors” section.</w:t>
      </w:r>
    </w:p>
    <w:p>
      <w:pPr>
        <w:pStyle w:val="TextBody"/>
        <w:bidi w:val="0"/>
        <w:spacing w:before="200" w:after="283"/>
        <w:jc w:val="left"/>
        <w:rPr>
          <w:rFonts w:ascii="Arial" w:hAnsi="Arial"/>
          <w:sz w:val="20"/>
        </w:rPr>
      </w:pPr>
      <w:r>
        <w:rPr>
          <w:rFonts w:ascii="Arial" w:hAnsi="Arial"/>
          <w:b/>
          <w:i/>
          <w:color w:val="000000"/>
          <w:sz w:val="20"/>
        </w:rPr>
        <w:t>We do not intend to pay dividends on our common stock so any returns will be limited to the value of our stock.</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have never declared or paid cash dividends on our capital stock. We currently anticipate that we will retain future earnings for the development, operation and expansion of our business and do not anticipate </w:t>
      </w:r>
    </w:p>
    <w:p>
      <w:pPr>
        <w:pStyle w:val="TextBody"/>
        <w:bidi w:val="0"/>
        <w:jc w:val="center"/>
        <w:rPr>
          <w:rFonts w:ascii="Times New Roman" w:hAnsi="Times New Roman"/>
          <w:color w:val="000000"/>
          <w:sz w:val="20"/>
        </w:rPr>
      </w:pPr>
      <w:r>
        <w:rPr>
          <w:rFonts w:ascii="Times New Roman" w:hAnsi="Times New Roman"/>
          <w:color w:val="000000"/>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declaring or paying any cash dividends for the foreseeable future. In addition, the terms of any future debt agreements we may enter into may preclude us from paying dividends. Any return to stockholders will therefore be limited to the appreciation of their stock. </w:t>
      </w:r>
    </w:p>
    <w:p>
      <w:pPr>
        <w:pStyle w:val="TextBody"/>
        <w:bidi w:val="0"/>
        <w:spacing w:before="200" w:after="283"/>
        <w:jc w:val="left"/>
        <w:rPr>
          <w:rFonts w:ascii="Arial" w:hAnsi="Arial"/>
          <w:sz w:val="20"/>
        </w:rPr>
      </w:pPr>
      <w:r>
        <w:rPr>
          <w:rFonts w:ascii="Arial" w:hAnsi="Arial"/>
          <w:b/>
          <w:i/>
          <w:color w:val="000000"/>
          <w:sz w:val="20"/>
        </w:rPr>
        <w:t>There is no public market for the pre-funded warrants being offered in this offering.</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Select Market. Without an active market, the liquidity of the pre-funded warrants will be limited. </w:t>
      </w:r>
    </w:p>
    <w:p>
      <w:pPr>
        <w:pStyle w:val="TextBody"/>
        <w:bidi w:val="0"/>
        <w:spacing w:before="200" w:after="283"/>
        <w:jc w:val="left"/>
        <w:rPr>
          <w:rFonts w:ascii="Arial" w:hAnsi="Arial"/>
          <w:sz w:val="20"/>
        </w:rPr>
      </w:pPr>
      <w:r>
        <w:rPr>
          <w:rFonts w:ascii="Arial" w:hAnsi="Arial"/>
          <w:b/>
          <w:i/>
          <w:color w:val="000000"/>
          <w:sz w:val="20"/>
        </w:rPr>
        <w:t>We will not receive a significant amount or any additional funds upon the exercise of the pre-funded warrants.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Each pre-funded warrant is exercisable for $0.0001 per share of common stock underlying such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any additional funds upon the exercise of the pre-funded warrants. </w:t>
      </w:r>
    </w:p>
    <w:p>
      <w:pPr>
        <w:pStyle w:val="TextBody"/>
        <w:bidi w:val="0"/>
        <w:spacing w:before="200" w:after="283"/>
        <w:jc w:val="left"/>
        <w:rPr>
          <w:rFonts w:ascii="Arial" w:hAnsi="Arial"/>
          <w:sz w:val="20"/>
        </w:rPr>
      </w:pPr>
      <w:r>
        <w:rPr>
          <w:rFonts w:ascii="Arial" w:hAnsi="Arial"/>
          <w:b/>
          <w:i/>
          <w:color w:val="000000"/>
          <w:sz w:val="20"/>
        </w:rPr>
        <w:t>Holders of pre-funded warrants purchased in this offering will have no rights as common stockholders until such holders exercise their pre-funded warrants and acquire our common stock.</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Until holders of pre-funded warrants acquire shares of our common stock upon exercise of the pre-funded warrants, holders of pre-funded warrants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 </w:t>
      </w:r>
    </w:p>
    <w:p>
      <w:pPr>
        <w:pStyle w:val="TextBody"/>
        <w:bidi w:val="0"/>
        <w:spacing w:before="200" w:after="283"/>
        <w:jc w:val="left"/>
        <w:rPr>
          <w:rFonts w:ascii="Arial" w:hAnsi="Arial"/>
          <w:sz w:val="20"/>
        </w:rPr>
      </w:pPr>
      <w:r>
        <w:rPr>
          <w:rFonts w:ascii="Arial" w:hAnsi="Arial"/>
          <w:b/>
          <w:i/>
          <w:color w:val="000000"/>
          <w:sz w:val="20"/>
        </w:rPr>
        <w:t>Significant holders or beneficial holders of our common stock may not be permitted to exercise warrants that they hold.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A holder of a warrant will not be entitled to exercise any portion of any warrant, (i) if immediately prior to exercise the holder (together with its affiliates) beneficially owns an aggregate number of shares of our common stock greater than 4.99% or 9.99%, as applicable, of the number of shares of our common stock outstanding immediately before giving effect to the exercise of the warrant or (ii) to the extent that immediately following exercise, the holder (together with its affiliates) would beneficially own in excess of 4.99% or 9.99%, as applicable, of the number of shares of common stock outstanding immediately after giving effect to the issuance of such shares of common stock unless such percentage is increased upon at least 61 days’ prior notice, but not in excess of 19.99%. As a result, you may not be able to exercise your warrants for shares of our common stock at a time when it would be financially beneficial for you to do so. In such circumstance, you could seek to sell your warrants to realize value, but you may be unable to do so in the absence of an established trading market for the warrants. </w:t>
      </w:r>
    </w:p>
    <w:p>
      <w:pPr>
        <w:pStyle w:val="TextBody"/>
        <w:bidi w:val="0"/>
        <w:spacing w:before="200" w:after="283"/>
        <w:jc w:val="left"/>
        <w:rPr>
          <w:rFonts w:ascii="Arial" w:hAnsi="Arial"/>
          <w:sz w:val="20"/>
        </w:rPr>
      </w:pPr>
      <w:r>
        <w:rPr>
          <w:rFonts w:ascii="Arial" w:hAnsi="Arial"/>
          <w:b/>
          <w:i/>
          <w:color w:val="000000"/>
          <w:sz w:val="20"/>
        </w:rPr>
        <w:t>If we do not maintain a current and effective registration statement relating to the shares of our common stock issuable upon exercise of the pre-funded warrants, holders will only be able to exercise such warrants on a “cashless basis.”</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If we do not maintain a current and effective registration statement relating to the shares of our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our common stock that holders will receive upon exercise of the pre-funded warrants will be fewer than it would have been had such holder exercised the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our common stock issuable upon exercise of the pre-funded warrants is available.</w:t>
      </w:r>
    </w:p>
    <w:p>
      <w:pPr>
        <w:pStyle w:val="TextBody"/>
        <w:bidi w:val="0"/>
        <w:jc w:val="center"/>
        <w:rPr>
          <w:rFonts w:ascii="Times New Roman" w:hAnsi="Times New Roman"/>
          <w:color w:val="000000"/>
          <w:sz w:val="20"/>
        </w:rPr>
      </w:pPr>
      <w:r>
        <w:rPr>
          <w:rFonts w:ascii="Times New Roman" w:hAnsi="Times New Roman"/>
          <w:color w:val="000000"/>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Arial" w:hAnsi="Arial"/>
          <w:b/>
          <w:i/>
          <w:color w:val="000000"/>
          <w:sz w:val="20"/>
        </w:rPr>
      </w:pPr>
      <w:r>
        <w:rPr>
          <w:rFonts w:ascii="Arial" w:hAnsi="Arial"/>
          <w:b/>
          <w:i/>
          <w:color w:val="000000"/>
          <w:sz w:val="20"/>
        </w:rPr>
        <w:t>We may not receive any additional funds upon the exercise of the underwriter warrants.</w:t>
      </w:r>
    </w:p>
    <w:p>
      <w:pPr>
        <w:pStyle w:val="TextBody"/>
        <w:bidi w:val="0"/>
        <w:spacing w:before="80" w:after="283"/>
        <w:jc w:val="left"/>
        <w:rPr>
          <w:rFonts w:ascii="Arial" w:hAnsi="Arial"/>
          <w:color w:val="000000"/>
          <w:sz w:val="20"/>
        </w:rPr>
      </w:pPr>
      <w:r>
        <w:rPr>
          <w:rFonts w:ascii="Arial" w:hAnsi="Arial"/>
          <w:color w:val="000000"/>
          <w:sz w:val="20"/>
        </w:rPr>
        <w:t>The underwriter warrant may be exercised by way of a cashless exercise if permitted by the terms of such warrants, meaning that the holder may not pay a cash purchase price upon exercise, but instead would receive upon such exercise the net number of shares of our common stock determined according to the formula set forth in the underwriter warrants, as applicable. Accordingly, we may not receive any additional funds upon the exercise of the underwriter warrants or if the underwriter warrants altogether are not exercised at all.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7" w:name="supp77383_5"/>
      <w:bookmarkEnd w:id="7"/>
      <w:r>
        <w:rPr>
          <w:rFonts w:ascii="Arial" w:hAnsi="Arial"/>
          <w:b/>
          <w:color w:val="000000"/>
          <w:sz w:val="20"/>
        </w:rPr>
        <w:t>Cautionary Statement Regarding Forward-Looking Statements</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 xml:space="preserve">This prospectus supplement, the accompanying prospectus and the information incorporated by reference herein and therein include “forward-looking statements” within the meaning of Section 27A of the Securities Act of 1933, as amended (the Securities Act) and Section 21E of the Exchange Act. All statements, other than statements of historical facts, included in this prospectus supplement, the accompanying prospectus and the information incorporated by reference herein and therein regarding our strategy, future operations, future financial position, future revenue, projected costs, prospects, plans, objectives of management and expected market growth are forward-looking statements. The words “anticipate,” “believe,” “estimate,” “expect,” “intend,” “may,” “plan,” “predict,” “project,” “target,” “potential,” “will,” “would,” “could,” “should,” “continue,” “seek,” “outlook,” “approximately” or the negative version of these words or other comparable words are intended to identify forward-looking statements, although not all forward-looking statements contain these identifying words. These forward-looking statements include, among other things, statements about: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financial performance;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sufficiency of our existing cash, cash equivalents and restricted cash to fund our future operating expenses and capital expenditure requirements;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estimates regarding expenses, future revenue, capital requirements and needs for additional financing;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ability to continue as a going concern;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implementation of our strategic plans for our business and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initiation, timing, progress and results of our research and development programs, preclinical studies, clinical trials and INDs and other regulatory submissions;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ability to develop our product candidates for the treatment of type 1 and type 2 diabetes, obesity and other metabolic diseases;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timing, progress and focus of our ongoing and future clinical trials, and the reporting of data from those trials;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ability of our clinical trials to demonstrate safety and efficacy of our product candidates, and other favorable results;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plans relating to the clinical development of our product candidates, including the disease areas to be evaluated;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ability to obtain and maintain regulatory approval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plans relating to commercializing our product candidates, if approved;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estimates of the patient populations addressable by our product candidates, if approved, and the number of participants that will enroll in our ongoing and planned clinical trials;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size of the market opportunity for our product candidates and our ability to maximize those opportunities;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ability to enter into strategic partnerships with collaborators with development, regulatory and commercialization expertise and the expected benefits of any such potential future strategic collaborations;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timing or likelihood of regulatory filings and approvals, including our expectation to seek special designations, such as orphan drug designation, for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plans relating to the further development and manufacturing of our product candidates, including for additional indications that we may pursue;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existing regulations and regulatory developments in the United States and other jurisdictions;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plans and ability to obtain or protect intellectual property rights, including extensions of existing patent terms where available;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ability to obtain sufficient funding or enter into strategic collaborations for the advancement of certain of our product candidate programs, such as for BMF-500;</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plan to rely on third parties to conduct and support preclinical and clinical development;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ability to retain the continued service of our key personnel and to identify, hire and then retain additional qualified personnel;</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impact of any global health emergencies or other related disruptions on our business;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the impact of new laws and regulations, amendments to existing laws and regulations, or changes in government agencies, in the United States and foreign countries;</w:t>
      </w:r>
    </w:p>
    <w:p>
      <w:pPr>
        <w:pStyle w:val="TextBody"/>
        <w:bidi w:val="0"/>
        <w:jc w:val="center"/>
        <w:rPr>
          <w:rFonts w:ascii="Times New Roman" w:hAnsi="Times New Roman"/>
          <w:color w:val="000000"/>
          <w:sz w:val="20"/>
        </w:rPr>
      </w:pPr>
      <w:r>
        <w:rPr>
          <w:rFonts w:ascii="Times New Roman" w:hAnsi="Times New Roman"/>
          <w:color w:val="000000"/>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unfavorable macroeconomic conditions or market volatility resulting from global economic conditions or geopolitical developments, including supply chain issues, inflationary pressures, market volatility, international tariffs, trade protection measures, economic sanctions, economic slowdowns or recessions, acts of war and civil and political unrest;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expectations regarding the period during which we will qualify as an emerging growth company under the Jumpstart Our Business Startups Act of 2012, as amended;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our anticipated use of our existing cash, cash equivalents and restricted cash and the net proceeds from this offering and any other financing transaction we may undertake.</w:t>
      </w:r>
    </w:p>
    <w:p>
      <w:pPr>
        <w:pStyle w:val="TextBody"/>
        <w:bidi w:val="0"/>
        <w:jc w:val="left"/>
        <w:rPr>
          <w:rFonts w:ascii="Arial" w:hAnsi="Arial"/>
          <w:color w:val="000000"/>
          <w:sz w:val="20"/>
        </w:rPr>
      </w:pPr>
      <w:r>
        <w:rPr>
          <w:rFonts w:ascii="Arial" w:hAnsi="Arial"/>
          <w:color w:val="000000"/>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information incorporated by reference herein and therein, particularly in the “Risk Factors” section of this prospectus supplement in our most recent Annual Report on Form 10-K and subsequent Quarterly Reports on Form 10-Q, which are incorporated by reference herein, that could cause actual results or events to differ materially from the forward-looking statements that we make. Our forward-looking statements do not reflect the potential impact of any future acquisitions, mergers, dispositions, joint ventures, or investments that we may make. </w:t>
      </w:r>
    </w:p>
    <w:p>
      <w:pPr>
        <w:pStyle w:val="TextBody"/>
        <w:bidi w:val="0"/>
        <w:spacing w:before="200" w:after="283"/>
        <w:jc w:val="left"/>
        <w:rPr>
          <w:rFonts w:ascii="Arial" w:hAnsi="Arial"/>
          <w:color w:val="000000"/>
          <w:sz w:val="20"/>
        </w:rPr>
      </w:pPr>
      <w:r>
        <w:rPr>
          <w:rFonts w:ascii="Arial" w:hAnsi="Arial"/>
          <w:color w:val="000000"/>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00" w:after="283"/>
        <w:jc w:val="left"/>
        <w:rPr>
          <w:rFonts w:ascii="Arial" w:hAnsi="Arial"/>
          <w:color w:val="000000"/>
          <w:sz w:val="20"/>
        </w:rPr>
      </w:pPr>
      <w:r>
        <w:rPr>
          <w:rFonts w:ascii="Arial" w:hAnsi="Arial"/>
          <w:color w:val="000000"/>
          <w:sz w:val="20"/>
        </w:rPr>
        <w:t xml:space="preserve">You should read this prospectus supplement, the accompanying prospectus and the information incorporated by reference herein and therein completely and with the understanding that our actual future results may be materially different from what we expect. Any forward-looking statement speaks only as of the date of this prospectus supplement. We do not assume any obligation to update any forward-looking statements, whether as a result of new information, future events or otherwise, except as required by law. </w:t>
      </w:r>
    </w:p>
    <w:p>
      <w:pPr>
        <w:pStyle w:val="TextBody"/>
        <w:bidi w:val="0"/>
        <w:jc w:val="center"/>
        <w:rPr>
          <w:rFonts w:ascii="Times New Roman" w:hAnsi="Times New Roman"/>
          <w:color w:val="000000"/>
          <w:sz w:val="20"/>
        </w:rPr>
      </w:pPr>
      <w:r>
        <w:rPr>
          <w:rFonts w:ascii="Times New Roman" w:hAnsi="Times New Roman"/>
          <w:color w:val="000000"/>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Arial" w:hAnsi="Arial"/>
          <w:sz w:val="20"/>
        </w:rPr>
      </w:pPr>
      <w:bookmarkStart w:id="8" w:name="supp77383_6"/>
      <w:bookmarkEnd w:id="8"/>
      <w:r>
        <w:rPr>
          <w:rFonts w:ascii="Arial" w:hAnsi="Arial"/>
          <w:b/>
          <w:color w:val="000000"/>
          <w:sz w:val="20"/>
        </w:rPr>
        <w:t>Use of Proceeds</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 xml:space="preserve">We estimate that the net proceeds to us from the sale of the shares of common stock or pre-funded warrants that we are offering will be approximately $ million, or approximately $ million if the option to purchase additional shares is exercised in full by the underwriter, after deducting underwriting discounts and commissions and estimated offering expenses payable by us. We will receive nominal proceeds, if any, from the exercise of the pre-funded warrants. </w:t>
      </w:r>
    </w:p>
    <w:p>
      <w:pPr>
        <w:pStyle w:val="TextBody"/>
        <w:bidi w:val="0"/>
        <w:spacing w:before="200" w:after="283"/>
        <w:jc w:val="left"/>
        <w:rPr>
          <w:rFonts w:ascii="Arial" w:hAnsi="Arial"/>
          <w:color w:val="000000"/>
          <w:sz w:val="20"/>
        </w:rPr>
      </w:pPr>
      <w:r>
        <w:rPr>
          <w:rFonts w:ascii="Arial" w:hAnsi="Arial"/>
          <w:color w:val="000000"/>
          <w:sz w:val="20"/>
        </w:rPr>
        <w:t>We currently intend to use the net proceeds from this offering, together with our existing cash, cash equivalents and restricted cash, to complete our Phase II development of icovamenib in type 2 and type 1 diabetes, engage with the FDA to start registrational studies in both diabetes indications, and continue the clinical development of our next-generation, oral small-molecule GLP-1 receptor agonist candidate, BMF-650, in obesity and diabetes, as well as for other general corporate purposes.</w:t>
      </w:r>
    </w:p>
    <w:p>
      <w:pPr>
        <w:pStyle w:val="TextBody"/>
        <w:bidi w:val="0"/>
        <w:spacing w:before="200" w:after="283"/>
        <w:jc w:val="left"/>
        <w:rPr>
          <w:rFonts w:ascii="Arial" w:hAnsi="Arial"/>
          <w:color w:val="000000"/>
          <w:sz w:val="20"/>
        </w:rPr>
      </w:pPr>
      <w:r>
        <w:rPr>
          <w:rFonts w:ascii="Arial" w:hAnsi="Arial"/>
          <w:color w:val="000000"/>
          <w:sz w:val="20"/>
        </w:rPr>
        <w:t xml:space="preserve">The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feedback from regulatory authorities,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 </w:t>
      </w:r>
    </w:p>
    <w:p>
      <w:pPr>
        <w:pStyle w:val="TextBody"/>
        <w:bidi w:val="0"/>
        <w:spacing w:before="200" w:after="283"/>
        <w:jc w:val="left"/>
        <w:rPr>
          <w:rFonts w:ascii="Arial" w:hAnsi="Arial"/>
          <w:color w:val="000000"/>
          <w:sz w:val="20"/>
        </w:rPr>
      </w:pPr>
      <w:r>
        <w:rPr>
          <w:rFonts w:ascii="Arial" w:hAnsi="Arial"/>
          <w:color w:val="000000"/>
          <w:sz w:val="20"/>
        </w:rPr>
        <w:t xml:space="preserve">After the completion of this offering, assuming net proceeds to us, after deducting underwriting discounts and commissions and estimated offering expenses payable by us, of approximately $ million, we expect that our cash, cash equivalents and restricted cash, will be sufficient to fund our current operating and capital expenditure plans into . Without the proceeds from this offering, our existing cash, cash equivalents and restricted cash, will be sufficient to fund our operating and capital expenditure plans into . Our future capital requirements will depend on many factors, including those discussed in “Liquidity and Capital Resources” section of our Quarterly Report on Form 10-Q for the quarter ended June 30, 2026. </w:t>
      </w:r>
    </w:p>
    <w:p>
      <w:pPr>
        <w:pStyle w:val="TextBody"/>
        <w:bidi w:val="0"/>
        <w:jc w:val="center"/>
        <w:rPr>
          <w:rFonts w:ascii="Times New Roman" w:hAnsi="Times New Roman"/>
          <w:color w:val="000000"/>
          <w:sz w:val="20"/>
        </w:rPr>
      </w:pPr>
      <w:r>
        <w:rPr>
          <w:rFonts w:ascii="Times New Roman" w:hAnsi="Times New Roman"/>
          <w:color w:val="000000"/>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9" w:name="supp77383_7"/>
      <w:bookmarkEnd w:id="9"/>
      <w:r>
        <w:rPr>
          <w:rFonts w:ascii="Arial" w:hAnsi="Arial"/>
          <w:b/>
          <w:color w:val="000000"/>
          <w:sz w:val="20"/>
        </w:rPr>
        <w:t>Dividend Policy</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 xml:space="preserve">We have not declared or paid any cash dividends on our capital stock since our inception. We currently intend to retain future earnings, if any, to finance the operation and expansion of our business and do not anticipate paying any cash dividends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w:t>
      </w:r>
    </w:p>
    <w:p>
      <w:pPr>
        <w:pStyle w:val="TextBody"/>
        <w:bidi w:val="0"/>
        <w:jc w:val="center"/>
        <w:rPr>
          <w:rFonts w:ascii="Times New Roman" w:hAnsi="Times New Roman"/>
          <w:color w:val="000000"/>
          <w:sz w:val="20"/>
        </w:rPr>
      </w:pPr>
      <w:r>
        <w:rPr>
          <w:rFonts w:ascii="Times New Roman" w:hAnsi="Times New Roman"/>
          <w:color w:val="000000"/>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10" w:name="supp77383_8"/>
      <w:bookmarkEnd w:id="10"/>
      <w:r>
        <w:rPr>
          <w:rFonts w:ascii="Arial" w:hAnsi="Arial"/>
          <w:b/>
          <w:color w:val="000000"/>
          <w:sz w:val="20"/>
        </w:rPr>
        <w:t>Dilution</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 xml:space="preserve">If you invest in this offering, your ownership interest will be diluted to the extent of the difference between the public offering price per share of our common stock or pre-funded warrant in this offering in this offering and the as adjusted net tangible book value per share of our common stock immediately after this offering. Our net tangible book value as of June 30, 2026 was $12.1 million, or $0.17 per share of common stock, based upon 72,483,852 shares outstanding as of that date. Net tangible book value per share is equal to our total tangible assets, less our total liabilities, divided by the total number of shares outstanding. After giving effect to the (i) issuance and sale of shares of our common stock and (ii) pre-funded warrants to purchase shares of our common stock in this offering at a combined public offering price of $ per underlying share warrant (which equals the price per share at which shares of our common stock are being sold in this offering, minus the $0.0001 per share exercise price of each such pre-funded warrant), including shares of common stock issuable upon exercise of the pre-funded warrants but excluding any resulting accounting associated therewith, and after deducting underwriting discounts and commissions and estimated aggregate offering expenses payable by us, our adjusted net tangible book value as of June 30, 2026 would have been $ million, or $ per share. This represents an immediate increase in net tangible book value of $ per share to our existing stockholders, and an immediate dilution of $ per share to investors purchasing shares of common stock and pre-funded warrants in this offering. </w:t>
      </w:r>
    </w:p>
    <w:p>
      <w:pPr>
        <w:pStyle w:val="TextBody"/>
        <w:bidi w:val="0"/>
        <w:spacing w:before="200" w:after="283"/>
        <w:jc w:val="left"/>
        <w:rPr>
          <w:rFonts w:ascii="Arial" w:hAnsi="Arial"/>
          <w:color w:val="000000"/>
          <w:sz w:val="20"/>
        </w:rPr>
      </w:pPr>
      <w:r>
        <w:rPr>
          <w:rFonts w:ascii="Arial" w:hAnsi="Arial"/>
          <w:color w:val="000000"/>
          <w:sz w:val="20"/>
        </w:rPr>
        <w:t xml:space="preserve">The following table illustrates this calculation on a per share basis, assuming the underwriter does not exercise their option to purchase additional shares of common stock: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27"/>
        <w:gridCol w:w="146"/>
        <w:gridCol w:w="211"/>
        <w:gridCol w:w="481"/>
        <w:gridCol w:w="146"/>
        <w:gridCol w:w="146"/>
        <w:gridCol w:w="211"/>
        <w:gridCol w:w="146"/>
        <w:gridCol w:w="791"/>
      </w:tblGrid>
      <w:tr>
        <w:trPr/>
        <w:tc>
          <w:tcPr>
            <w:tcW w:w="7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79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2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Public offering price per share (or pre-funded warrant)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7927" w:type="dxa"/>
            <w:tcBorders/>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20"/>
              </w:rPr>
            </w:pPr>
            <w:r>
              <w:rPr>
                <w:rFonts w:ascii="Arial" w:hAnsi="Arial"/>
                <w:color w:val="000000"/>
                <w:sz w:val="20"/>
              </w:rPr>
              <w:t>Historical net tangible book value per share as of June 30,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927" w:type="dxa"/>
            <w:tcBorders/>
            <w:shd w:fill="CCEE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20"/>
              </w:rPr>
            </w:pPr>
            <w:r>
              <w:rPr>
                <w:rFonts w:ascii="Arial" w:hAnsi="Arial"/>
                <w:color w:val="000000"/>
                <w:sz w:val="20"/>
              </w:rPr>
              <w:t>Increase in net tangible book value per share attributable to investors participating in this offering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27"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Pro forma net tangible book value per share as of June 30, 2026, after giving effect to this offering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792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Dilution of pro forma net tangible book value per share to new investors participating in this offering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rFonts w:ascii="Arial" w:hAnsi="Arial"/>
          <w:color w:val="000000"/>
          <w:sz w:val="20"/>
        </w:rPr>
      </w:pPr>
      <w:r>
        <w:rPr>
          <w:rFonts w:ascii="Arial" w:hAnsi="Arial"/>
          <w:color w:val="000000"/>
          <w:sz w:val="20"/>
        </w:rPr>
        <w:t xml:space="preserve">If the underwriter exercises their option to purchase shares of common stock in full, the as adjusted net tangible book value after this offering would be approximately $ per share, representing an increase in net tangible book value of approximately $ per share to existing stockholders and immediate dilution in net tangible book value of approximately $ per share to investors purchasing our common stock (or pre-funded warrants) in this offering at $ per share. </w:t>
      </w:r>
    </w:p>
    <w:p>
      <w:pPr>
        <w:pStyle w:val="TextBody"/>
        <w:bidi w:val="0"/>
        <w:spacing w:before="80" w:after="283"/>
        <w:jc w:val="left"/>
        <w:rPr>
          <w:rFonts w:ascii="Arial" w:hAnsi="Arial"/>
          <w:color w:val="000000"/>
          <w:sz w:val="20"/>
        </w:rPr>
      </w:pPr>
      <w:r>
        <w:rPr>
          <w:rFonts w:ascii="Arial" w:hAnsi="Arial"/>
          <w:color w:val="000000"/>
          <w:sz w:val="20"/>
        </w:rPr>
        <w:t>The foregoing tables and calculations (other than the historical net tangible book value calculation) are based on 72,483,852 shares of our common stock outstanding as of June 30, 2026, and assumes the full exercise of the pre-funded warrants sold in this offering. The number of shares outstanding as of June 30, 2026 excludes: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13,184,249 shares of our common stock issuable upon the exercise of stock options issued and outstanding as of June 30, 2026 under our 2020 Plan, our 2021 Plan, and our Inducement Plan at a weighted-average exercise price of $3.10 per share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1,434,437 shares of our common stock reserved for future issuance as of June 30, 2026 under our 2021 Plan;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1,864,500 shares of our common stock reserved for future issuance as of June 30, 2026 under our Inducement Plan;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1,343,590 shares of our common stock reserved for issuance as of June 30, 2026 under our 2021 Employee Stock Purchase Plan;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37,024,389 shares of our common stock issuable upon the exercise of common stock warrants to purchase shares of common stock that we issued in connection with our June 2025 and October 2025 underwritten public offerings;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shares of our common stock underlying the underwriter warrants; and</w:t>
      </w:r>
    </w:p>
    <w:p>
      <w:pPr>
        <w:pStyle w:val="TextBody"/>
        <w:bidi w:val="0"/>
        <w:jc w:val="center"/>
        <w:rPr>
          <w:rFonts w:ascii="Times New Roman" w:hAnsi="Times New Roman"/>
          <w:color w:val="000000"/>
          <w:sz w:val="20"/>
        </w:rPr>
      </w:pPr>
      <w:r>
        <w:rPr>
          <w:rFonts w:ascii="Times New Roman" w:hAnsi="Times New Roman"/>
          <w:color w:val="000000"/>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Up to $100.0 million of shares of our common stock that may be sold from time to time pursuant to our Equity Distribution Agreement with Piper Sandler &amp; Co. entered into on November 25, 2022, of which 2,271,122 shares have been sold to date and which has resulted in net proceeds of approximately $4.9 million to date.</w:t>
      </w:r>
    </w:p>
    <w:p>
      <w:pPr>
        <w:pStyle w:val="TextBody"/>
        <w:bidi w:val="0"/>
        <w:spacing w:before="198" w:after="283"/>
        <w:jc w:val="left"/>
        <w:rPr>
          <w:rFonts w:ascii="Arial" w:hAnsi="Arial"/>
          <w:color w:val="000000"/>
          <w:sz w:val="20"/>
        </w:rPr>
      </w:pPr>
      <w:r>
        <w:rPr>
          <w:rFonts w:ascii="Arial" w:hAnsi="Arial"/>
          <w:color w:val="000000"/>
          <w:sz w:val="20"/>
        </w:rPr>
        <w:t xml:space="preserve">To the extent that outstanding options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jc w:val="center"/>
        <w:rPr>
          <w:rFonts w:ascii="Times New Roman" w:hAnsi="Times New Roman"/>
          <w:color w:val="000000"/>
          <w:sz w:val="20"/>
        </w:rPr>
      </w:pPr>
      <w:r>
        <w:rPr>
          <w:rFonts w:ascii="Times New Roman" w:hAnsi="Times New Roman"/>
          <w:color w:val="000000"/>
          <w:sz w:val="20"/>
        </w:rPr>
        <w:t>S-15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11" w:name="supp77383_9"/>
      <w:bookmarkEnd w:id="11"/>
      <w:r>
        <w:rPr>
          <w:rFonts w:ascii="Arial" w:hAnsi="Arial"/>
          <w:b/>
          <w:color w:val="000000"/>
          <w:sz w:val="20"/>
        </w:rPr>
        <w:t>Material U.S. Federal Income Tax Consequences For Non.-U.S. Holders</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 xml:space="preserve">The following discussion is a summary of certain material U.S. federal income tax considerations applicable to non-U.S. holders (as defined below) with respect to their purchase, ownership and disposition of shares of our common stock and pre-funded warrants, issued pursuant to this offering. For purposes of this discussion, a non-U.S. holder means a beneficial owner of our common stock that is for U.S. federal income tax purposes: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 non-resident alien individual;</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 foreign corporation or any other foreign organization taxable as a corporation for U.S. federal income tax purposes; or</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an estate or trust, the income of which is not subject to U.S. federal income tax on a net income basis and that (1) is not subject to the primary supervision of a court within the United States or over which no U.S. persons have authority to control all substantial decisions and (2) has not made an election to be treated as a U.S. person under applicable U.S. Treasury Regulations.</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 xml:space="preserve">This discussion does not address the tax treatment of partnerships or other entities or arrangements that are pass-through entities for U.S. federal income tax purposes (including S-corporations) or persons that hold their common stock through partnerships or other pass-through entities. A partner in a partnership or other pass-through entity that will hold our common stock or pre-funded warrants should consult his, her or its tax advisor regarding the tax consequences of acquiring, holding and disposing of our common stock or pre-funded warrants through a partnership or other pass-through entity, as applicable. </w:t>
      </w:r>
    </w:p>
    <w:p>
      <w:pPr>
        <w:pStyle w:val="TextBody"/>
        <w:bidi w:val="0"/>
        <w:spacing w:before="200" w:after="283"/>
        <w:jc w:val="left"/>
        <w:rPr>
          <w:rFonts w:ascii="Arial" w:hAnsi="Arial"/>
          <w:color w:val="000000"/>
          <w:sz w:val="20"/>
        </w:rPr>
      </w:pPr>
      <w:r>
        <w:rPr>
          <w:rFonts w:ascii="Arial" w:hAnsi="Arial"/>
          <w:color w:val="000000"/>
          <w:sz w:val="20"/>
        </w:rPr>
        <w:t xml:space="preserve">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such change or differing interpretation could alter the tax consequences to non-U.S. holders described in this prospectus supplement. There can be no assurance that the Internal Revenue Service, which we refer to as the IRS, will not challenge one or more of the tax consequences described in this prospectus supplement. We have not sought and will not seek any rulings from the IRS regarding the matters discussed below. We assume in this discussion that a non-U.S. holder holds shares of our common stock as a capital asset within the meaning of Section 1221 of the Code, generally property held for investment. </w:t>
      </w:r>
    </w:p>
    <w:p>
      <w:pPr>
        <w:pStyle w:val="TextBody"/>
        <w:bidi w:val="0"/>
        <w:spacing w:before="200" w:after="283"/>
        <w:jc w:val="left"/>
        <w:rPr>
          <w:rFonts w:ascii="Arial" w:hAnsi="Arial"/>
          <w:color w:val="000000"/>
          <w:sz w:val="20"/>
        </w:rPr>
      </w:pPr>
      <w:r>
        <w:rPr>
          <w:rFonts w:ascii="Arial" w:hAnsi="Arial"/>
          <w:color w:val="000000"/>
          <w:sz w:val="20"/>
        </w:rPr>
        <w:t xml:space="preserve">This discussion does not address all aspects of U.S. federal income taxation that may be relevant to a particular non-U.S. holder in light of that non-U.S. holder’s individual circumstances nor does it address any aspects of U.S. state, local or non-U.S. taxes, the alternative minimum tax, any estate tax, any tax considerations resulting from a non-U.S. holder having a functional currency other than the U.S. dollar, the timing of income accruals required under Section 451(b) of the Code, the Medicare tax on net investment income or any aspects of any U.S. federal tax other than the income tax. This discussion also does not consider any specific facts or circumstances that may apply to a non-U.S. holder and does not address the special tax rules applicable to particular non-U.S. holders, such as: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insurance companies;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banks;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tax-exempt or governmental organizations;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financial institutions;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brokers or dealers in securities;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regulated investment companies;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pension plans;</w:t>
      </w:r>
    </w:p>
    <w:p>
      <w:pPr>
        <w:pStyle w:val="TextBody"/>
        <w:bidi w:val="0"/>
        <w:spacing w:before="0" w:after="0"/>
        <w:jc w:val="left"/>
        <w:rPr>
          <w:color w:val="000000"/>
        </w:rPr>
      </w:pPr>
      <w:r>
        <w:rPr>
          <w:color w:val="000000"/>
        </w:rPr>
        <w:t>▪</w:t>
      </w:r>
    </w:p>
    <w:p>
      <w:pPr>
        <w:pStyle w:val="TextBody"/>
        <w:bidi w:val="0"/>
        <w:spacing w:before="0" w:after="0"/>
        <w:jc w:val="left"/>
        <w:rPr>
          <w:color w:val="000000"/>
        </w:rPr>
      </w:pPr>
      <w:r>
        <w:rPr>
          <w:color w:val="000000"/>
        </w:rPr>
        <w:t>“</w:t>
      </w:r>
      <w:r>
        <w:rPr>
          <w:rFonts w:ascii="Arial" w:hAnsi="Arial"/>
          <w:color w:val="000000"/>
          <w:sz w:val="20"/>
        </w:rPr>
        <w:t>controlled foreign corporations,” “passive foreign investment companies,” and corporations that accumulate earnings to avoid U.S. federal income tax;</w:t>
      </w:r>
    </w:p>
    <w:p>
      <w:pPr>
        <w:pStyle w:val="TextBody"/>
        <w:bidi w:val="0"/>
        <w:spacing w:before="0" w:after="0"/>
        <w:jc w:val="left"/>
        <w:rPr>
          <w:color w:val="000000"/>
        </w:rPr>
      </w:pPr>
      <w:r>
        <w:rPr>
          <w:color w:val="000000"/>
        </w:rPr>
        <w:t>▪</w:t>
      </w:r>
    </w:p>
    <w:p>
      <w:pPr>
        <w:pStyle w:val="TextBody"/>
        <w:bidi w:val="0"/>
        <w:spacing w:before="0" w:after="0"/>
        <w:jc w:val="left"/>
        <w:rPr>
          <w:color w:val="000000"/>
        </w:rPr>
      </w:pPr>
      <w:r>
        <w:rPr>
          <w:color w:val="000000"/>
        </w:rPr>
        <w:t>“</w:t>
      </w:r>
      <w:r>
        <w:rPr>
          <w:rFonts w:ascii="Arial" w:hAnsi="Arial"/>
          <w:color w:val="000000"/>
          <w:sz w:val="20"/>
        </w:rPr>
        <w:t>qualified foreign pension funds” as defined in Section 897(l)(2) of the Code and entities all of the interests of which are held by qualified foreign pension funds;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partnerships or other entities or arrangements treated as partnerships for U.S. federal income tax purposes (and partners and investors therein);</w:t>
      </w:r>
    </w:p>
    <w:p>
      <w:pPr>
        <w:pStyle w:val="TextBody"/>
        <w:bidi w:val="0"/>
        <w:jc w:val="center"/>
        <w:rPr>
          <w:rFonts w:ascii="Times New Roman" w:hAnsi="Times New Roman"/>
          <w:color w:val="000000"/>
          <w:sz w:val="20"/>
        </w:rPr>
      </w:pPr>
      <w:r>
        <w:rPr>
          <w:rFonts w:ascii="Times New Roman" w:hAnsi="Times New Roman"/>
          <w:color w:val="000000"/>
          <w:sz w:val="20"/>
        </w:rPr>
        <w:t>S-16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persons deemed to sell our common stock or pre-funded warrants under the constructive sale provisions of the Code;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persons that hold our common stock or pre-funded warrants as part of a straddle, hedge, conversion transaction, synthetic security or other integrated investment;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persons who hold or receive our common stock or pre-funded warrants pursuant to the exercise of any employee stock option or otherwise as compensation; and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persons who have elected to mark securities to market;</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 xml:space="preserve">U.S. expatriates. </w:t>
      </w:r>
    </w:p>
    <w:p>
      <w:pPr>
        <w:pStyle w:val="TextBody"/>
        <w:bidi w:val="0"/>
        <w:spacing w:before="200" w:after="283"/>
        <w:jc w:val="left"/>
        <w:rPr>
          <w:rFonts w:ascii="Arial" w:hAnsi="Arial"/>
          <w:color w:val="000000"/>
          <w:sz w:val="20"/>
        </w:rPr>
      </w:pPr>
      <w:r>
        <w:rPr>
          <w:rFonts w:ascii="Arial" w:hAnsi="Arial"/>
          <w:color w:val="000000"/>
          <w:sz w:val="20"/>
        </w:rPr>
        <w:t>This discussion is for general information only and is not tax advice. Accordingly, all prospective non-U.S. holders of our common stock or pre-funded warrants should consult their tax advisors with respect to the U.S. federal, state, local and non-U.S. tax consequences of the purchase, ownership and disposition of our common stock or pre-funded warrants.</w:t>
      </w:r>
    </w:p>
    <w:p>
      <w:pPr>
        <w:pStyle w:val="TextBody"/>
        <w:bidi w:val="0"/>
        <w:spacing w:before="200" w:after="283"/>
        <w:jc w:val="left"/>
        <w:rPr>
          <w:rFonts w:ascii="Arial" w:hAnsi="Arial"/>
          <w:b/>
          <w:color w:val="000000"/>
          <w:sz w:val="20"/>
        </w:rPr>
      </w:pPr>
      <w:r>
        <w:rPr>
          <w:rFonts w:ascii="Arial" w:hAnsi="Arial"/>
          <w:b/>
          <w:color w:val="000000"/>
          <w:sz w:val="20"/>
        </w:rPr>
        <w:t>Treatment of Pre-Funded Warrants</w:t>
      </w:r>
    </w:p>
    <w:p>
      <w:pPr>
        <w:pStyle w:val="TextBody"/>
        <w:bidi w:val="0"/>
        <w:spacing w:before="80" w:after="283"/>
        <w:jc w:val="left"/>
        <w:rPr>
          <w:rFonts w:ascii="Arial" w:hAnsi="Arial"/>
          <w:color w:val="000000"/>
          <w:sz w:val="20"/>
        </w:rPr>
      </w:pPr>
      <w:r>
        <w:rPr>
          <w:rFonts w:ascii="Arial" w:hAnsi="Arial"/>
          <w:color w:val="000000"/>
          <w:sz w:val="20"/>
        </w:rPr>
        <w:t>Although it is not entirely free from doubt, we believe a pre-funded warrant should be treated as a share of our common stock for U.S. federal income tax purposes and a holder of pre-funded warrants should generally be taxed in the same manner as a holder of common stock as described below. Accordingly, for U.S. federal income tax purposes, no gain or loss should be recognized upon the exercise of a pre-funded warrant,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$0.0001 per share. Each holder should consult his, her or its own tax advisor regarding the risks associated with the acquisition of a pre-funded warrant pursuant to this offering (including potential alternative characterizations). The balance of this discussion generally assumes that the characterization described above is respected for U.S. federal income tax purposes, and the discussion below, to the extent it pertains to our common stock, is generally intended to also pertain to the pre-funded warrants.</w:t>
      </w:r>
    </w:p>
    <w:p>
      <w:pPr>
        <w:pStyle w:val="TextBody"/>
        <w:bidi w:val="0"/>
        <w:spacing w:before="200" w:after="283"/>
        <w:jc w:val="left"/>
        <w:rPr>
          <w:rFonts w:ascii="Arial" w:hAnsi="Arial"/>
          <w:b/>
          <w:color w:val="000000"/>
          <w:sz w:val="20"/>
        </w:rPr>
      </w:pPr>
      <w:r>
        <w:rPr>
          <w:rFonts w:ascii="Arial" w:hAnsi="Arial"/>
          <w:b/>
          <w:color w:val="000000"/>
          <w:sz w:val="20"/>
        </w:rPr>
        <w:t>Distributions on the Shares or the Warrant Shares</w:t>
      </w:r>
    </w:p>
    <w:p>
      <w:pPr>
        <w:pStyle w:val="TextBody"/>
        <w:bidi w:val="0"/>
        <w:spacing w:before="80" w:after="283"/>
        <w:jc w:val="left"/>
        <w:rPr>
          <w:rFonts w:ascii="Arial" w:hAnsi="Arial"/>
          <w:color w:val="000000"/>
          <w:sz w:val="20"/>
        </w:rPr>
      </w:pPr>
      <w:r>
        <w:rPr>
          <w:rFonts w:ascii="Arial" w:hAnsi="Arial"/>
          <w:color w:val="000000"/>
          <w:sz w:val="20"/>
        </w:rPr>
        <w:t xml:space="preserve">We do not anticipate declaring or paying any future distributions. However, if we do make distributions on the Shares or the warrant shares, such distributions will constitute dividends to the extent paid from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long-term capital gains rates, provided certain holding period and other requirements are satisfied. If a distribution exceeds our current and accumulated earnings and profits, the excess will be treated as a tax-free return of the U.S. holder’s investment, up to such U.S. holder’s adjusted tax basis in the Shares or the warrant shares, as applicable. Any remaining excess will be treated as capital gain from the sale or exchange of such Shares or warrant shares, subject to the tax treatment described in “-Sale or Other Taxable Disposition of the Shares, Pre-Funded Warrants or Warrant Shares.” </w:t>
      </w:r>
    </w:p>
    <w:p>
      <w:pPr>
        <w:pStyle w:val="TextBody"/>
        <w:bidi w:val="0"/>
        <w:spacing w:before="200" w:after="283"/>
        <w:jc w:val="left"/>
        <w:rPr>
          <w:rFonts w:ascii="Arial" w:hAnsi="Arial"/>
          <w:sz w:val="20"/>
        </w:rPr>
      </w:pPr>
      <w:r>
        <w:rPr>
          <w:rFonts w:ascii="Arial" w:hAnsi="Arial"/>
          <w:b/>
          <w:i/>
          <w:color w:val="000000"/>
          <w:sz w:val="20"/>
        </w:rPr>
        <w:t>Sale or Other Taxable Disposition of the Shares, Pre-Funded Warrants or Warrant Shares</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Upon the sale, exchange or other taxable disposition of the Shares, pre-funded warrants (other than by exercise) or warrant shares, a U.S. holder will generally recognize capital gain or loss equal to the difference between the amount of cash and the fair market value of any property received upon the sale, exchange or other taxable disposition and such U.S. holder’s adjusted tax basis in the Shares, pre-funded warrants or warrant shares. This capital gain or loss will be long-term capital gain or loss if the U.S. holder’s holding period in such Shares, pre-funded warrants or warrant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200" w:after="283"/>
        <w:jc w:val="left"/>
        <w:rPr>
          <w:rFonts w:ascii="Arial" w:hAnsi="Arial"/>
          <w:sz w:val="20"/>
        </w:rPr>
      </w:pPr>
      <w:r>
        <w:rPr>
          <w:rFonts w:ascii="Arial" w:hAnsi="Arial"/>
          <w:b/>
          <w:i/>
          <w:color w:val="000000"/>
          <w:sz w:val="20"/>
        </w:rPr>
        <w:t>Lapse of Pre-Funded Warrants</w:t>
      </w:r>
      <w:r>
        <w:rPr>
          <w:rFonts w:ascii="Arial" w:hAnsi="Arial"/>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S-17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Arial" w:hAnsi="Arial"/>
          <w:color w:val="000000"/>
          <w:sz w:val="20"/>
        </w:rPr>
      </w:pPr>
      <w:r>
        <w:rPr>
          <w:rFonts w:ascii="Arial" w:hAnsi="Arial"/>
          <w:color w:val="000000"/>
          <w:sz w:val="20"/>
        </w:rPr>
        <w:t xml:space="preserve">Upon the lapse or expiration of a pre-funded warrant, a U.S. holder will recognize a loss in an amount equal to such U.S. holder’s tax basis in the pre-funded warrant. Any such loss generally will be a capital loss and will be long-term capital loss if the pre-funded warrant is held for more than one year. Deductions for capital losses are subject to limitations. </w:t>
      </w:r>
    </w:p>
    <w:p>
      <w:pPr>
        <w:pStyle w:val="TextBody"/>
        <w:bidi w:val="0"/>
        <w:spacing w:before="200" w:after="283"/>
        <w:jc w:val="left"/>
        <w:rPr>
          <w:rFonts w:ascii="Arial" w:hAnsi="Arial"/>
          <w:sz w:val="20"/>
        </w:rPr>
      </w:pPr>
      <w:r>
        <w:rPr>
          <w:rFonts w:ascii="Arial" w:hAnsi="Arial"/>
          <w:b/>
          <w:i/>
          <w:color w:val="000000"/>
          <w:sz w:val="20"/>
        </w:rPr>
        <w:t>Certain Adjustments to the Pre-Funded Warrants</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The terms of each pre-funded warrant provide for an adjustment to the number of warrant shares for which the pre-funded warrant may be exercised and/or to the exercise price of the pre-funded warrant in certain events. An adjustment to the exercise price of a pre-funded warrant may be treated as a constructive distribution to a U.S. holder of the pre-funded warrants depending on the circumstances of such adjustment if, and to the extent that, such adjustment has the effect of increasing such U.S. holder’s proportionate interest in our “earnings and profits” or assets, depending on the circumstances of such adjustment. In addition, the failure to provide for such an adjustment (or to adequately adjust) may also result in a deemed distribution to U.S. holders of the pre-funded warrants or Shares. Any such constructive distribution may be taxable whether or not there is an actual distribution of cash or other property. However, adjustments to the exercise price of pre-funded warrants made pursuant to a bona fide reasonable adjustment formula that has the effect of preventing dilution of the interest of the holders thereof generally should not be considered to result in a constructive distribution. Generally, such deemed distributions will be taxable in the same manner as an actual distribution as described in “—Distributions on the Shares or the Warrant Shares,” except that it is unclear whether such deemed distributions would be eligible for the reduced tax rate applicable to certain dividends paid to non-corporate holders or the dividend-received deduction applicable to certain dividends paid to corporate holders. Generally, a U.S. holder’s tax basis in the underlying stock will be increased to the extent any such constructive distribution is treated as a dividend. Proposed U.S. Treasury Regulations address the amount of, timing of, and withholding obligations in respect to, constructive distributions made to holders of convertible securities such as the pre-funded warrants. These proposed regulations are effective for constructive distributions made on or after the date of finalization, but may generally be relied upon as to certain matters for constructive distributions that occur prior to such date. U.S. holders should consult their own tax advisors regarding the application of such regulations and other tax considerations relating to the possibility of constructive distributions. </w:t>
      </w:r>
    </w:p>
    <w:p>
      <w:pPr>
        <w:pStyle w:val="TextBody"/>
        <w:bidi w:val="0"/>
        <w:spacing w:before="200" w:after="283"/>
        <w:jc w:val="left"/>
        <w:rPr>
          <w:rFonts w:ascii="Arial" w:hAnsi="Arial"/>
          <w:color w:val="000000"/>
          <w:sz w:val="20"/>
        </w:rPr>
      </w:pPr>
      <w:r>
        <w:rPr>
          <w:rFonts w:ascii="Arial" w:hAnsi="Arial"/>
          <w:color w:val="000000"/>
          <w:sz w:val="20"/>
        </w:rPr>
        <w:t xml:space="preserve">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 If we or the applicable withholding agent are unable to determine, at a time reasonably close to the date of payment of a distribution on our common stock, what portion, if any, of the distribution will constitute a dividend, then we or the applicable withholding agent may withhold U.S. federal income tax on the basis of assuming that the full amount of the distribution will be a dividend. If we or another withholding agent apply over-withholding, a non-U.S. holder may be entitled to a refund or credit of any excess tax withheld by timely filing an appropriate claim with the IRS. </w:t>
      </w:r>
    </w:p>
    <w:p>
      <w:pPr>
        <w:pStyle w:val="TextBody"/>
        <w:bidi w:val="0"/>
        <w:spacing w:before="200" w:after="283"/>
        <w:jc w:val="left"/>
        <w:rPr>
          <w:rFonts w:ascii="Arial" w:hAnsi="Arial"/>
          <w:color w:val="000000"/>
          <w:sz w:val="20"/>
        </w:rPr>
      </w:pPr>
      <w:r>
        <w:rPr>
          <w:rFonts w:ascii="Arial" w:hAnsi="Arial"/>
          <w:color w:val="000000"/>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net of specified deductions and credits, is taxed at the same graduated U.S. federal income tax rates applicable to United States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 </w:t>
      </w:r>
    </w:p>
    <w:p>
      <w:pPr>
        <w:pStyle w:val="TextBody"/>
        <w:bidi w:val="0"/>
        <w:jc w:val="center"/>
        <w:rPr>
          <w:rFonts w:ascii="Times New Roman" w:hAnsi="Times New Roman"/>
          <w:color w:val="000000"/>
          <w:sz w:val="20"/>
        </w:rPr>
      </w:pPr>
      <w:r>
        <w:rPr>
          <w:rFonts w:ascii="Times New Roman" w:hAnsi="Times New Roman"/>
          <w:color w:val="000000"/>
          <w:sz w:val="20"/>
        </w:rPr>
        <w:t>S-18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 xml:space="preserve">A non-U.S. holder of our common stock who claims the benefit of an applicable income tax treaty between the United States and such holder’s country of residence generally will be required to provide a properly executed IRS Form W-8BEN or W-8BEN-E (or applicable successor form) to the applicable withholding agent and satisfy applicable certification and other requirements. Non-U.S. holders are urged to consult their own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 </w:t>
      </w:r>
    </w:p>
    <w:p>
      <w:pPr>
        <w:pStyle w:val="TextBody"/>
        <w:bidi w:val="0"/>
        <w:spacing w:before="200" w:after="283"/>
        <w:jc w:val="left"/>
        <w:rPr>
          <w:rFonts w:ascii="Arial" w:hAnsi="Arial"/>
          <w:sz w:val="20"/>
        </w:rPr>
      </w:pPr>
      <w:r>
        <w:rPr>
          <w:rFonts w:ascii="Arial" w:hAnsi="Arial"/>
          <w:b/>
          <w:color w:val="000000"/>
          <w:sz w:val="20"/>
        </w:rPr>
        <w:t>Gain on Sale, Exchange or Other Taxable Disposition of Our Common Stock</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Subject to the discussions below under “Backup Withholding and Information Reporting” and “FATCA,” a non-U.S. holder generally will not be subject to any U.S. federal income or withholding tax on any gain realized upon such holder’s sale, exchange or other taxable disposition of shares of our common stock unless: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gain is effectively connected with the non-U.S. holder’s conduct of a U.S. trade or business and, if an applicable income tax treaty so provides, the gain is attributable to a permanent establishment or a fixed base maintained by such non-U.S. holder in the United States, in which case the non-U.S. holder generally will be taxed on a net income basis at the graduated U.S. federal income tax rates applicable to United States persons (as defined in the Code) with respect to the gain and, if the non-U.S. holder is a foreign corporation, an additional branch profits tax described above in “-Distributions on Our Common Stock” also may apply with respect to such effectively connected gain, as adjusted for certain items;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we are, or have been, at any time during the five-year period preceding such sale, exchange or other taxable disposition (or the non-U.S. holder’s holding period, if shorter) a “United States real property holding corporation,” as defined in the Code and applicable Treasury Regulations, unless our common stock is “regularly traded,” as defined by applicable U.S. Treasury Regulations,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If we are or were a “United States real property holding corporation” during the relevant period and the foregoing 5% exception does not apply, the non-U.S. holder generally will be taxed on its net gain derived from the disposition at the graduated U.S. federal income tax rates applicable to United States persons (as defined in the Code). Generally, a corporation is a U.S. real property holding corporation only if the fair market value of its “United States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“United States real property holding corporation,” or that we are likely to become one in the future. No assurance can be provided that our common stock will be regularly traded on an established securities market for purposes of the rules described above.</w:t>
      </w:r>
    </w:p>
    <w:p>
      <w:pPr>
        <w:pStyle w:val="TextBody"/>
        <w:bidi w:val="0"/>
        <w:spacing w:before="200" w:after="283"/>
        <w:jc w:val="left"/>
        <w:rPr>
          <w:rFonts w:ascii="Arial" w:hAnsi="Arial"/>
          <w:sz w:val="20"/>
        </w:rPr>
      </w:pPr>
      <w:r>
        <w:rPr>
          <w:rFonts w:ascii="Arial" w:hAnsi="Arial"/>
          <w:b/>
          <w:color w:val="000000"/>
          <w:sz w:val="20"/>
        </w:rPr>
        <w:t>Backup Withholding and Information Reporting</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We, or any other applicable withholding agent, must report annually to the IRS and to each non-U.S. holder the gross amount of the distributions on our common stock paid to such holder and the tax withheld, if any, with respect to such distributions, regardless of whether any tax was actually withheld. Non-U.S. holders may have to comply with specific certification procedures, such as the provision of a </w:t>
      </w:r>
    </w:p>
    <w:p>
      <w:pPr>
        <w:pStyle w:val="TextBody"/>
        <w:bidi w:val="0"/>
        <w:jc w:val="center"/>
        <w:rPr>
          <w:rFonts w:ascii="Times New Roman" w:hAnsi="Times New Roman"/>
          <w:color w:val="000000"/>
          <w:sz w:val="20"/>
        </w:rPr>
      </w:pPr>
      <w:r>
        <w:rPr>
          <w:rFonts w:ascii="Times New Roman" w:hAnsi="Times New Roman"/>
          <w:color w:val="000000"/>
          <w:sz w:val="20"/>
        </w:rPr>
        <w:t>S-19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Arial" w:hAnsi="Arial"/>
          <w:color w:val="000000"/>
          <w:sz w:val="20"/>
        </w:rPr>
      </w:pPr>
      <w:r>
        <w:rPr>
          <w:rFonts w:ascii="Arial" w:hAnsi="Arial"/>
          <w:color w:val="000000"/>
          <w:sz w:val="20"/>
        </w:rPr>
        <w:t xml:space="preserve">valid IRS Form W-8BEN, W-8BEN-E or W-8ECI (or other applicable Form W-8), to establish that the holder is not a United States person (as defined in the Code), or otherwise establish an exemption,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 </w:t>
      </w:r>
    </w:p>
    <w:p>
      <w:pPr>
        <w:pStyle w:val="TextBody"/>
        <w:bidi w:val="0"/>
        <w:spacing w:before="80" w:after="283"/>
        <w:jc w:val="left"/>
        <w:rPr>
          <w:rFonts w:ascii="Arial" w:hAnsi="Arial"/>
          <w:color w:val="000000"/>
          <w:sz w:val="20"/>
        </w:rPr>
      </w:pPr>
      <w:r>
        <w:rPr>
          <w:rFonts w:ascii="Arial" w:hAnsi="Arial"/>
          <w:color w:val="000000"/>
          <w:sz w:val="20"/>
        </w:rPr>
        <w:t xml:space="preserve">Information reporting and backup withholding will generally apply to the proceeds of a disposition of our common stock by a non-U.S. holder effected by or through the U.S. office of any broker, U.S. or foreign, </w:t>
      </w:r>
    </w:p>
    <w:p>
      <w:pPr>
        <w:pStyle w:val="TextBody"/>
        <w:bidi w:val="0"/>
        <w:spacing w:before="80" w:after="283"/>
        <w:jc w:val="left"/>
        <w:rPr>
          <w:rFonts w:ascii="Arial" w:hAnsi="Arial"/>
          <w:color w:val="000000"/>
          <w:sz w:val="20"/>
        </w:rPr>
      </w:pPr>
      <w:r>
        <w:rPr>
          <w:rFonts w:ascii="Arial" w:hAnsi="Arial"/>
          <w:color w:val="000000"/>
          <w:sz w:val="20"/>
        </w:rPr>
        <w:t xml:space="preserve">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 Backup withholding is not an additional tax. Any amounts withheld under the backup withholding rules from a payment to a non-U.S. holder may be refunded or credited against the non-U.S. holder’s U.S. federal income tax liability, if any, provided that an appropriate claim is filed with the IRS in a timely manner. </w:t>
      </w:r>
    </w:p>
    <w:p>
      <w:pPr>
        <w:pStyle w:val="TextBody"/>
        <w:bidi w:val="0"/>
        <w:spacing w:before="200" w:after="283"/>
        <w:jc w:val="left"/>
        <w:rPr>
          <w:rFonts w:ascii="Arial" w:hAnsi="Arial"/>
          <w:sz w:val="20"/>
        </w:rPr>
      </w:pPr>
      <w:r>
        <w:rPr>
          <w:rFonts w:ascii="Arial" w:hAnsi="Arial"/>
          <w:b/>
          <w:color w:val="000000"/>
          <w:sz w:val="20"/>
        </w:rPr>
        <w:t>FATCA</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The Foreign Account Tax Compliance Act (FATCA) generally imposes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 </w:t>
      </w:r>
    </w:p>
    <w:p>
      <w:pPr>
        <w:pStyle w:val="TextBody"/>
        <w:bidi w:val="0"/>
        <w:jc w:val="center"/>
        <w:rPr>
          <w:rFonts w:ascii="Times New Roman" w:hAnsi="Times New Roman"/>
          <w:color w:val="000000"/>
          <w:sz w:val="20"/>
        </w:rPr>
      </w:pPr>
      <w:r>
        <w:rPr>
          <w:rFonts w:ascii="Times New Roman" w:hAnsi="Times New Roman"/>
          <w:color w:val="000000"/>
          <w:sz w:val="20"/>
        </w:rPr>
        <w:t>S-20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12" w:name="supp77383_10"/>
      <w:bookmarkEnd w:id="12"/>
      <w:r>
        <w:rPr>
          <w:rFonts w:ascii="Arial" w:hAnsi="Arial"/>
          <w:b/>
          <w:color w:val="000000"/>
          <w:sz w:val="20"/>
        </w:rPr>
        <w:t>Description Of Pre-Funded Warrants</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 xml:space="preserve">The following is a brief summary of certain terms and conditions of the pre-funded warrants being offered by this prospectus supplement. The following description is subject in all respects to the provisions contained in the pre-funded warrants. </w:t>
      </w:r>
    </w:p>
    <w:p>
      <w:pPr>
        <w:pStyle w:val="TextBody"/>
        <w:bidi w:val="0"/>
        <w:spacing w:before="120" w:after="283"/>
        <w:jc w:val="left"/>
        <w:rPr>
          <w:rFonts w:ascii="Arial" w:hAnsi="Arial"/>
          <w:sz w:val="20"/>
        </w:rPr>
      </w:pPr>
      <w:r>
        <w:rPr>
          <w:rFonts w:ascii="Arial" w:hAnsi="Arial"/>
          <w:b/>
          <w:color w:val="000000"/>
          <w:sz w:val="20"/>
        </w:rPr>
        <w:t>Form</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The pre-funded warrants will be issued as individual warrant agreements to the investors. The form of pre-funded warrant will be filed as an exhibit to our Current Report on Form 8-K that we expect to file with the SEC in connection with this offering. </w:t>
      </w:r>
    </w:p>
    <w:p>
      <w:pPr>
        <w:pStyle w:val="TextBody"/>
        <w:bidi w:val="0"/>
        <w:spacing w:before="200" w:after="283"/>
        <w:jc w:val="left"/>
        <w:rPr>
          <w:rFonts w:ascii="Arial" w:hAnsi="Arial"/>
          <w:sz w:val="20"/>
        </w:rPr>
      </w:pPr>
      <w:r>
        <w:rPr>
          <w:rFonts w:ascii="Arial" w:hAnsi="Arial"/>
          <w:b/>
          <w:color w:val="000000"/>
          <w:sz w:val="20"/>
        </w:rPr>
        <w:t>Term</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The pre-funded warrants will not expire. </w:t>
      </w:r>
    </w:p>
    <w:p>
      <w:pPr>
        <w:pStyle w:val="TextBody"/>
        <w:bidi w:val="0"/>
        <w:spacing w:before="200" w:after="283"/>
        <w:jc w:val="left"/>
        <w:rPr>
          <w:rFonts w:ascii="Arial" w:hAnsi="Arial"/>
          <w:sz w:val="20"/>
        </w:rPr>
      </w:pPr>
      <w:r>
        <w:rPr>
          <w:rFonts w:ascii="Arial" w:hAnsi="Arial"/>
          <w:b/>
          <w:color w:val="000000"/>
          <w:sz w:val="20"/>
        </w:rPr>
        <w:t>Exercisability</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The pre-funded warrants are exercisable at any time between their original issuance and their expiration. The pre-funded warrants will be exercisable, at the option of each holder, in whole or in part by delivering to us a duly executed exercise notice solely by means of a cashless exercise, in which the holder would receive upon such exercise the net number of shares of our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last trade price of our common stock on the exercise date. </w:t>
      </w:r>
    </w:p>
    <w:p>
      <w:pPr>
        <w:pStyle w:val="TextBody"/>
        <w:bidi w:val="0"/>
        <w:spacing w:before="200" w:after="283"/>
        <w:jc w:val="left"/>
        <w:rPr>
          <w:rFonts w:ascii="Arial" w:hAnsi="Arial"/>
          <w:sz w:val="20"/>
        </w:rPr>
      </w:pPr>
      <w:r>
        <w:rPr>
          <w:rFonts w:ascii="Arial" w:hAnsi="Arial"/>
          <w:b/>
          <w:color w:val="000000"/>
          <w:sz w:val="20"/>
        </w:rPr>
        <w:t>Exercise limitations</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Under the pre-funded warrants, we may not effect the exercise of any pre-funded warrant, and a holder will not be entitled to exercise any portion of any pre-funded warrant, (i) if immediately prior to exercise the holder (together with its affiliates) beneficially owns an aggregate number of shares of our common stock greater than 4.99% or 9.99%, as applicable, of the number of shares of our common stock outstanding immediately before giving effect to the exercise of any pre-funded warrant or (ii) to the extent that immediately following exercise, the holder (together with its affiliates) would beneficially own in excess of 4.99% or 9.99%, as applicable, of the number of shares of common stock outstanding immediately after giving effect to the issuance of such shares of common stock, and without taking account any other pre-funded warrants. However, any holder may increase or decrease such percentage to any other percentage not in excess of 19.99% upon at least 61 days’ prior notice from the holder to us. </w:t>
      </w:r>
    </w:p>
    <w:p>
      <w:pPr>
        <w:pStyle w:val="TextBody"/>
        <w:bidi w:val="0"/>
        <w:spacing w:before="200" w:after="283"/>
        <w:jc w:val="left"/>
        <w:rPr>
          <w:rFonts w:ascii="Arial" w:hAnsi="Arial"/>
          <w:sz w:val="20"/>
        </w:rPr>
      </w:pPr>
      <w:r>
        <w:rPr>
          <w:rFonts w:ascii="Arial" w:hAnsi="Arial"/>
          <w:b/>
          <w:color w:val="000000"/>
          <w:sz w:val="20"/>
        </w:rPr>
        <w:t>Exercise price</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The exercise price will not be adjusted below the par value of our common stock. </w:t>
      </w:r>
    </w:p>
    <w:p>
      <w:pPr>
        <w:pStyle w:val="TextBody"/>
        <w:bidi w:val="0"/>
        <w:spacing w:before="200" w:after="283"/>
        <w:jc w:val="left"/>
        <w:rPr>
          <w:rFonts w:ascii="Arial" w:hAnsi="Arial"/>
          <w:sz w:val="20"/>
        </w:rPr>
      </w:pPr>
      <w:r>
        <w:rPr>
          <w:rFonts w:ascii="Arial" w:hAnsi="Arial"/>
          <w:b/>
          <w:color w:val="000000"/>
          <w:sz w:val="20"/>
        </w:rPr>
        <w:t>Transferability</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Subject to applicable laws, the pre-funded warrants may be offered for sale, sold, transferred or assigned without our consent. The pre-funded warrants will be held in definitive form by the purchasers. The ownership of the pre-funded warrants and any transfers of the pre-funded warrants will be registered in a warrant register maintained by us or our transfer agent. </w:t>
      </w:r>
    </w:p>
    <w:p>
      <w:pPr>
        <w:pStyle w:val="TextBody"/>
        <w:bidi w:val="0"/>
        <w:spacing w:before="200" w:after="283"/>
        <w:jc w:val="left"/>
        <w:rPr>
          <w:rFonts w:ascii="Arial" w:hAnsi="Arial"/>
          <w:sz w:val="20"/>
        </w:rPr>
      </w:pPr>
      <w:r>
        <w:rPr>
          <w:rFonts w:ascii="Arial" w:hAnsi="Arial"/>
          <w:b/>
          <w:color w:val="000000"/>
          <w:sz w:val="20"/>
        </w:rPr>
        <w:t>Exchange listing</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We do not plan on applying to list the pre-funded warrants on The Nasdaq Global Select Market, any other national securities exchange or any other nationally recognized trading system. </w:t>
      </w:r>
    </w:p>
    <w:p>
      <w:pPr>
        <w:pStyle w:val="TextBody"/>
        <w:bidi w:val="0"/>
        <w:jc w:val="center"/>
        <w:rPr>
          <w:rFonts w:ascii="Times New Roman" w:hAnsi="Times New Roman"/>
          <w:color w:val="000000"/>
          <w:sz w:val="20"/>
        </w:rPr>
      </w:pPr>
      <w:r>
        <w:rPr>
          <w:rFonts w:ascii="Times New Roman" w:hAnsi="Times New Roman"/>
          <w:color w:val="000000"/>
          <w:sz w:val="20"/>
        </w:rPr>
        <w:t>S-21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sz w:val="20"/>
        </w:rPr>
      </w:pPr>
      <w:r>
        <w:rPr>
          <w:rFonts w:ascii="Arial" w:hAnsi="Arial"/>
          <w:b/>
          <w:color w:val="000000"/>
          <w:sz w:val="20"/>
        </w:rPr>
        <w:t>Warrant agent</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will initially serve as the warrant agent under the pre-funded warrants.</w:t>
      </w:r>
    </w:p>
    <w:p>
      <w:pPr>
        <w:pStyle w:val="TextBody"/>
        <w:bidi w:val="0"/>
        <w:spacing w:before="200" w:after="283"/>
        <w:jc w:val="left"/>
        <w:rPr>
          <w:rFonts w:ascii="Arial" w:hAnsi="Arial"/>
          <w:sz w:val="20"/>
        </w:rPr>
      </w:pPr>
      <w:r>
        <w:rPr>
          <w:rFonts w:ascii="Arial" w:hAnsi="Arial"/>
          <w:b/>
          <w:color w:val="000000"/>
          <w:sz w:val="20"/>
        </w:rPr>
        <w:t>Fundamental transactions</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Upon the consummation of a fundamental transaction (as described in the pre-funded warrants, and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same kind and amount of securities, cash or other property that such holders would have received had they exercised the pre-funded warrants immediately prior to such fundamental transaction, without regard to any limitations on exercise contained in the pre-funded warrants. Notwithstanding the foregoing, in the event of a fundamental transaction where the consideration consists solely of cash, solely of marketable securities or a combination of cash and marketable securities, then each pre-funded warrant shall automatically be deemed to be exercised in full in a cashless exercise effective immediately prior to and contingent upon the consummation of such fundamental transaction. </w:t>
      </w:r>
    </w:p>
    <w:p>
      <w:pPr>
        <w:pStyle w:val="TextBody"/>
        <w:bidi w:val="0"/>
        <w:spacing w:before="200" w:after="283"/>
        <w:jc w:val="left"/>
        <w:rPr>
          <w:rFonts w:ascii="Arial" w:hAnsi="Arial"/>
          <w:sz w:val="20"/>
        </w:rPr>
      </w:pPr>
      <w:r>
        <w:rPr>
          <w:rFonts w:ascii="Arial" w:hAnsi="Arial"/>
          <w:b/>
          <w:color w:val="000000"/>
          <w:sz w:val="20"/>
        </w:rPr>
        <w:t>No rights as a stockholder</w:t>
      </w:r>
      <w:r>
        <w:rPr>
          <w:rFonts w:ascii="Arial" w:hAnsi="Arial"/>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 xml:space="preserve">Except by virtue of such holder’s ownership of shares of our common stock, the holder of a pre-funded warrant does not have the rights or privileges of a holder of our common stock, including any voting rights, until such holder exercises the pre-funded warrant. Additionally, a holder is generally not entitled to receive distributions paid with respect to common stock prior to the exercise of the pre-funded warrant, and instead such distributions are expected to be held in abeyance for the holder until such pre-funded warrant is exercised or the ownership limitations would not be exceeded, at which time such holder shall be entitled to receive such distributions. </w:t>
      </w:r>
    </w:p>
    <w:p>
      <w:pPr>
        <w:pStyle w:val="TextBody"/>
        <w:bidi w:val="0"/>
        <w:jc w:val="center"/>
        <w:rPr>
          <w:rFonts w:ascii="Times New Roman" w:hAnsi="Times New Roman"/>
          <w:color w:val="000000"/>
          <w:sz w:val="20"/>
        </w:rPr>
      </w:pPr>
      <w:r>
        <w:rPr>
          <w:rFonts w:ascii="Times New Roman" w:hAnsi="Times New Roman"/>
          <w:color w:val="000000"/>
          <w:sz w:val="20"/>
        </w:rPr>
        <w:t>S-22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13" w:name="supp77383_11"/>
      <w:bookmarkEnd w:id="13"/>
      <w:r>
        <w:rPr>
          <w:rFonts w:ascii="Arial" w:hAnsi="Arial"/>
          <w:b/>
          <w:color w:val="000000"/>
          <w:sz w:val="20"/>
        </w:rPr>
        <w:t>Underwriting</w:t>
      </w:r>
      <w:r>
        <w:rPr>
          <w:rFonts w:ascii="Arial" w:hAnsi="Arial"/>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Konik is acting as the sole underwriter for the offering. We have entered into an underwriting agreement, dated , 2026, with Konik (the "Underwriting Agreement"). Subject to the terms and conditions of the Underwriting Agreement, we have agreed to sell to the underwriter named below and the underwriter named below has agreed to purchase, at the public offering price less the underwriting discounts and commissions set forth on the cover page of this prospectus, the following number of shares of our common stock and pre-funded warrants.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86"/>
        <w:gridCol w:w="146"/>
        <w:gridCol w:w="2405"/>
        <w:gridCol w:w="2768"/>
      </w:tblGrid>
      <w:tr>
        <w:trPr/>
        <w:tc>
          <w:tcPr>
            <w:tcW w:w="4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4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Underwriter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Pre-funded Warrants</w:t>
            </w:r>
          </w:p>
        </w:tc>
        <w:tc>
          <w:tcPr>
            <w:tcW w:w="2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 of Common Stock</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Konik Capital Partners, LLC, </w:t>
            </w:r>
            <w:r>
              <w:rPr>
                <w:rFonts w:ascii="Arial" w:hAnsi="Arial"/>
                <w:i/>
                <w:color w:val="000000"/>
                <w:sz w:val="20"/>
              </w:rPr>
              <w:t>a division of T.R. Winston &amp;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80" w:after="283"/>
        <w:jc w:val="left"/>
        <w:rPr>
          <w:rFonts w:ascii="Arial" w:hAnsi="Arial"/>
          <w:color w:val="000000"/>
          <w:sz w:val="20"/>
        </w:rPr>
      </w:pPr>
      <w:r>
        <w:rPr>
          <w:rFonts w:ascii="Arial" w:hAnsi="Arial"/>
          <w:color w:val="000000"/>
          <w:sz w:val="20"/>
        </w:rPr>
        <w:t>The underwriter is committed to purchasing all the shares of common stock and pre-funded warrants offered by us other than those covered by the option to purchase additional shares described below, if any are purchased. The obligations of the underwriter may be terminated upon the occurrence of certain events specified in the Underwriting Agreement. Furthermore, pursuant to the Underwriting Agreement, the underwriter’s obligations are subject to customary conditions, representations and warranties contained in the Underwriting Agreement, such as receipt by the underwriter of legal opinions, comfort letters and officer’s certificates.</w:t>
      </w:r>
    </w:p>
    <w:p>
      <w:pPr>
        <w:pStyle w:val="TextBody"/>
        <w:bidi w:val="0"/>
        <w:spacing w:before="80" w:after="283"/>
        <w:jc w:val="left"/>
        <w:rPr>
          <w:rFonts w:ascii="Arial" w:hAnsi="Arial"/>
          <w:color w:val="000000"/>
          <w:sz w:val="20"/>
        </w:rPr>
      </w:pPr>
      <w:r>
        <w:rPr>
          <w:rFonts w:ascii="Arial" w:hAnsi="Arial"/>
          <w:color w:val="000000"/>
          <w:sz w:val="20"/>
        </w:rPr>
        <w:t>The underwriter is offering the common stock and pre-funded warrants, subject to prior sale, when, as and if issued to and accepted by them, subject to approval of legal matters by their counsel and other conditions specified in the Underwriting Agreement. The underwriter reserves the right to withdraw, cancel or modify offers to the public and to reject orders in whole or in part.</w:t>
      </w:r>
    </w:p>
    <w:p>
      <w:pPr>
        <w:pStyle w:val="TextBody"/>
        <w:bidi w:val="0"/>
        <w:spacing w:before="80" w:after="283"/>
        <w:jc w:val="left"/>
        <w:rPr>
          <w:rFonts w:ascii="Arial" w:hAnsi="Arial"/>
          <w:color w:val="000000"/>
          <w:sz w:val="20"/>
        </w:rPr>
      </w:pPr>
      <w:r>
        <w:rPr>
          <w:rFonts w:ascii="Arial" w:hAnsi="Arial"/>
          <w:color w:val="000000"/>
          <w:sz w:val="20"/>
        </w:rPr>
        <w:t>The underwriter proposes to offer the common stock and pre-funded warrants offered by us to the public at the applicable public offering price set forth on the cover of this prospectus. In addition, the underwriter may offer some of the common stock and/or pre-funded warrants to other securities dealers at such price less a concession of $ per share of common stock and $ per pre-funded warrant, as applicable. After this offering, the public offering price and concession to dealers may be changed.</w:t>
      </w:r>
    </w:p>
    <w:p>
      <w:pPr>
        <w:pStyle w:val="TextBody"/>
        <w:bidi w:val="0"/>
        <w:spacing w:before="80" w:after="80"/>
        <w:jc w:val="left"/>
        <w:rPr>
          <w:rFonts w:ascii="Arial" w:hAnsi="Arial"/>
          <w:color w:val="000000"/>
          <w:sz w:val="20"/>
        </w:rPr>
      </w:pPr>
      <w:r>
        <w:rPr>
          <w:rFonts w:ascii="Arial" w:hAnsi="Arial"/>
          <w:color w:val="000000"/>
          <w:sz w:val="20"/>
        </w:rPr>
        <w:t>Discounts and Commissions. The following table shows the public offering price, underwriting discount, and proceeds, before expenses, to us. The information assumes either no exercise or full exercise by the underwriter of their over-allotment option.</w:t>
      </w:r>
    </w:p>
    <w:tbl>
      <w:tblPr>
        <w:tblW w:w="10205" w:type="dxa"/>
        <w:jc w:val="left"/>
        <w:tblInd w:w="0" w:type="dxa"/>
        <w:tblLayout w:type="fixed"/>
        <w:tblCellMar>
          <w:top w:w="28" w:type="dxa"/>
          <w:left w:w="28" w:type="dxa"/>
          <w:bottom w:w="28" w:type="dxa"/>
          <w:right w:w="28" w:type="dxa"/>
        </w:tblCellMar>
      </w:tblPr>
      <w:tblGrid>
        <w:gridCol w:w="2859"/>
        <w:gridCol w:w="146"/>
        <w:gridCol w:w="1740"/>
        <w:gridCol w:w="457"/>
        <w:gridCol w:w="318"/>
        <w:gridCol w:w="146"/>
        <w:gridCol w:w="1267"/>
        <w:gridCol w:w="878"/>
        <w:gridCol w:w="146"/>
        <w:gridCol w:w="1176"/>
        <w:gridCol w:w="1072"/>
      </w:tblGrid>
      <w:tr>
        <w:trPr/>
        <w:tc>
          <w:tcPr>
            <w:tcW w:w="2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28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 Pre-Funded Warrant</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Without Over-Allotment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With Full Over-Allotment</w:t>
            </w:r>
          </w:p>
        </w:tc>
      </w:tr>
      <w:tr>
        <w:trPr/>
        <w:tc>
          <w:tcPr>
            <w:tcW w:w="28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Underwriting discount and 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to us, before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80" w:after="283"/>
        <w:jc w:val="left"/>
        <w:rPr>
          <w:rFonts w:ascii="Arial" w:hAnsi="Arial"/>
          <w:color w:val="000000"/>
          <w:sz w:val="20"/>
        </w:rPr>
      </w:pPr>
      <w:r>
        <w:rPr>
          <w:rFonts w:ascii="Arial" w:hAnsi="Arial"/>
          <w:color w:val="000000"/>
          <w:sz w:val="20"/>
        </w:rPr>
        <w:t xml:space="preserve">In addition, we have also agreed to pay certain fees, disbursements and expenses (including but not limited to all representations) in connection with this offering, including, without limitation, our legal and accounting fees and disbursements, the costs of preparing, printing and delivering registration statements, prospectuses, and prospectus supplements and amendments, post-effective amendments and supplements thereto. In particular, we have agreed to pay at each of the closings of this offering (including the offering of shares sold through the exercise of the over-allotment option, if any), to the extent not paid at earlier closings of this offering, all expenses incident to the performance of our obligations under the Underwriting Agreement, including, but not limited to: (a) all filing fees and communication expenses relating to the registration of the shares to be sold in this offering with the SEC; (b) all Financial Industry Regulatory Authority (FINRA) Public Offering Filing System fees associated with the review of this offering by FINRA; all fees and expenses relating to the listing of such shares on The Nasdaq Global Select Market; (c) all fees, expenses and disbursements relating to the registration or qualification of such shares under any foreign jurisdictions as Konik may reasonably designate; (d) the costs of all mailing and printing of the underwriting documents (including, without limitation, the Underwriting Agreement, any Blue Sky Surveys and, if appropriate, any Underwriter's Questionnaire and </w:t>
      </w:r>
    </w:p>
    <w:p>
      <w:pPr>
        <w:pStyle w:val="TextBody"/>
        <w:bidi w:val="0"/>
        <w:jc w:val="center"/>
        <w:rPr>
          <w:rFonts w:ascii="Times New Roman" w:hAnsi="Times New Roman"/>
          <w:color w:val="000000"/>
          <w:sz w:val="20"/>
        </w:rPr>
      </w:pPr>
      <w:r>
        <w:rPr>
          <w:rFonts w:ascii="Times New Roman" w:hAnsi="Times New Roman"/>
          <w:color w:val="000000"/>
          <w:sz w:val="20"/>
        </w:rPr>
        <w:t>S-23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Arial" w:hAnsi="Arial"/>
          <w:color w:val="000000"/>
          <w:sz w:val="20"/>
        </w:rPr>
      </w:pPr>
      <w:r>
        <w:rPr>
          <w:rFonts w:ascii="Arial" w:hAnsi="Arial"/>
          <w:color w:val="000000"/>
          <w:sz w:val="20"/>
        </w:rPr>
        <w:t xml:space="preserve">Power of Attorney), registration statements, prospectuses and all amendments, supplements and exhibits thereto and as many preliminary and final prospectuses and prospectus supplements as Konik may reasonably deem necessary; (e) the costs and expenses of the Company’s public relations firm; (f) the costs of preparing, printing and delivering the shares; (g) fees and expenses of the Transfer Agent for the shares (including, without limitation, any fees required for same-day processing of any instruction letter delivered by the Company); (h) stock transfer and/or stamp taxes, if any, payable upon the transfer of securities from the Company to the underwriter; (i) the fees and expenses of the Company’s accountants; (j) the fees and expenses of the Company’s legal counsel and other agents and representatives; (k) the underwriter’s costs of mailing prospectuses to prospective investors; and (l) up to $150,000 for the fees and expenses of the underwriter’s counsel. </w:t>
      </w:r>
    </w:p>
    <w:p>
      <w:pPr>
        <w:pStyle w:val="TextBody"/>
        <w:bidi w:val="0"/>
        <w:spacing w:before="80" w:after="283"/>
        <w:jc w:val="left"/>
        <w:rPr>
          <w:rFonts w:ascii="Arial" w:hAnsi="Arial"/>
          <w:color w:val="000000"/>
          <w:sz w:val="20"/>
        </w:rPr>
      </w:pPr>
      <w:r>
        <w:rPr>
          <w:rFonts w:ascii="Arial" w:hAnsi="Arial"/>
          <w:color w:val="000000"/>
          <w:sz w:val="20"/>
        </w:rPr>
        <w:t>We estimate that the total expenses of the offering, excluding the underwriting discount and commission referred to above, will be approximately $ .</w:t>
      </w:r>
    </w:p>
    <w:p>
      <w:pPr>
        <w:pStyle w:val="TextBody"/>
        <w:bidi w:val="0"/>
        <w:spacing w:before="200" w:after="283"/>
        <w:jc w:val="left"/>
        <w:rPr>
          <w:rFonts w:ascii="Arial" w:hAnsi="Arial"/>
          <w:b/>
          <w:color w:val="000000"/>
          <w:sz w:val="20"/>
        </w:rPr>
      </w:pPr>
      <w:r>
        <w:rPr>
          <w:rFonts w:ascii="Arial" w:hAnsi="Arial"/>
          <w:b/>
          <w:color w:val="000000"/>
          <w:sz w:val="20"/>
        </w:rPr>
        <w:t>Over-allotment Option</w:t>
      </w:r>
    </w:p>
    <w:p>
      <w:pPr>
        <w:pStyle w:val="TextBody"/>
        <w:bidi w:val="0"/>
        <w:spacing w:before="80" w:after="283"/>
        <w:jc w:val="left"/>
        <w:rPr>
          <w:rFonts w:ascii="Arial" w:hAnsi="Arial"/>
          <w:color w:val="000000"/>
          <w:sz w:val="20"/>
        </w:rPr>
      </w:pPr>
      <w:r>
        <w:rPr>
          <w:rFonts w:ascii="Arial" w:hAnsi="Arial"/>
          <w:color w:val="000000"/>
          <w:sz w:val="20"/>
        </w:rPr>
        <w:t>We have granted the underwriter an over-allotment option. This option, which is exercisable for up to 30 days after the execution of the Underwriting Agreement, permits the underwriter to purchase additional shares of common stock, representing 15% of the common stock and pre-funded warrants sold in the offering, solely to cover over-allotments, if any. If the underwriter exercises all or part of this option, they will purchase shares of common stock covered by the option at the public offering price that appears on the cover page of this prospectus, less the underwriting discount.</w:t>
      </w:r>
    </w:p>
    <w:p>
      <w:pPr>
        <w:pStyle w:val="TextBody"/>
        <w:bidi w:val="0"/>
        <w:spacing w:before="200" w:after="283"/>
        <w:jc w:val="left"/>
        <w:rPr>
          <w:rFonts w:ascii="Arial" w:hAnsi="Arial"/>
          <w:b/>
          <w:color w:val="000000"/>
          <w:sz w:val="20"/>
        </w:rPr>
      </w:pPr>
      <w:r>
        <w:rPr>
          <w:rFonts w:ascii="Arial" w:hAnsi="Arial"/>
          <w:b/>
          <w:color w:val="000000"/>
          <w:sz w:val="20"/>
        </w:rPr>
        <w:t>Lock-Up Agreements</w:t>
      </w:r>
    </w:p>
    <w:p>
      <w:pPr>
        <w:pStyle w:val="TextBody"/>
        <w:bidi w:val="0"/>
        <w:spacing w:before="80" w:after="283"/>
        <w:jc w:val="left"/>
        <w:rPr>
          <w:rFonts w:ascii="Arial" w:hAnsi="Arial"/>
          <w:color w:val="000000"/>
          <w:sz w:val="20"/>
        </w:rPr>
      </w:pPr>
      <w:r>
        <w:rPr>
          <w:rFonts w:ascii="Arial" w:hAnsi="Arial"/>
          <w:color w:val="000000"/>
          <w:sz w:val="20"/>
        </w:rPr>
        <w:t xml:space="preserve">We have agreed that we will not, for a period of sixty (60) days after this offering shall issue, enter into any agreement to issue or announce the issuance or proposed issuance of any shares of common stock or common stock equivalents, subject to limited exceptions. </w:t>
      </w:r>
    </w:p>
    <w:p>
      <w:pPr>
        <w:pStyle w:val="TextBody"/>
        <w:bidi w:val="0"/>
        <w:spacing w:before="80" w:after="283"/>
        <w:jc w:val="left"/>
        <w:rPr>
          <w:rFonts w:ascii="Arial" w:hAnsi="Arial"/>
          <w:color w:val="000000"/>
          <w:sz w:val="20"/>
        </w:rPr>
      </w:pPr>
      <w:r>
        <w:rPr>
          <w:rFonts w:ascii="Arial" w:hAnsi="Arial"/>
          <w:color w:val="000000"/>
          <w:sz w:val="20"/>
        </w:rPr>
        <w:t>In addition, all of our directors and executive officers have agreed that, for a period of sixty (60) days after the date of the offering, subject to certain limited exceptions, not to directly or indirectly, without the prior written consent of Konik, (a) offer, sell, or otherwise transfer or dispose of, directly or indirectly, any shares of capital stock of the Company or any securities convertible into or exercisable or exchangeable for shares of capital stock of the Company.</w:t>
      </w:r>
    </w:p>
    <w:p>
      <w:pPr>
        <w:pStyle w:val="TextBody"/>
        <w:bidi w:val="0"/>
        <w:spacing w:before="80" w:after="283"/>
        <w:jc w:val="left"/>
        <w:rPr>
          <w:rFonts w:ascii="Arial" w:hAnsi="Arial"/>
          <w:color w:val="000000"/>
          <w:sz w:val="20"/>
        </w:rPr>
      </w:pPr>
      <w:r>
        <w:rPr>
          <w:rFonts w:ascii="Arial" w:hAnsi="Arial"/>
          <w:color w:val="000000"/>
          <w:sz w:val="20"/>
        </w:rPr>
        <w:t>Konik, in its sole discretion, may release the common stock and other securities subject to the lock-up agreements described above in whole or in part at any time. When determining whether or not to release common stock and other securities from lock-up agreements, Konik will consider, among other factors, the holder’s reasons for requesting the release, the number of shares of common stock and other securities for which the release is being requested and market conditions at the time.</w:t>
      </w:r>
    </w:p>
    <w:p>
      <w:pPr>
        <w:pStyle w:val="TextBody"/>
        <w:bidi w:val="0"/>
        <w:spacing w:before="200" w:after="283"/>
        <w:jc w:val="left"/>
        <w:rPr>
          <w:rFonts w:ascii="Arial" w:hAnsi="Arial"/>
          <w:b/>
          <w:color w:val="000000"/>
          <w:sz w:val="20"/>
        </w:rPr>
      </w:pPr>
      <w:r>
        <w:rPr>
          <w:rFonts w:ascii="Arial" w:hAnsi="Arial"/>
          <w:b/>
          <w:color w:val="000000"/>
          <w:sz w:val="20"/>
        </w:rPr>
        <w:t>Underwriter’s Warrants</w:t>
      </w:r>
    </w:p>
    <w:p>
      <w:pPr>
        <w:pStyle w:val="TextBody"/>
        <w:bidi w:val="0"/>
        <w:spacing w:before="80" w:after="283"/>
        <w:jc w:val="left"/>
        <w:rPr>
          <w:rFonts w:ascii="Arial" w:hAnsi="Arial"/>
          <w:color w:val="000000"/>
          <w:sz w:val="20"/>
        </w:rPr>
      </w:pPr>
      <w:r>
        <w:rPr>
          <w:rFonts w:ascii="Arial" w:hAnsi="Arial"/>
          <w:color w:val="000000"/>
          <w:sz w:val="20"/>
        </w:rPr>
        <w:t xml:space="preserve">We have agreed to issue to Konik or its designees warrants to purchase up to a total of 7% of the shares of common stock sold in this offering (including the shares sold through the exercise of the over-allotment option). The underwriter’s warrants will be registered as part of this prospectus supplement. Such warrants and underlying shares of common stock are included in this prospectus. The warrants may be exercised as to all, or a lesser number of shares of common stock and will provide for cashless exercise for the underlying shares. The warrants will have anti-dilution terms that are consistent with FINRA Rule 5110(g)(8)(E) and (F). We will bear all fees and expenses attendant to registering the securities issuable on exercise of the warrants other than underwriting commissions incurred and payable by the holders. The exercise price and number of shares issuable upon exercise of the warrants may be adjusted in certain circumstances including in the event of a stock dividend, extraordinary cash dividend or our recapitalization, reorganization, merger or consolidation. However, the warrant exercise price or underlying shares will not be adjusted for issuances of shares of common stock at a price below the warrant exercise price. </w:t>
      </w:r>
    </w:p>
    <w:p>
      <w:pPr>
        <w:pStyle w:val="TextBody"/>
        <w:bidi w:val="0"/>
        <w:spacing w:before="200" w:after="283"/>
        <w:jc w:val="left"/>
        <w:rPr>
          <w:rFonts w:ascii="Arial" w:hAnsi="Arial"/>
          <w:b/>
          <w:color w:val="000000"/>
          <w:sz w:val="20"/>
        </w:rPr>
      </w:pPr>
      <w:r>
        <w:rPr>
          <w:rFonts w:ascii="Arial" w:hAnsi="Arial"/>
          <w:b/>
          <w:color w:val="000000"/>
          <w:sz w:val="20"/>
        </w:rPr>
        <w:t>Stabilization</w:t>
      </w:r>
    </w:p>
    <w:p>
      <w:pPr>
        <w:pStyle w:val="TextBody"/>
        <w:bidi w:val="0"/>
        <w:spacing w:before="80" w:after="283"/>
        <w:jc w:val="left"/>
        <w:rPr>
          <w:rFonts w:ascii="Arial" w:hAnsi="Arial"/>
          <w:color w:val="000000"/>
          <w:sz w:val="20"/>
        </w:rPr>
      </w:pPr>
      <w:r>
        <w:rPr>
          <w:rFonts w:ascii="Arial" w:hAnsi="Arial"/>
          <w:color w:val="000000"/>
          <w:sz w:val="20"/>
        </w:rPr>
        <w:t xml:space="preserve">In accordance with Regulation M under the Exchange Act, the underwriter may engage in activities that stabilize, maintain or otherwise affect the price of our common stock, including short sales and purchases </w:t>
      </w:r>
    </w:p>
    <w:p>
      <w:pPr>
        <w:pStyle w:val="TextBody"/>
        <w:bidi w:val="0"/>
        <w:jc w:val="center"/>
        <w:rPr>
          <w:rFonts w:ascii="Times New Roman" w:hAnsi="Times New Roman"/>
          <w:color w:val="000000"/>
          <w:sz w:val="20"/>
        </w:rPr>
      </w:pPr>
      <w:r>
        <w:rPr>
          <w:rFonts w:ascii="Times New Roman" w:hAnsi="Times New Roman"/>
          <w:color w:val="000000"/>
          <w:sz w:val="20"/>
        </w:rPr>
        <w:t>S-24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Arial" w:hAnsi="Arial"/>
          <w:color w:val="000000"/>
          <w:sz w:val="20"/>
        </w:rPr>
      </w:pPr>
      <w:r>
        <w:rPr>
          <w:rFonts w:ascii="Arial" w:hAnsi="Arial"/>
          <w:color w:val="000000"/>
          <w:sz w:val="20"/>
        </w:rPr>
        <w:t>to cover positions created by short positions, stabilizing transactions, syndicate covering transactions, penalty bids and passive market making.</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Short positions involve sales by the underwriter of shares in excess of the number of shares the underwriter is obligated to purchase, which creates a syndicate short position. The short position may be either a covered short position or a naked short position. In a covered short position, the number of shares involved in the sales made by the underwriter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 may close out any short position by either exercising its option to purchase additional shares or purchasing shares in the open market.</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Stabilizing transactions permit bids to purchase the underlying security as long as the stabilizing bids do not exceed a specific maximum price.</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Syndicate covering transactions involve purchases of our common stock in the open market after the distribution has been completed to cover syndicate short positions. In determining the source of shares to close out the short position, the underwriter will consider, among other things, the price of shares available for purchase in the open market as compared to the price at which they may purchase shares through the underwriter’s option to purchase additional shares. If the underwriter sells more shares than could be covered by the underwriter’s option to purchase additional shares, thereby creating a naked short position, the position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the offering.</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Penalty bids permit the underwriter to reclaim a selling concession from a syndicate member when the common stock originally sold by the syndicate member is purchased in a stabilizing or syndicate covering transaction to cover syndicate short positions.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In passive market making, the underwriter may, subject to limitations, make bids for or purchase shares of our common stock until the time, if any, at which a stabilizing bid is made.</w:t>
      </w:r>
    </w:p>
    <w:p>
      <w:pPr>
        <w:pStyle w:val="TextBody"/>
        <w:bidi w:val="0"/>
        <w:spacing w:before="80" w:after="283"/>
        <w:jc w:val="left"/>
        <w:rPr>
          <w:rFonts w:ascii="Arial" w:hAnsi="Arial"/>
          <w:color w:val="000000"/>
          <w:sz w:val="20"/>
        </w:rPr>
      </w:pPr>
      <w:r>
        <w:rPr>
          <w:rFonts w:ascii="Arial" w:hAnsi="Arial"/>
          <w:color w:val="000000"/>
          <w:sz w:val="20"/>
        </w:rPr>
        <w:t>These activities may have the effect of raising or maintaining the market price of our common stock or preventing or retarding a decline in the market price of our common stock. As a result of these activities, the price of our common stock may be higher than the price that might otherwise exist in the open market. These transactions may be effected on the Nasdaq Stock Market or otherwise and, if commenced, may be discontinued at any time.</w:t>
      </w:r>
    </w:p>
    <w:p>
      <w:pPr>
        <w:pStyle w:val="TextBody"/>
        <w:bidi w:val="0"/>
        <w:spacing w:before="80" w:after="283"/>
        <w:jc w:val="left"/>
        <w:rPr>
          <w:rFonts w:ascii="Arial" w:hAnsi="Arial"/>
          <w:color w:val="000000"/>
          <w:sz w:val="20"/>
        </w:rPr>
      </w:pPr>
      <w:r>
        <w:rPr>
          <w:rFonts w:ascii="Arial" w:hAnsi="Arial"/>
          <w:color w:val="000000"/>
          <w:sz w:val="20"/>
        </w:rPr>
        <w:t>Neither we nor the underwriter make any representation or prediction as to the direction or magnitude of any effect that the transactions described above may have on the price of our common stock. In addition, neither we nor the underwriter make any representation that the underwriter will engage in these stabilizing transactions or that any transaction, once commenced, will not be discontinued without notice.</w:t>
      </w:r>
    </w:p>
    <w:p>
      <w:pPr>
        <w:pStyle w:val="TextBody"/>
        <w:bidi w:val="0"/>
        <w:spacing w:before="200" w:after="283"/>
        <w:jc w:val="left"/>
        <w:rPr>
          <w:rFonts w:ascii="Arial" w:hAnsi="Arial"/>
          <w:b/>
          <w:color w:val="000000"/>
          <w:sz w:val="20"/>
        </w:rPr>
      </w:pPr>
      <w:r>
        <w:rPr>
          <w:rFonts w:ascii="Arial" w:hAnsi="Arial"/>
          <w:b/>
          <w:color w:val="000000"/>
          <w:sz w:val="20"/>
        </w:rPr>
        <w:t>Offering Price Determination</w:t>
      </w:r>
    </w:p>
    <w:p>
      <w:pPr>
        <w:pStyle w:val="TextBody"/>
        <w:bidi w:val="0"/>
        <w:spacing w:before="80" w:after="283"/>
        <w:jc w:val="left"/>
        <w:rPr>
          <w:rFonts w:ascii="Arial" w:hAnsi="Arial"/>
          <w:color w:val="000000"/>
          <w:sz w:val="20"/>
        </w:rPr>
      </w:pPr>
      <w:r>
        <w:rPr>
          <w:rFonts w:ascii="Arial" w:hAnsi="Arial"/>
          <w:color w:val="000000"/>
          <w:sz w:val="20"/>
        </w:rPr>
        <w:t xml:space="preserve">The public offering price was negotiated between the underwriter and us. In determining the public offering price of our common stock, the underwriter considered: </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the history and prospects for the industry in which we compete;</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our financial information;</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the ability of our management and our business potential and earning prospects;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the prevailing securities markets at the time of this offering; and</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the recent market prices of, and the demand for, publicly traded shares of generally comparable companies, as well as the recent market price of our common stock.</w:t>
      </w:r>
    </w:p>
    <w:p>
      <w:pPr>
        <w:pStyle w:val="TextBody"/>
        <w:bidi w:val="0"/>
        <w:jc w:val="center"/>
        <w:rPr>
          <w:rFonts w:ascii="Times New Roman" w:hAnsi="Times New Roman"/>
          <w:color w:val="000000"/>
          <w:sz w:val="20"/>
        </w:rPr>
      </w:pPr>
      <w:r>
        <w:rPr>
          <w:rFonts w:ascii="Times New Roman" w:hAnsi="Times New Roman"/>
          <w:color w:val="000000"/>
          <w:sz w:val="20"/>
        </w:rPr>
        <w:t>S-25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000000"/>
          <w:sz w:val="20"/>
        </w:rPr>
      </w:pPr>
      <w:r>
        <w:rPr>
          <w:rFonts w:ascii="Arial" w:hAnsi="Arial"/>
          <w:b/>
          <w:color w:val="000000"/>
          <w:sz w:val="20"/>
        </w:rPr>
        <w:t>Indemnification</w:t>
      </w:r>
    </w:p>
    <w:p>
      <w:pPr>
        <w:pStyle w:val="TextBody"/>
        <w:bidi w:val="0"/>
        <w:spacing w:before="200" w:after="283"/>
        <w:jc w:val="left"/>
        <w:rPr>
          <w:rFonts w:ascii="Arial" w:hAnsi="Arial"/>
          <w:color w:val="000000"/>
          <w:sz w:val="20"/>
        </w:rPr>
      </w:pPr>
      <w:r>
        <w:rPr>
          <w:rFonts w:ascii="Arial" w:hAnsi="Arial"/>
          <w:color w:val="000000"/>
          <w:sz w:val="20"/>
        </w:rPr>
        <w:t>We have agreed to indemnify the underwriter and certain of its controlling persons against certain liabilities, including liabilities under the Securities Act, and to contribute to payments that the underwriter may be required to make in respect of those liabilities.</w:t>
      </w:r>
    </w:p>
    <w:p>
      <w:pPr>
        <w:pStyle w:val="TextBody"/>
        <w:bidi w:val="0"/>
        <w:spacing w:before="200" w:after="283"/>
        <w:jc w:val="left"/>
        <w:rPr>
          <w:rFonts w:ascii="Arial" w:hAnsi="Arial"/>
          <w:b/>
          <w:color w:val="000000"/>
          <w:sz w:val="20"/>
        </w:rPr>
      </w:pPr>
      <w:r>
        <w:rPr>
          <w:rFonts w:ascii="Arial" w:hAnsi="Arial"/>
          <w:b/>
          <w:color w:val="000000"/>
          <w:sz w:val="20"/>
        </w:rPr>
        <w:t>Discretionary Accounts</w:t>
      </w:r>
    </w:p>
    <w:p>
      <w:pPr>
        <w:pStyle w:val="TextBody"/>
        <w:bidi w:val="0"/>
        <w:spacing w:before="80" w:after="283"/>
        <w:jc w:val="left"/>
        <w:rPr>
          <w:rFonts w:ascii="Arial" w:hAnsi="Arial"/>
          <w:color w:val="000000"/>
          <w:sz w:val="20"/>
        </w:rPr>
      </w:pPr>
      <w:r>
        <w:rPr>
          <w:rFonts w:ascii="Arial" w:hAnsi="Arial"/>
          <w:color w:val="000000"/>
          <w:sz w:val="20"/>
        </w:rPr>
        <w:t>The underwriter has informed us that they do not expect to make sales to accounts over which they exercise discretionary authority in excess of 5% of the shares of our common stock being offered in this offering.</w:t>
      </w:r>
    </w:p>
    <w:p>
      <w:pPr>
        <w:pStyle w:val="TextBody"/>
        <w:bidi w:val="0"/>
        <w:spacing w:before="200" w:after="283"/>
        <w:jc w:val="left"/>
        <w:rPr>
          <w:rFonts w:ascii="Arial" w:hAnsi="Arial"/>
          <w:b/>
          <w:color w:val="000000"/>
          <w:sz w:val="20"/>
        </w:rPr>
      </w:pPr>
      <w:r>
        <w:rPr>
          <w:rFonts w:ascii="Arial" w:hAnsi="Arial"/>
          <w:b/>
          <w:color w:val="000000"/>
          <w:sz w:val="20"/>
        </w:rPr>
        <w:t>Passive Market Making</w:t>
      </w:r>
    </w:p>
    <w:p>
      <w:pPr>
        <w:pStyle w:val="TextBody"/>
        <w:bidi w:val="0"/>
        <w:spacing w:before="80" w:after="283"/>
        <w:jc w:val="left"/>
        <w:rPr>
          <w:rFonts w:ascii="Arial" w:hAnsi="Arial"/>
          <w:color w:val="000000"/>
          <w:sz w:val="20"/>
        </w:rPr>
      </w:pPr>
      <w:r>
        <w:rPr>
          <w:rFonts w:ascii="Arial" w:hAnsi="Arial"/>
          <w:color w:val="000000"/>
          <w:sz w:val="20"/>
        </w:rPr>
        <w:t>In connection with this offering, the underwriter may engage in passive market making transactions in our securities on the Nasdaq Stock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pStyle w:val="TextBody"/>
        <w:bidi w:val="0"/>
        <w:spacing w:before="200" w:after="283"/>
        <w:jc w:val="left"/>
        <w:rPr>
          <w:rFonts w:ascii="Arial" w:hAnsi="Arial"/>
          <w:b/>
          <w:color w:val="000000"/>
          <w:sz w:val="20"/>
        </w:rPr>
      </w:pPr>
      <w:r>
        <w:rPr>
          <w:rFonts w:ascii="Arial" w:hAnsi="Arial"/>
          <w:b/>
          <w:color w:val="000000"/>
          <w:sz w:val="20"/>
        </w:rPr>
        <w:t>Other Relationships</w:t>
      </w:r>
    </w:p>
    <w:p>
      <w:pPr>
        <w:pStyle w:val="TextBody"/>
        <w:bidi w:val="0"/>
        <w:spacing w:before="80" w:after="283"/>
        <w:jc w:val="left"/>
        <w:rPr>
          <w:rFonts w:ascii="Arial" w:hAnsi="Arial"/>
          <w:color w:val="000000"/>
          <w:sz w:val="20"/>
        </w:rPr>
      </w:pPr>
      <w:r>
        <w:rPr>
          <w:rFonts w:ascii="Arial" w:hAnsi="Arial"/>
          <w:color w:val="000000"/>
          <w:sz w:val="20"/>
        </w:rPr>
        <w:t>Konik may in the future provide us and our affiliates with investment banking and financial advisory services for which Konik may in the future receive customary fees. Konik may release, or authorize us to release, as the case may be, the common stock and other securities subject to the lock-up agreements described above in whole or in part at any time with or without notice.</w:t>
      </w:r>
    </w:p>
    <w:p>
      <w:pPr>
        <w:pStyle w:val="TextBody"/>
        <w:bidi w:val="0"/>
        <w:spacing w:before="200" w:after="283"/>
        <w:jc w:val="left"/>
        <w:rPr>
          <w:rFonts w:ascii="Arial" w:hAnsi="Arial"/>
          <w:b/>
          <w:color w:val="000000"/>
          <w:sz w:val="20"/>
        </w:rPr>
      </w:pPr>
      <w:r>
        <w:rPr>
          <w:rFonts w:ascii="Arial" w:hAnsi="Arial"/>
          <w:b/>
          <w:color w:val="000000"/>
          <w:sz w:val="20"/>
        </w:rPr>
        <w:t>Offer Restrictions Outside the United States</w:t>
      </w:r>
    </w:p>
    <w:p>
      <w:pPr>
        <w:pStyle w:val="TextBody"/>
        <w:bidi w:val="0"/>
        <w:spacing w:before="80" w:after="283"/>
        <w:jc w:val="left"/>
        <w:rPr>
          <w:rFonts w:ascii="Arial" w:hAnsi="Arial"/>
          <w:color w:val="000000"/>
          <w:sz w:val="20"/>
        </w:rPr>
      </w:pPr>
      <w:r>
        <w:rPr>
          <w:rFonts w:ascii="Arial" w:hAnsi="Arial"/>
          <w:color w:val="000000"/>
          <w:sz w:val="20"/>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who come into possession of this prospectus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200" w:after="283"/>
        <w:jc w:val="left"/>
        <w:rPr>
          <w:rFonts w:ascii="Arial" w:hAnsi="Arial"/>
          <w:b/>
          <w:color w:val="000000"/>
          <w:sz w:val="20"/>
        </w:rPr>
      </w:pPr>
      <w:r>
        <w:rPr>
          <w:rFonts w:ascii="Arial" w:hAnsi="Arial"/>
          <w:b/>
          <w:color w:val="000000"/>
          <w:sz w:val="20"/>
        </w:rPr>
        <w:t>Electronic Distribution</w:t>
      </w:r>
    </w:p>
    <w:p>
      <w:pPr>
        <w:pStyle w:val="TextBody"/>
        <w:bidi w:val="0"/>
        <w:spacing w:before="80" w:after="283"/>
        <w:jc w:val="left"/>
        <w:rPr>
          <w:rFonts w:ascii="Arial" w:hAnsi="Arial"/>
          <w:color w:val="000000"/>
          <w:sz w:val="20"/>
        </w:rPr>
      </w:pPr>
      <w:r>
        <w:rPr>
          <w:rFonts w:ascii="Arial" w:hAnsi="Arial"/>
          <w:color w:val="000000"/>
          <w:sz w:val="20"/>
        </w:rPr>
        <w:t>A prospectus in electronic format may be made available on the websites maintained by Konik.</w:t>
      </w:r>
    </w:p>
    <w:p>
      <w:pPr>
        <w:pStyle w:val="TextBody"/>
        <w:bidi w:val="0"/>
        <w:spacing w:before="200" w:after="283"/>
        <w:jc w:val="left"/>
        <w:rPr>
          <w:rFonts w:ascii="Arial" w:hAnsi="Arial"/>
          <w:b/>
          <w:color w:val="000000"/>
          <w:sz w:val="20"/>
        </w:rPr>
      </w:pPr>
      <w:r>
        <w:rPr>
          <w:rFonts w:ascii="Arial" w:hAnsi="Arial"/>
          <w:b/>
          <w:color w:val="000000"/>
          <w:sz w:val="20"/>
        </w:rPr>
        <w:t>Listing</w:t>
      </w:r>
    </w:p>
    <w:p>
      <w:pPr>
        <w:pStyle w:val="TextBody"/>
        <w:bidi w:val="0"/>
        <w:spacing w:before="80" w:after="283"/>
        <w:jc w:val="left"/>
        <w:rPr>
          <w:rFonts w:ascii="Arial" w:hAnsi="Arial"/>
          <w:color w:val="000000"/>
          <w:sz w:val="20"/>
        </w:rPr>
      </w:pPr>
      <w:r>
        <w:rPr>
          <w:rFonts w:ascii="Arial" w:hAnsi="Arial"/>
          <w:color w:val="000000"/>
          <w:sz w:val="20"/>
        </w:rPr>
        <w:t>Our common stock is listed on The Nasdaq Global Select Market under the symbol “BMEA.” We do not intend to list the pre-funded warrants on the Nasdaq Global Select Market, any other national recognized securities exchange or any other nationally recognized trading system.</w:t>
      </w:r>
    </w:p>
    <w:p>
      <w:pPr>
        <w:pStyle w:val="TextBody"/>
        <w:bidi w:val="0"/>
        <w:spacing w:before="200" w:after="283"/>
        <w:jc w:val="left"/>
        <w:rPr>
          <w:rFonts w:ascii="Arial" w:hAnsi="Arial"/>
          <w:b/>
          <w:color w:val="000000"/>
          <w:sz w:val="20"/>
        </w:rPr>
      </w:pPr>
      <w:r>
        <w:rPr>
          <w:rFonts w:ascii="Arial" w:hAnsi="Arial"/>
          <w:b/>
          <w:color w:val="000000"/>
          <w:sz w:val="20"/>
        </w:rPr>
        <w:t>Transfer Agent and Registrar</w:t>
      </w:r>
    </w:p>
    <w:p>
      <w:pPr>
        <w:pStyle w:val="TextBody"/>
        <w:bidi w:val="0"/>
        <w:spacing w:before="80" w:after="283"/>
        <w:jc w:val="left"/>
        <w:rPr>
          <w:rFonts w:ascii="Arial" w:hAnsi="Arial"/>
          <w:color w:val="000000"/>
          <w:sz w:val="20"/>
        </w:rPr>
      </w:pPr>
      <w:r>
        <w:rPr>
          <w:rFonts w:ascii="Arial" w:hAnsi="Arial"/>
          <w:color w:val="000000"/>
          <w:sz w:val="20"/>
        </w:rPr>
        <w:t>The transfer agent and registrar for our common stock is Equiniti Trust Company, LLC.</w:t>
      </w:r>
    </w:p>
    <w:p>
      <w:pPr>
        <w:pStyle w:val="TextBody"/>
        <w:bidi w:val="0"/>
        <w:spacing w:before="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14" w:name="supp77383_12"/>
      <w:bookmarkEnd w:id="14"/>
      <w:r>
        <w:rPr>
          <w:rFonts w:ascii="Arial" w:hAnsi="Arial"/>
          <w:b/>
          <w:color w:val="000000"/>
          <w:sz w:val="20"/>
        </w:rPr>
        <w:t>Legal Matters</w:t>
      </w:r>
      <w:r>
        <w:rPr>
          <w:rFonts w:ascii="Arial" w:hAnsi="Arial"/>
          <w:color w:val="000000"/>
          <w:sz w:val="20"/>
        </w:rPr>
        <w:t xml:space="preserve"> </w:t>
      </w:r>
    </w:p>
    <w:p>
      <w:pPr>
        <w:pStyle w:val="TextBody"/>
        <w:bidi w:val="0"/>
        <w:spacing w:before="360" w:after="283"/>
        <w:jc w:val="left"/>
        <w:rPr>
          <w:rFonts w:ascii="Arial" w:hAnsi="Arial"/>
          <w:color w:val="000000"/>
          <w:sz w:val="20"/>
        </w:rPr>
      </w:pPr>
      <w:r>
        <w:rPr>
          <w:rFonts w:ascii="Arial" w:hAnsi="Arial"/>
          <w:color w:val="000000"/>
          <w:sz w:val="20"/>
        </w:rPr>
        <w:t xml:space="preserve">The validity of the shares of common stock offered hereby (including the shares of our common stock underlying the underwriter warrants) will be passed upon for us by Goodwin Procter LLP, San Francisco, California. Ellenoff Grossman &amp; Schole LLP, New York, New York, is acting as counsel to the underwriter in connection with this offering. </w:t>
      </w:r>
    </w:p>
    <w:p>
      <w:pPr>
        <w:pStyle w:val="TextBody"/>
        <w:bidi w:val="0"/>
        <w:spacing w:before="480" w:after="283"/>
        <w:jc w:val="center"/>
        <w:rPr>
          <w:rFonts w:ascii="Arial" w:hAnsi="Arial"/>
          <w:sz w:val="20"/>
        </w:rPr>
      </w:pPr>
      <w:bookmarkStart w:id="15" w:name="supp77383_13"/>
      <w:bookmarkEnd w:id="15"/>
      <w:r>
        <w:rPr>
          <w:rFonts w:ascii="Arial" w:hAnsi="Arial"/>
          <w:b/>
          <w:color w:val="000000"/>
          <w:sz w:val="20"/>
        </w:rPr>
        <w:t>Experts</w:t>
      </w:r>
      <w:r>
        <w:rPr>
          <w:rFonts w:ascii="Arial" w:hAnsi="Arial"/>
          <w:color w:val="000000"/>
          <w:sz w:val="20"/>
        </w:rPr>
        <w:t xml:space="preserve"> </w:t>
      </w:r>
    </w:p>
    <w:p>
      <w:pPr>
        <w:pStyle w:val="TextBody"/>
        <w:bidi w:val="0"/>
        <w:spacing w:before="360" w:after="160"/>
        <w:jc w:val="left"/>
        <w:rPr>
          <w:rFonts w:ascii="Arial" w:hAnsi="Arial"/>
          <w:color w:val="000000"/>
          <w:sz w:val="20"/>
        </w:rPr>
      </w:pPr>
      <w:r>
        <w:rPr>
          <w:rFonts w:ascii="Arial" w:hAnsi="Arial"/>
          <w:color w:val="000000"/>
          <w:sz w:val="20"/>
        </w:rPr>
        <w:t>The financial statements of Biomea Fusion, Inc. as of December 31, 2025 and 2024, and for each of the two years in the period ended December 31, 2025,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Arial" w:hAnsi="Arial"/>
          <w:sz w:val="20"/>
        </w:rPr>
      </w:pPr>
      <w:bookmarkStart w:id="16" w:name="supp77383_14"/>
      <w:bookmarkEnd w:id="16"/>
      <w:r>
        <w:rPr>
          <w:rFonts w:ascii="Arial" w:hAnsi="Arial"/>
          <w:b/>
          <w:color w:val="000000"/>
          <w:sz w:val="20"/>
        </w:rPr>
        <w:t>Where You Can Find More Information</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 xml:space="preserve">We file annual, quarterly and current reports, proxy statements and other information with the SEC pursuant to the reporting and information requirements of the Exchange Act. Our SEC filings are available to the public over the Internet at the SEC’s website at http://www.sec.gov. Copies of certain information filed by us with the SEC are also available on our website at www.biomeafusion.com. Our website is not a part of this prospectus supplement and is not incorporated by reference in this prospectus supplement. </w:t>
      </w:r>
    </w:p>
    <w:p>
      <w:pPr>
        <w:pStyle w:val="TextBody"/>
        <w:bidi w:val="0"/>
        <w:spacing w:before="200" w:after="283"/>
        <w:jc w:val="left"/>
        <w:rPr>
          <w:rFonts w:ascii="Arial" w:hAnsi="Arial"/>
          <w:color w:val="000000"/>
          <w:sz w:val="20"/>
        </w:rPr>
      </w:pPr>
      <w:r>
        <w:rPr>
          <w:rFonts w:ascii="Arial" w:hAnsi="Arial"/>
          <w:color w:val="000000"/>
          <w:sz w:val="20"/>
        </w:rPr>
        <w:t xml:space="preserve">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 at the address listed above or from the SEC’s internet site. </w:t>
      </w:r>
    </w:p>
    <w:p>
      <w:pPr>
        <w:pStyle w:val="TextBody"/>
        <w:bidi w:val="0"/>
        <w:jc w:val="center"/>
        <w:rPr>
          <w:rFonts w:ascii="Times New Roman" w:hAnsi="Times New Roman"/>
          <w:color w:val="000000"/>
          <w:sz w:val="20"/>
        </w:rPr>
      </w:pPr>
      <w:r>
        <w:rPr>
          <w:rFonts w:ascii="Times New Roman" w:hAnsi="Times New Roman"/>
          <w:color w:val="000000"/>
          <w:sz w:val="20"/>
        </w:rPr>
        <w:t>S-28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17" w:name="supp77383_15"/>
      <w:bookmarkEnd w:id="17"/>
      <w:r>
        <w:rPr>
          <w:rFonts w:ascii="Arial" w:hAnsi="Arial"/>
          <w:b/>
          <w:color w:val="000000"/>
          <w:sz w:val="20"/>
        </w:rPr>
        <w:t>Incorporation of Certain Information by Reference</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 xml:space="preserve">The SEC allows us to incorporate by reference in this prospectus supplement and the accompanying prospectus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and the accompanying prospectus incorporate by reference the documents listed below and any future filings we make with the SEC under Sections 13(a), 13(c), 14 or 15(d) of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 xml:space="preserve">Annual Report on </w:t>
      </w:r>
      <w:hyperlink r:id="rId3">
        <w:r>
          <w:rPr>
            <w:rStyle w:val="InternetLink"/>
            <w:rFonts w:ascii="Arial" w:hAnsi="Arial"/>
            <w:color w:val="0000FF"/>
            <w:sz w:val="20"/>
            <w:u w:val="single"/>
          </w:rPr>
          <w:t>Form 10-K</w:t>
        </w:r>
      </w:hyperlink>
      <w:r>
        <w:rPr>
          <w:rFonts w:ascii="Arial" w:hAnsi="Arial"/>
          <w:color w:val="000000"/>
          <w:sz w:val="20"/>
        </w:rPr>
        <w:t xml:space="preserve"> for the year ended December 31, 2025, filed with the SEC on March 24,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 xml:space="preserve">Quarterly Report on Form 10-Q for the quarters ended March 31, 2026 and June 30, 2026, filed with the SEC on </w:t>
      </w:r>
      <w:hyperlink r:id="rId4">
        <w:r>
          <w:rPr>
            <w:rStyle w:val="InternetLink"/>
            <w:rFonts w:ascii="Arial" w:hAnsi="Arial"/>
            <w:color w:val="0000FF"/>
            <w:sz w:val="20"/>
            <w:u w:val="single"/>
          </w:rPr>
          <w:t>May 11, 2026</w:t>
        </w:r>
      </w:hyperlink>
      <w:r>
        <w:rPr>
          <w:rFonts w:ascii="Arial" w:hAnsi="Arial"/>
          <w:color w:val="000000"/>
          <w:sz w:val="20"/>
        </w:rPr>
        <w:t xml:space="preserve"> and </w:t>
      </w:r>
      <w:hyperlink r:id="rId5">
        <w:r>
          <w:rPr>
            <w:rStyle w:val="InternetLink"/>
            <w:rFonts w:ascii="Arial" w:hAnsi="Arial"/>
            <w:color w:val="0000FF"/>
            <w:sz w:val="20"/>
            <w:u w:val="single"/>
          </w:rPr>
          <w:t>August 5, 2026</w:t>
        </w:r>
      </w:hyperlink>
      <w:r>
        <w:rPr>
          <w:rFonts w:ascii="Arial" w:hAnsi="Arial"/>
          <w:color w:val="000000"/>
          <w:sz w:val="20"/>
        </w:rPr>
        <w:t>;</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 xml:space="preserve">Current Reports on Form 8-K, filed with the SEC on </w:t>
      </w:r>
      <w:hyperlink r:id="rId6">
        <w:r>
          <w:rPr>
            <w:rStyle w:val="InternetLink"/>
            <w:rFonts w:ascii="Arial" w:hAnsi="Arial"/>
            <w:color w:val="0000FF"/>
            <w:sz w:val="20"/>
            <w:u w:val="single"/>
          </w:rPr>
          <w:t>January 14, 2026</w:t>
        </w:r>
      </w:hyperlink>
      <w:r>
        <w:rPr>
          <w:rFonts w:ascii="Arial" w:hAnsi="Arial"/>
          <w:color w:val="000000"/>
          <w:sz w:val="20"/>
        </w:rPr>
        <w:t xml:space="preserve">, </w:t>
      </w:r>
      <w:hyperlink r:id="rId7">
        <w:r>
          <w:rPr>
            <w:rStyle w:val="InternetLink"/>
            <w:rFonts w:ascii="Arial" w:hAnsi="Arial"/>
            <w:color w:val="0000FF"/>
            <w:sz w:val="20"/>
            <w:u w:val="single"/>
          </w:rPr>
          <w:t>April 28, 2026</w:t>
        </w:r>
      </w:hyperlink>
      <w:r>
        <w:rPr>
          <w:rFonts w:ascii="Arial" w:hAnsi="Arial"/>
          <w:color w:val="000000"/>
          <w:sz w:val="20"/>
        </w:rPr>
        <w:t xml:space="preserve">, </w:t>
      </w:r>
      <w:hyperlink r:id="rId8">
        <w:r>
          <w:rPr>
            <w:rStyle w:val="InternetLink"/>
            <w:rFonts w:ascii="Arial" w:hAnsi="Arial"/>
            <w:color w:val="0000FF"/>
            <w:sz w:val="20"/>
            <w:u w:val="single"/>
          </w:rPr>
          <w:t>June 11, 2026</w:t>
        </w:r>
      </w:hyperlink>
      <w:r>
        <w:rPr>
          <w:rFonts w:ascii="Arial" w:hAnsi="Arial"/>
          <w:color w:val="000000"/>
          <w:sz w:val="20"/>
        </w:rPr>
        <w:t xml:space="preserve"> and </w:t>
      </w:r>
      <w:hyperlink r:id="rId9">
        <w:r>
          <w:rPr>
            <w:rStyle w:val="InternetLink"/>
            <w:rFonts w:ascii="Arial" w:hAnsi="Arial"/>
            <w:color w:val="0000FF"/>
            <w:sz w:val="20"/>
            <w:u w:val="single"/>
          </w:rPr>
          <w:t>September 22, 2026</w:t>
        </w:r>
      </w:hyperlink>
      <w:r>
        <w:rPr>
          <w:rFonts w:ascii="Arial" w:hAnsi="Arial"/>
          <w:color w:val="000000"/>
          <w:sz w:val="20"/>
        </w:rPr>
        <w:t>;</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 xml:space="preserve">The information specifically incorporated by reference into our Annual Report on </w:t>
      </w:r>
      <w:hyperlink r:id="rId10">
        <w:r>
          <w:rPr>
            <w:rStyle w:val="InternetLink"/>
            <w:rFonts w:ascii="Arial" w:hAnsi="Arial"/>
            <w:color w:val="0000FF"/>
            <w:sz w:val="20"/>
            <w:u w:val="single"/>
          </w:rPr>
          <w:t>Form 10-K</w:t>
        </w:r>
      </w:hyperlink>
      <w:r>
        <w:rPr>
          <w:rFonts w:ascii="Arial" w:hAnsi="Arial"/>
          <w:color w:val="000000"/>
          <w:sz w:val="20"/>
        </w:rPr>
        <w:t xml:space="preserve"> for the year ended December 31, 2025 from our Definitive Proxy Statement on </w:t>
      </w:r>
      <w:hyperlink r:id="rId11">
        <w:r>
          <w:rPr>
            <w:rStyle w:val="InternetLink"/>
            <w:rFonts w:ascii="Arial" w:hAnsi="Arial"/>
            <w:color w:val="0000EE"/>
            <w:sz w:val="20"/>
            <w:u w:val="single"/>
          </w:rPr>
          <w:t>Schedule 14A</w:t>
        </w:r>
      </w:hyperlink>
      <w:r>
        <w:rPr>
          <w:rFonts w:ascii="Arial" w:hAnsi="Arial"/>
          <w:color w:val="000000"/>
          <w:sz w:val="20"/>
        </w:rPr>
        <w:t xml:space="preserve"> for our 2026 Annual Meeting of Stockholders, filed with the SEC on April 27, 2026; and</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0"/>
        </w:rPr>
        <w:t xml:space="preserve">The description of our common stock contained in our Registration Statement on </w:t>
      </w:r>
      <w:hyperlink r:id="rId12">
        <w:r>
          <w:rPr>
            <w:rStyle w:val="InternetLink"/>
            <w:rFonts w:ascii="Arial" w:hAnsi="Arial"/>
            <w:color w:val="0000EE"/>
            <w:sz w:val="20"/>
            <w:u w:val="single"/>
          </w:rPr>
          <w:t>Form 8/A</w:t>
        </w:r>
      </w:hyperlink>
      <w:r>
        <w:rPr>
          <w:rFonts w:ascii="Arial" w:hAnsi="Arial"/>
          <w:color w:val="000000"/>
          <w:sz w:val="20"/>
        </w:rPr>
        <w:t xml:space="preserve">, dated April 14, 2021, and the description of our common stock set forth in </w:t>
      </w:r>
      <w:hyperlink r:id="rId13">
        <w:r>
          <w:rPr>
            <w:rStyle w:val="InternetLink"/>
            <w:rFonts w:ascii="Arial" w:hAnsi="Arial"/>
            <w:color w:val="0000EE"/>
            <w:sz w:val="20"/>
            <w:u w:val="single"/>
          </w:rPr>
          <w:t>Exhibit 4.4</w:t>
        </w:r>
      </w:hyperlink>
      <w:r>
        <w:rPr>
          <w:rFonts w:ascii="Arial" w:hAnsi="Arial"/>
          <w:color w:val="000000"/>
          <w:sz w:val="20"/>
        </w:rPr>
        <w:t xml:space="preserve"> to our Quarterly Report on Form 10-Q for the quarter ended March 31, 2021, filed with the SEC on May 27, 2021, including any other amendments or reports filed for the purpose of updating such description.</w:t>
      </w:r>
    </w:p>
    <w:p>
      <w:pPr>
        <w:pStyle w:val="TextBody"/>
        <w:bidi w:val="0"/>
        <w:spacing w:before="200" w:after="283"/>
        <w:jc w:val="left"/>
        <w:rPr>
          <w:rFonts w:ascii="Arial" w:hAnsi="Arial"/>
          <w:color w:val="000000"/>
          <w:sz w:val="20"/>
        </w:rPr>
      </w:pPr>
      <w:r>
        <w:rPr>
          <w:rFonts w:ascii="Arial" w:hAnsi="Arial"/>
          <w:color w:val="000000"/>
          <w:sz w:val="20"/>
        </w:rPr>
        <w:t xml:space="preserve">We will furnish without charge to you, on written or oral request, a copy of any or all of the documents incorporated by reference in this prospectus supplement, including exhibits to these documents. You should direct any requests for documents to: </w:t>
      </w:r>
    </w:p>
    <w:p>
      <w:pPr>
        <w:pStyle w:val="TextBody"/>
        <w:bidi w:val="0"/>
        <w:spacing w:before="200" w:after="283"/>
        <w:jc w:val="center"/>
        <w:rPr>
          <w:rFonts w:ascii="Arial" w:hAnsi="Arial"/>
          <w:color w:val="000000"/>
          <w:sz w:val="20"/>
        </w:rPr>
      </w:pPr>
      <w:r>
        <w:rPr>
          <w:rFonts w:ascii="Arial" w:hAnsi="Arial"/>
          <w:color w:val="000000"/>
          <w:sz w:val="20"/>
        </w:rPr>
        <w:t xml:space="preserve">Biomea Fusion, Inc. </w:t>
      </w:r>
    </w:p>
    <w:p>
      <w:pPr>
        <w:pStyle w:val="TextBody"/>
        <w:bidi w:val="0"/>
        <w:jc w:val="center"/>
        <w:rPr>
          <w:rFonts w:ascii="Arial" w:hAnsi="Arial"/>
          <w:color w:val="000000"/>
          <w:sz w:val="20"/>
        </w:rPr>
      </w:pPr>
      <w:r>
        <w:rPr>
          <w:rFonts w:ascii="Arial" w:hAnsi="Arial"/>
          <w:color w:val="000000"/>
          <w:sz w:val="20"/>
        </w:rPr>
        <w:t xml:space="preserve">1599 Industrial Road </w:t>
      </w:r>
    </w:p>
    <w:p>
      <w:pPr>
        <w:pStyle w:val="TextBody"/>
        <w:bidi w:val="0"/>
        <w:jc w:val="center"/>
        <w:rPr>
          <w:rFonts w:ascii="Arial" w:hAnsi="Arial"/>
          <w:color w:val="000000"/>
          <w:sz w:val="20"/>
        </w:rPr>
      </w:pPr>
      <w:r>
        <w:rPr>
          <w:rFonts w:ascii="Arial" w:hAnsi="Arial"/>
          <w:color w:val="000000"/>
          <w:sz w:val="20"/>
        </w:rPr>
        <w:t xml:space="preserve">San Carlos, CA 94070 </w:t>
      </w:r>
    </w:p>
    <w:p>
      <w:pPr>
        <w:pStyle w:val="TextBody"/>
        <w:bidi w:val="0"/>
        <w:jc w:val="center"/>
        <w:rPr>
          <w:rFonts w:ascii="Arial" w:hAnsi="Arial"/>
          <w:color w:val="000000"/>
          <w:sz w:val="20"/>
        </w:rPr>
      </w:pPr>
      <w:r>
        <w:rPr>
          <w:rFonts w:ascii="Arial" w:hAnsi="Arial"/>
          <w:color w:val="000000"/>
          <w:sz w:val="20"/>
        </w:rPr>
        <w:t xml:space="preserve">(650) 980-9099 </w:t>
      </w:r>
    </w:p>
    <w:p>
      <w:pPr>
        <w:pStyle w:val="TextBody"/>
        <w:bidi w:val="0"/>
        <w:jc w:val="center"/>
        <w:rPr>
          <w:rFonts w:ascii="Times New Roman" w:hAnsi="Times New Roman"/>
          <w:sz w:val="20"/>
        </w:rPr>
      </w:pPr>
      <w:bookmarkStart w:id="18" w:name="tx77383_1"/>
      <w:bookmarkEnd w:id="18"/>
      <w:r>
        <w:rPr>
          <w:rFonts w:ascii="Arial" w:hAnsi="Arial"/>
          <w:color w:val="000000"/>
          <w:sz w:val="20"/>
        </w:rPr>
        <w:t>Attention: Secretary</w:t>
      </w:r>
      <w:r>
        <w:rPr>
          <w:rFonts w:ascii="Times New Roman" w:hAnsi="Times New Roman"/>
          <w:color w:val="000000"/>
          <w:sz w:val="20"/>
        </w:rPr>
        <w:t xml:space="preserve"> </w:t>
      </w:r>
      <w:bookmarkStart w:id="19" w:name="tx77383_4"/>
      <w:bookmarkStart w:id="20" w:name="tx77383_12"/>
      <w:bookmarkStart w:id="21" w:name="tx77383_10"/>
      <w:bookmarkStart w:id="22" w:name="tx77383_3"/>
      <w:bookmarkStart w:id="23" w:name="tx77383_2"/>
      <w:bookmarkStart w:id="24" w:name="tx77383_14"/>
      <w:bookmarkStart w:id="25" w:name="tx77383_5"/>
      <w:bookmarkStart w:id="26" w:name="tx77383_8"/>
      <w:bookmarkStart w:id="27" w:name="tx77383_15"/>
      <w:bookmarkStart w:id="28" w:name="tx77383_13"/>
      <w:bookmarkStart w:id="29" w:name="tx77383_16"/>
      <w:bookmarkStart w:id="30" w:name="tx77383_6"/>
      <w:bookmarkStart w:id="31" w:name="tx77383_7"/>
      <w:bookmarkStart w:id="32" w:name="tx77383_11"/>
      <w:bookmarkStart w:id="33" w:name="tx77383_9"/>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PROSPECTUS</w:t>
      </w:r>
      <w:r>
        <w:rPr>
          <w:rFonts w:ascii="Times New Roman" w:hAnsi="Times New Roman"/>
          <w:color w:val="000000"/>
          <w:sz w:val="20"/>
        </w:rPr>
        <w:t xml:space="preserve"> </w:t>
      </w:r>
    </w:p>
    <w:p>
      <w:pPr>
        <w:pStyle w:val="TextBody"/>
        <w:bidi w:val="0"/>
        <w:jc w:val="center"/>
        <w:rPr/>
      </w:pPr>
      <w:r>
        <w:rPr/>
        <w:drawing>
          <wp:inline distT="0" distB="0" distL="0" distR="0">
            <wp:extent cx="1857375"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857375" cy="495300"/>
                    </a:xfrm>
                    <a:prstGeom prst="rect">
                      <a:avLst/>
                    </a:prstGeom>
                  </pic:spPr>
                </pic:pic>
              </a:graphicData>
            </a:graphic>
          </wp:inline>
        </w:drawing>
      </w:r>
    </w:p>
    <w:p>
      <w:pPr>
        <w:pStyle w:val="TextBody"/>
        <w:bidi w:val="0"/>
        <w:spacing w:before="240" w:after="283"/>
        <w:jc w:val="center"/>
        <w:rPr>
          <w:rFonts w:ascii="Times New Roman" w:hAnsi="Times New Roman"/>
          <w:sz w:val="36"/>
        </w:rPr>
      </w:pPr>
      <w:r>
        <w:rPr>
          <w:rFonts w:ascii="Times New Roman" w:hAnsi="Times New Roman"/>
          <w:b/>
          <w:color w:val="000000"/>
          <w:sz w:val="36"/>
        </w:rPr>
        <w:t>$300,000,000</w:t>
      </w:r>
      <w:r>
        <w:rPr>
          <w:rFonts w:ascii="Times New Roman" w:hAnsi="Times New Roman"/>
          <w:color w:val="000000"/>
          <w:sz w:val="36"/>
        </w:rPr>
        <w:t xml:space="preserve"> </w:t>
      </w:r>
    </w:p>
    <w:p>
      <w:pPr>
        <w:pStyle w:val="TextBody"/>
        <w:bidi w:val="0"/>
        <w:spacing w:before="240" w:after="283"/>
        <w:jc w:val="center"/>
        <w:rPr>
          <w:rFonts w:ascii="Times New Roman" w:hAnsi="Times New Roman"/>
          <w:sz w:val="28"/>
        </w:rPr>
      </w:pPr>
      <w:r>
        <w:rPr>
          <w:rFonts w:ascii="Times New Roman" w:hAnsi="Times New Roman"/>
          <w:b/>
          <w:color w:val="000000"/>
          <w:sz w:val="28"/>
        </w:rPr>
        <w:t>Common Stock</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Preferred Stock</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Debt Securities</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Warrants</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Units</w:t>
      </w:r>
      <w:r>
        <w:rPr>
          <w:rFonts w:ascii="Times New Roman" w:hAnsi="Times New Roman"/>
          <w:color w:val="000000"/>
          <w:sz w:val="28"/>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time to time, we may offer and sell up to $300,000,000 in aggregate principal amount of our Common Stock, Preferred Stock, Debt Securities, Warrants or Units, in each case in one or more issuances and at prices and on terms that we will determine at the time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Select Market under the symbol “BMEA.” On July 31, 2025, the closing price of our common stock, as reported on The Nasdaq Global Select Market, was $1.66 per share. </w:t>
      </w:r>
    </w:p>
    <w:p>
      <w:pPr>
        <w:pStyle w:val="TextBody"/>
        <w:bidi w:val="0"/>
        <w:spacing w:before="240" w:after="283"/>
        <w:jc w:val="left"/>
        <w:rPr>
          <w:rFonts w:ascii="Times New Roman" w:hAnsi="Times New Roman"/>
          <w:sz w:val="24"/>
        </w:rPr>
      </w:pPr>
      <w:r>
        <w:rPr>
          <w:rFonts w:ascii="Times New Roman" w:hAnsi="Times New Roman"/>
          <w:b/>
          <w:color w:val="000000"/>
          <w:sz w:val="24"/>
        </w:rPr>
        <w:t>Investing in our securities involves risks. You should review carefully the risks and uncertainties described under the heading “</w:t>
      </w:r>
      <w:r>
        <w:rPr>
          <w:rFonts w:ascii="Times New Roman" w:hAnsi="Times New Roman"/>
          <w:b/>
          <w:i/>
          <w:color w:val="000000"/>
          <w:sz w:val="24"/>
          <w:u w:val="single"/>
        </w:rPr>
        <w:t>Risk Factors</w:t>
      </w:r>
      <w:r>
        <w:rPr>
          <w:rFonts w:ascii="Times New Roman" w:hAnsi="Times New Roman"/>
          <w:color w:val="000000"/>
          <w:sz w:val="24"/>
        </w:rPr>
        <w:t xml:space="preserve">” </w:t>
      </w:r>
      <w:r>
        <w:rPr>
          <w:rFonts w:ascii="Times New Roman" w:hAnsi="Times New Roman"/>
          <w:b/>
          <w:color w:val="000000"/>
          <w:sz w:val="24"/>
        </w:rPr>
        <w:t>on page 8 of this prospectus and under any similar heading in the documents that are incorporated by reference into this prospectus, as well as “</w:t>
      </w:r>
      <w:r>
        <w:rPr>
          <w:rFonts w:ascii="Times New Roman" w:hAnsi="Times New Roman"/>
          <w:b/>
          <w:i/>
          <w:color w:val="000000"/>
          <w:sz w:val="24"/>
        </w:rPr>
        <w:t>Special Note Regarding Forward-Looking Statements</w:t>
      </w:r>
      <w:r>
        <w:rPr>
          <w:rFonts w:ascii="Times New Roman" w:hAnsi="Times New Roman"/>
          <w:color w:val="000000"/>
          <w:sz w:val="24"/>
        </w:rPr>
        <w:t xml:space="preserve">” </w:t>
      </w:r>
      <w:r>
        <w:rPr>
          <w:rFonts w:ascii="Times New Roman" w:hAnsi="Times New Roman"/>
          <w:b/>
          <w:color w:val="000000"/>
          <w:sz w:val="24"/>
        </w:rPr>
        <w:t>on page 3 of this prospectus. You should read the entire prospectus and any applicable prospectus supplement carefully before you make your investment decision.</w:t>
      </w:r>
      <w:r>
        <w:rPr>
          <w:rFonts w:ascii="Times New Roman" w:hAnsi="Times New Roman"/>
          <w:color w:val="000000"/>
          <w:sz w:val="24"/>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hAnsi="Times New Roman"/>
          <w:i/>
          <w:color w:val="000000"/>
          <w:sz w:val="20"/>
        </w:rPr>
        <w:t>Plan of Distribution</w:t>
      </w:r>
      <w:r>
        <w:rPr>
          <w:rFonts w:ascii="Times New Roman" w:hAnsi="Times New Roman"/>
          <w:color w:val="000000"/>
          <w:sz w:val="20"/>
        </w:rPr>
        <w:t xml:space="preserve">” in this prospectus. We will also describe in an applicable prospectus supplement the way(s) in which we expect to use the net proceeds we receive from any sale. </w:t>
      </w:r>
    </w:p>
    <w:p>
      <w:pPr>
        <w:pStyle w:val="TextBody"/>
        <w:bidi w:val="0"/>
        <w:spacing w:before="240" w:after="283"/>
        <w:jc w:val="left"/>
        <w:rPr>
          <w:rFonts w:ascii="Times New Roman" w:hAnsi="Times New Roman"/>
          <w:sz w:val="20"/>
        </w:rPr>
      </w:pPr>
      <w:r>
        <w:rPr>
          <w:rFonts w:ascii="Times New Roman" w:hAnsi="Times New Roman"/>
          <w:b/>
          <w:color w:val="000000"/>
          <w:sz w:val="20"/>
        </w:rPr>
        <w:t>Neither the U.S. Securities and Exchange Commission nor any state securities commission has approved or disapproved of these securities or determined if this prospectus is truthful or complete. Any representation to the contrary is a criminal offense.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This prospectus may not be used to offer or sell any securities unless accompanied by a prospectus supplement.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The date of this prospectus is August 15, 2025.</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4" w:name="toc_page_1"/>
      <w:bookmarkEnd w:id="34"/>
      <w:r>
        <w:rPr>
          <w:rFonts w:ascii="Times New Roman" w:hAnsi="Times New Roman"/>
          <w:b/>
          <w:color w:val="000000"/>
          <w:sz w:val="20"/>
        </w:rPr>
        <w:t>Table of Contents</w:t>
      </w:r>
    </w:p>
    <w:tbl>
      <w:tblPr>
        <w:tblW w:w="6990" w:type="dxa"/>
        <w:jc w:val="left"/>
        <w:tblInd w:w="0" w:type="dxa"/>
        <w:tblLayout w:type="fixed"/>
        <w:tblCellMar>
          <w:top w:w="28" w:type="dxa"/>
          <w:left w:w="28" w:type="dxa"/>
          <w:bottom w:w="28" w:type="dxa"/>
          <w:right w:w="28" w:type="dxa"/>
        </w:tblCellMar>
      </w:tblPr>
      <w:tblGrid>
        <w:gridCol w:w="6051"/>
        <w:gridCol w:w="146"/>
        <w:gridCol w:w="146"/>
        <w:gridCol w:w="316"/>
        <w:gridCol w:w="331"/>
      </w:tblGrid>
      <w:tr>
        <w:trPr/>
        <w:tc>
          <w:tcPr>
            <w:tcW w:w="6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about_this_prospectus">
              <w:r>
                <w:rPr>
                  <w:rStyle w:val="InternetLink"/>
                  <w:rFonts w:ascii="Times New Roman" w:hAnsi="Times New Roman"/>
                  <w:color w:val="0000FF"/>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ncorporation_of_certain_info">
              <w:r>
                <w:rPr>
                  <w:rStyle w:val="InternetLink"/>
                  <w:rFonts w:ascii="Times New Roman" w:hAnsi="Times New Roman"/>
                  <w:color w:val="0000FF"/>
                  <w:sz w:val="20"/>
                  <w:u w:val="single"/>
                </w:rPr>
                <w:t>INCORPORATION OF CERTAIN INFORMATION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pecial_note">
              <w:r>
                <w:rPr>
                  <w:rStyle w:val="InternetLink"/>
                  <w:rFonts w:ascii="Times New Roman" w:hAnsi="Times New Roman"/>
                  <w:color w:val="0000FF"/>
                  <w:sz w:val="20"/>
                  <w:u w:val="single"/>
                </w:rPr>
                <w:t>SPECIAL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about_the_company">
              <w:r>
                <w:rPr>
                  <w:rStyle w:val="InternetLink"/>
                  <w:rFonts w:ascii="Times New Roman" w:hAnsi="Times New Roman"/>
                  <w:color w:val="0000FF"/>
                  <w:sz w:val="20"/>
                  <w:u w:val="single"/>
                </w:rPr>
                <w:t>ABOUT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use_of_proceeds">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ividend_policy">
              <w:r>
                <w:rPr>
                  <w:rStyle w:val="InternetLink"/>
                  <w:rFonts w:ascii="Times New Roman" w:hAnsi="Times New Roman"/>
                  <w:color w:val="0000FF"/>
                  <w:sz w:val="20"/>
                  <w:u w:val="single"/>
                </w:rPr>
                <w:t>DIVIDEND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general_description_of_securities">
              <w:r>
                <w:rPr>
                  <w:rStyle w:val="InternetLink"/>
                  <w:rFonts w:ascii="Times New Roman" w:hAnsi="Times New Roman"/>
                  <w:color w:val="0000FF"/>
                  <w:sz w:val="20"/>
                  <w:u w:val="single"/>
                </w:rPr>
                <w:t>GENERAL 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escription_of_capital_stock">
              <w:r>
                <w:rPr>
                  <w:rStyle w:val="InternetLink"/>
                  <w:rFonts w:ascii="Times New Roman" w:hAnsi="Times New Roman"/>
                  <w:color w:val="0000FF"/>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escription_of_debt_securities">
              <w:r>
                <w:rPr>
                  <w:rStyle w:val="InternetLink"/>
                  <w:rFonts w:ascii="Times New Roman" w:hAnsi="Times New Roman"/>
                  <w:color w:val="0000FF"/>
                  <w:sz w:val="20"/>
                  <w:u w:val="single"/>
                </w:rPr>
                <w:t>DESCRIPTION OF DEBT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escription_of_warrants">
              <w:r>
                <w:rPr>
                  <w:rStyle w:val="InternetLink"/>
                  <w:rFonts w:ascii="Times New Roman" w:hAnsi="Times New Roman"/>
                  <w:color w:val="0000FF"/>
                  <w:sz w:val="20"/>
                  <w:u w:val="single"/>
                </w:rPr>
                <w:t>DESCRIPTION OF WARRANTS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escription_of_units">
              <w:r>
                <w:rPr>
                  <w:rStyle w:val="InternetLink"/>
                  <w:rFonts w:ascii="Times New Roman" w:hAnsi="Times New Roman"/>
                  <w:color w:val="0000FF"/>
                  <w:sz w:val="20"/>
                  <w:u w:val="single"/>
                </w:rPr>
                <w:t>DESCRIPTION OF UNITS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lan_of_distribution">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legal_matters">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5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experts">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When used in this prospectus, the terms “Biomea,” “we,” “our” and “us” refer to Biomea Fusion, Inc., a Delaware corporation, and its subsidiaries, if any, unless otherwise specified or the context otherwise requires.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about_this_prospectus"/>
      <w:bookmarkEnd w:id="35"/>
      <w:r>
        <w:rPr>
          <w:rFonts w:ascii="Times New Roman" w:hAnsi="Times New Roman"/>
          <w:b/>
          <w:color w:val="000000"/>
          <w:sz w:val="20"/>
        </w:rPr>
        <w:t>ABOUT THIS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prospectus is part of a registration statement on Form S-3 that we have filed with the SEC using a “shelf” registration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this process, we may sell the securities described in this prospectus in one or more offerings for an aggregate offering amount of up to $300,000,000.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 </w:t>
      </w:r>
    </w:p>
    <w:p>
      <w:pPr>
        <w:pStyle w:val="TextBody"/>
        <w:bidi w:val="0"/>
        <w:spacing w:before="240" w:after="283"/>
        <w:jc w:val="left"/>
        <w:rPr>
          <w:rFonts w:ascii="Times New Roman" w:hAnsi="Times New Roman"/>
          <w:sz w:val="20"/>
        </w:rPr>
      </w:pPr>
      <w:r>
        <w:rPr>
          <w:rFonts w:ascii="Times New Roman" w:hAnsi="Times New Roman"/>
          <w:color w:val="000000"/>
          <w:sz w:val="20"/>
        </w:rPr>
        <w:t>This prospectus, together with any accompanying prospectus supplement,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hAnsi="Times New Roman"/>
          <w:i/>
          <w:color w:val="000000"/>
          <w:sz w:val="20"/>
        </w:rPr>
        <w:t xml:space="preserve">Where You Can Find More Information” </w:t>
      </w:r>
      <w:r>
        <w:rPr>
          <w:rFonts w:ascii="Times New Roman" w:hAnsi="Times New Roman"/>
          <w:color w:val="000000"/>
          <w:sz w:val="20"/>
        </w:rPr>
        <w:t>and “</w:t>
      </w:r>
      <w:r>
        <w:rPr>
          <w:rFonts w:ascii="Times New Roman" w:hAnsi="Times New Roman"/>
          <w:i/>
          <w:color w:val="000000"/>
          <w:sz w:val="20"/>
        </w:rPr>
        <w:t>Incorporation of Certain Information by Reference</w:t>
      </w:r>
      <w:r>
        <w:rPr>
          <w:rFonts w:ascii="Times New Roman" w:hAnsi="Times New Roman"/>
          <w:color w:val="000000"/>
          <w:sz w:val="20"/>
        </w:rPr>
        <w:t xml:space="preserve">” in both this prospectus and the applicable prospectus supplement, and in 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 </w:t>
      </w:r>
    </w:p>
    <w:p>
      <w:pPr>
        <w:pStyle w:val="TextBody"/>
        <w:bidi w:val="0"/>
        <w:spacing w:before="480" w:after="283"/>
        <w:jc w:val="center"/>
        <w:rPr>
          <w:rFonts w:ascii="Times New Roman" w:hAnsi="Times New Roman"/>
          <w:sz w:val="20"/>
        </w:rPr>
      </w:pPr>
      <w:bookmarkStart w:id="36" w:name="where_you_can_find_more_information"/>
      <w:bookmarkEnd w:id="36"/>
      <w:r>
        <w:rPr>
          <w:rFonts w:ascii="Times New Roman" w:hAnsi="Times New Roman"/>
          <w:b/>
          <w:color w:val="000000"/>
          <w:sz w:val="20"/>
        </w:rPr>
        <w:t>WHERE YOU CAN FIND MORE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filed with the SEC a registration statement on Form S-3 under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hAnsi="Times New Roman"/>
          <w:i/>
          <w:color w:val="000000"/>
          <w:sz w:val="20"/>
        </w:rPr>
        <w:t>www.sec.gov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also make these documents available on our website at </w:t>
      </w:r>
      <w:r>
        <w:rPr>
          <w:rFonts w:ascii="Times New Roman" w:hAnsi="Times New Roman"/>
          <w:i/>
          <w:color w:val="000000"/>
          <w:sz w:val="20"/>
        </w:rPr>
        <w:t>www.biomeafusion.com</w:t>
      </w:r>
      <w:r>
        <w:rPr>
          <w:rFonts w:ascii="Times New Roman" w:hAnsi="Times New Roman"/>
          <w:color w:val="000000"/>
          <w:sz w:val="20"/>
        </w:rPr>
        <w:t xml:space="preserve">. Our website and the information contained or connected to our website is not incorporated by reference in this prospectus or any prospectus supplement, and you should not consider it part of this prospectus or any prospectus supplement.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incorporation_of_certain_info"/>
      <w:bookmarkEnd w:id="37"/>
      <w:r>
        <w:rPr>
          <w:rFonts w:ascii="Times New Roman" w:hAnsi="Times New Roman"/>
          <w:b/>
          <w:color w:val="000000"/>
          <w:sz w:val="20"/>
        </w:rPr>
        <w:t>INCORPORATION OF CERTAIN INFORMATION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 </w:t>
      </w:r>
    </w:p>
    <w:tbl>
      <w:tblPr>
        <w:tblW w:w="9253" w:type="dxa"/>
        <w:jc w:val="left"/>
        <w:tblInd w:w="0" w:type="dxa"/>
        <w:tblLayout w:type="fixed"/>
        <w:tblCellMar>
          <w:top w:w="28" w:type="dxa"/>
          <w:left w:w="28" w:type="dxa"/>
          <w:bottom w:w="28" w:type="dxa"/>
          <w:right w:w="28" w:type="dxa"/>
        </w:tblCellMar>
      </w:tblPr>
      <w:tblGrid>
        <w:gridCol w:w="124"/>
        <w:gridCol w:w="109"/>
        <w:gridCol w:w="109"/>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Annual Report on </w:t>
            </w:r>
            <w:hyperlink r:id="rId15">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year ended December 31, 2024, filed with the SEC on March 31, 2025;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Quarterly Reports on Form 10-Q for the periods ended March 31, 2025, filed with the SEC on </w:t>
            </w:r>
            <w:hyperlink r:id="rId16">
              <w:r>
                <w:rPr>
                  <w:rStyle w:val="InternetLink"/>
                  <w:rFonts w:ascii="Times New Roman" w:hAnsi="Times New Roman"/>
                  <w:color w:val="0000FF"/>
                  <w:sz w:val="20"/>
                  <w:u w:val="single"/>
                </w:rPr>
                <w:t>May 5, 2025</w:t>
              </w:r>
            </w:hyperlink>
            <w:r>
              <w:rPr>
                <w:rFonts w:ascii="Times New Roman" w:hAnsi="Times New Roman"/>
                <w:color w:val="000000"/>
                <w:sz w:val="20"/>
              </w:rPr>
              <w:t xml:space="preserve"> and June 30, 2025, filed with the SEC on </w:t>
            </w:r>
            <w:hyperlink r:id="rId17">
              <w:r>
                <w:rPr>
                  <w:rStyle w:val="InternetLink"/>
                  <w:rFonts w:ascii="Times New Roman" w:hAnsi="Times New Roman"/>
                  <w:color w:val="0000FF"/>
                  <w:sz w:val="20"/>
                  <w:u w:val="single"/>
                </w:rPr>
                <w:t>August 5, 2025</w:t>
              </w:r>
            </w:hyperlink>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Current Reports on Form 8-K filed with the SEC on </w:t>
            </w:r>
            <w:hyperlink r:id="rId18">
              <w:r>
                <w:rPr>
                  <w:rStyle w:val="InternetLink"/>
                  <w:rFonts w:ascii="Times New Roman" w:hAnsi="Times New Roman"/>
                  <w:color w:val="0000FF"/>
                  <w:sz w:val="20"/>
                  <w:u w:val="single"/>
                </w:rPr>
                <w:t>January 15, 2025</w:t>
              </w:r>
            </w:hyperlink>
            <w:r>
              <w:rPr>
                <w:rFonts w:ascii="Times New Roman" w:hAnsi="Times New Roman"/>
                <w:color w:val="000000"/>
                <w:sz w:val="20"/>
              </w:rPr>
              <w:t xml:space="preserve">, </w:t>
            </w:r>
            <w:hyperlink r:id="rId19">
              <w:r>
                <w:rPr>
                  <w:rStyle w:val="InternetLink"/>
                  <w:rFonts w:ascii="Times New Roman" w:hAnsi="Times New Roman"/>
                  <w:color w:val="0000FF"/>
                  <w:sz w:val="20"/>
                  <w:u w:val="single"/>
                </w:rPr>
                <w:t>February 28, 2025</w:t>
              </w:r>
            </w:hyperlink>
            <w:r>
              <w:rPr>
                <w:rFonts w:ascii="Times New Roman" w:hAnsi="Times New Roman"/>
                <w:color w:val="000000"/>
                <w:sz w:val="20"/>
              </w:rPr>
              <w:t xml:space="preserve">, </w:t>
            </w:r>
            <w:hyperlink r:id="rId20">
              <w:r>
                <w:rPr>
                  <w:rStyle w:val="InternetLink"/>
                  <w:rFonts w:ascii="Times New Roman" w:hAnsi="Times New Roman"/>
                  <w:color w:val="0000FF"/>
                  <w:sz w:val="20"/>
                  <w:u w:val="single"/>
                </w:rPr>
                <w:t>March 27, 2025</w:t>
              </w:r>
            </w:hyperlink>
            <w:r>
              <w:rPr>
                <w:rFonts w:ascii="Times New Roman" w:hAnsi="Times New Roman"/>
                <w:color w:val="000000"/>
                <w:sz w:val="20"/>
              </w:rPr>
              <w:t xml:space="preserve">, </w:t>
            </w:r>
            <w:hyperlink r:id="rId21">
              <w:r>
                <w:rPr>
                  <w:rStyle w:val="InternetLink"/>
                  <w:rFonts w:ascii="Times New Roman" w:hAnsi="Times New Roman"/>
                  <w:color w:val="0000FF"/>
                  <w:sz w:val="20"/>
                  <w:u w:val="single"/>
                </w:rPr>
                <w:t>June 13, 2025</w:t>
              </w:r>
            </w:hyperlink>
            <w:r>
              <w:rPr>
                <w:rFonts w:ascii="Times New Roman" w:hAnsi="Times New Roman"/>
                <w:color w:val="000000"/>
                <w:sz w:val="20"/>
              </w:rPr>
              <w:t xml:space="preserve">, </w:t>
            </w:r>
            <w:hyperlink r:id="rId22">
              <w:r>
                <w:rPr>
                  <w:rStyle w:val="InternetLink"/>
                  <w:rFonts w:ascii="Times New Roman" w:hAnsi="Times New Roman"/>
                  <w:color w:val="0000FF"/>
                  <w:sz w:val="20"/>
                  <w:u w:val="single"/>
                </w:rPr>
                <w:t>June 17, 2025</w:t>
              </w:r>
            </w:hyperlink>
            <w:r>
              <w:rPr>
                <w:rFonts w:ascii="Times New Roman" w:hAnsi="Times New Roman"/>
                <w:color w:val="000000"/>
                <w:sz w:val="20"/>
              </w:rPr>
              <w:t xml:space="preserve">, </w:t>
            </w:r>
            <w:hyperlink r:id="rId23">
              <w:r>
                <w:rPr>
                  <w:rStyle w:val="InternetLink"/>
                  <w:rFonts w:ascii="Times New Roman" w:hAnsi="Times New Roman"/>
                  <w:color w:val="0000FF"/>
                  <w:sz w:val="20"/>
                  <w:u w:val="single"/>
                </w:rPr>
                <w:t>June 18, 2025,</w:t>
              </w:r>
            </w:hyperlink>
            <w:r>
              <w:rPr>
                <w:rFonts w:ascii="Times New Roman" w:hAnsi="Times New Roman"/>
                <w:color w:val="000000"/>
                <w:sz w:val="20"/>
              </w:rPr>
              <w:t xml:space="preserve"> </w:t>
            </w:r>
            <w:hyperlink r:id="rId24">
              <w:r>
                <w:rPr>
                  <w:rStyle w:val="InternetLink"/>
                  <w:rFonts w:ascii="Times New Roman" w:hAnsi="Times New Roman"/>
                  <w:color w:val="0000FF"/>
                  <w:sz w:val="20"/>
                  <w:u w:val="single"/>
                </w:rPr>
                <w:t>June 20, 2025</w:t>
              </w:r>
            </w:hyperlink>
            <w:hyperlink r:id="rId25">
              <w:r>
                <w:rPr>
                  <w:rStyle w:val="InternetLink"/>
                  <w:rFonts w:ascii="Times New Roman" w:hAnsi="Times New Roman"/>
                  <w:color w:val="0000FF"/>
                  <w:sz w:val="20"/>
                </w:rPr>
                <w:t xml:space="preserve"> </w:t>
              </w:r>
            </w:hyperlink>
            <w:hyperlink r:id="rId26">
              <w:r>
                <w:rPr>
                  <w:rStyle w:val="InternetLink"/>
                  <w:rFonts w:ascii="Times New Roman" w:hAnsi="Times New Roman"/>
                  <w:color w:val="000000"/>
                  <w:sz w:val="20"/>
                </w:rPr>
                <w:t>and</w:t>
              </w:r>
            </w:hyperlink>
            <w:r>
              <w:rPr>
                <w:rFonts w:ascii="Times New Roman" w:hAnsi="Times New Roman"/>
                <w:color w:val="000000"/>
                <w:sz w:val="20"/>
              </w:rPr>
              <w:t xml:space="preserve"> </w:t>
            </w:r>
            <w:hyperlink r:id="rId27">
              <w:r>
                <w:rPr>
                  <w:rStyle w:val="InternetLink"/>
                  <w:rFonts w:ascii="Times New Roman" w:hAnsi="Times New Roman"/>
                  <w:color w:val="0000FF"/>
                  <w:sz w:val="20"/>
                  <w:u w:val="single"/>
                </w:rPr>
                <w:t>July 24, 2025</w:t>
              </w:r>
            </w:hyperlink>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Definitive Proxy Statement</w:t>
              </w:r>
            </w:hyperlink>
            <w:r>
              <w:rPr>
                <w:rFonts w:ascii="Times New Roman" w:hAnsi="Times New Roman"/>
                <w:color w:val="000000"/>
                <w:sz w:val="20"/>
              </w:rPr>
              <w:t xml:space="preserve"> on Schedule 14A filed with the SEC on April 28, 2025, to the extent incorporated by reference into Part III of the Annual Report on </w:t>
            </w:r>
            <w:hyperlink r:id="rId29">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fiscal year ended December 31, 2024;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The description of our Common Stock contained in our Registration Statement on </w:t>
            </w:r>
            <w:r>
              <w:rPr>
                <w:rFonts w:ascii="Times New Roman" w:hAnsi="Times New Roman"/>
                <w:sz w:val="20"/>
              </w:rPr>
              <w:t>Form 8-A12B</w:t>
            </w:r>
            <w:r>
              <w:rPr>
                <w:rFonts w:ascii="Times New Roman" w:hAnsi="Times New Roman"/>
                <w:color w:val="000000"/>
                <w:sz w:val="20"/>
              </w:rPr>
              <w:t xml:space="preserve">, dated April 14, 2021, and as set forth by the description of the Registrant’s common stock set forth in Exhibit 4.2 to the Registrant’s Annual Report on </w:t>
            </w:r>
            <w:hyperlink r:id="rId30">
              <w:r>
                <w:rPr>
                  <w:rStyle w:val="InternetLink"/>
                  <w:rFonts w:ascii="Times New Roman" w:hAnsi="Times New Roman"/>
                  <w:color w:val="0000FF"/>
                  <w:sz w:val="20"/>
                  <w:u w:val="single"/>
                </w:rPr>
                <w:t>Form 10-K</w:t>
              </w:r>
            </w:hyperlink>
            <w:r>
              <w:rPr>
                <w:rFonts w:ascii="Times New Roman" w:hAnsi="Times New Roman"/>
                <w:color w:val="000000"/>
                <w:sz w:val="24"/>
              </w:rPr>
              <w:t xml:space="preserve"> </w:t>
            </w:r>
            <w:r>
              <w:rPr>
                <w:rFonts w:ascii="Times New Roman" w:hAnsi="Times New Roman"/>
                <w:color w:val="000000"/>
                <w:sz w:val="20"/>
              </w:rPr>
              <w:t>for the year ended December 31, 2024, filed with the SEC on March 31, 2025, including any other amendments or reports filed for the purpose of updating such description.</w:t>
            </w:r>
            <w:r>
              <w:rPr>
                <w:rFonts w:ascii="Times New Roman" w:hAnsi="Times New Roman"/>
                <w:color w:val="000000"/>
                <w:sz w:val="24"/>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Documents incorporated by reference are available from us without charge, excluding all exhibits unless specifically incorporated by reference as an exhibit to this prospectus and the applicable prospectus supplement.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Prospective investors may obtain documents incorporated by reference in this prospectus and the applicable prospectus supplement at no cost by requesting them in writing or by telephone from us at our executive offices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Biomea Fusion, Inc. </w:t>
      </w:r>
    </w:p>
    <w:p>
      <w:pPr>
        <w:pStyle w:val="TextBody"/>
        <w:bidi w:val="0"/>
        <w:jc w:val="center"/>
        <w:rPr>
          <w:rFonts w:ascii="Times New Roman" w:hAnsi="Times New Roman"/>
          <w:color w:val="000000"/>
          <w:sz w:val="20"/>
        </w:rPr>
      </w:pPr>
      <w:r>
        <w:rPr>
          <w:rFonts w:ascii="Times New Roman" w:hAnsi="Times New Roman"/>
          <w:color w:val="000000"/>
          <w:sz w:val="20"/>
        </w:rPr>
        <w:t>1599 Industrial Road</w:t>
      </w:r>
    </w:p>
    <w:p>
      <w:pPr>
        <w:pStyle w:val="TextBody"/>
        <w:bidi w:val="0"/>
        <w:jc w:val="center"/>
        <w:rPr>
          <w:rFonts w:ascii="Times New Roman" w:hAnsi="Times New Roman"/>
          <w:color w:val="000000"/>
          <w:sz w:val="20"/>
        </w:rPr>
      </w:pPr>
      <w:r>
        <w:rPr>
          <w:rFonts w:ascii="Times New Roman" w:hAnsi="Times New Roman"/>
          <w:color w:val="000000"/>
          <w:sz w:val="20"/>
        </w:rPr>
        <w:t xml:space="preserve">San Carlos, CA 94070 </w:t>
      </w:r>
    </w:p>
    <w:p>
      <w:pPr>
        <w:pStyle w:val="TextBody"/>
        <w:bidi w:val="0"/>
        <w:jc w:val="center"/>
        <w:rPr>
          <w:rFonts w:ascii="Times New Roman" w:hAnsi="Times New Roman"/>
          <w:color w:val="000000"/>
          <w:sz w:val="20"/>
        </w:rPr>
      </w:pPr>
      <w:r>
        <w:rPr>
          <w:rFonts w:ascii="Times New Roman" w:hAnsi="Times New Roman"/>
          <w:color w:val="000000"/>
          <w:sz w:val="20"/>
        </w:rPr>
        <w:t xml:space="preserve">(650) 980-9099 </w:t>
      </w:r>
    </w:p>
    <w:p>
      <w:pPr>
        <w:pStyle w:val="TextBody"/>
        <w:bidi w:val="0"/>
        <w:jc w:val="center"/>
        <w:rPr>
          <w:rFonts w:ascii="Times New Roman" w:hAnsi="Times New Roman"/>
          <w:color w:val="000000"/>
          <w:sz w:val="20"/>
        </w:rPr>
      </w:pPr>
      <w:r>
        <w:rPr>
          <w:rFonts w:ascii="Times New Roman" w:hAnsi="Times New Roman"/>
          <w:color w:val="000000"/>
          <w:sz w:val="20"/>
        </w:rPr>
        <w:t xml:space="preserve">Attention: Secretary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special_note"/>
      <w:bookmarkEnd w:id="38"/>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hAnsi="Times New Roman"/>
          <w:i/>
          <w:color w:val="000000"/>
          <w:sz w:val="20"/>
        </w:rPr>
        <w:t>Risk Factors</w:t>
      </w:r>
      <w:r>
        <w:rPr>
          <w:rFonts w:ascii="Times New Roman" w:hAnsi="Times New Roman"/>
          <w:color w:val="000000"/>
          <w:sz w:val="20"/>
        </w:rPr>
        <w:t xml:space="preserve">” and include, among other things: </w:t>
      </w:r>
    </w:p>
    <w:tbl>
      <w:tblPr>
        <w:tblW w:w="2683" w:type="dxa"/>
        <w:jc w:val="left"/>
        <w:tblInd w:w="0" w:type="dxa"/>
        <w:tblLayout w:type="fixed"/>
        <w:tblCellMar>
          <w:top w:w="28" w:type="dxa"/>
          <w:left w:w="28" w:type="dxa"/>
          <w:bottom w:w="28" w:type="dxa"/>
          <w:right w:w="28" w:type="dxa"/>
        </w:tblCellMar>
      </w:tblPr>
      <w:tblGrid>
        <w:gridCol w:w="124"/>
        <w:gridCol w:w="109"/>
        <w:gridCol w:w="109"/>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financial performance;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sufficiency of our existing cash, cash equivalents and restricted cash to fund our future operating expenses and capital expenditure requirements; </w:t>
            </w:r>
          </w:p>
        </w:tc>
      </w:tr>
    </w:tbl>
    <w:tbl>
      <w:tblPr>
        <w:tblW w:w="9103" w:type="dxa"/>
        <w:jc w:val="left"/>
        <w:tblInd w:w="0" w:type="dxa"/>
        <w:tblLayout w:type="fixed"/>
        <w:tblCellMar>
          <w:top w:w="28" w:type="dxa"/>
          <w:left w:w="28" w:type="dxa"/>
          <w:bottom w:w="28" w:type="dxa"/>
          <w:right w:w="28" w:type="dxa"/>
        </w:tblCellMar>
      </w:tblPr>
      <w:tblGrid>
        <w:gridCol w:w="124"/>
        <w:gridCol w:w="109"/>
        <w:gridCol w:w="109"/>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estimates regarding expenses, future revenue, capital requirements and needs for additional financing; </w:t>
            </w:r>
          </w:p>
        </w:tc>
      </w:tr>
    </w:tbl>
    <w:tbl>
      <w:tblPr>
        <w:tblW w:w="6763" w:type="dxa"/>
        <w:jc w:val="left"/>
        <w:tblInd w:w="0" w:type="dxa"/>
        <w:tblLayout w:type="fixed"/>
        <w:tblCellMar>
          <w:top w:w="28" w:type="dxa"/>
          <w:left w:w="28" w:type="dxa"/>
          <w:bottom w:w="28" w:type="dxa"/>
          <w:right w:w="28" w:type="dxa"/>
        </w:tblCellMar>
      </w:tblPr>
      <w:tblGrid>
        <w:gridCol w:w="124"/>
        <w:gridCol w:w="109"/>
        <w:gridCol w:w="109"/>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anticipated use of our existing cash, cash equivalents and restricted cash; </w:t>
            </w:r>
          </w:p>
        </w:tc>
      </w:tr>
    </w:tbl>
    <w:tbl>
      <w:tblPr>
        <w:tblW w:w="7183" w:type="dxa"/>
        <w:jc w:val="left"/>
        <w:tblInd w:w="0" w:type="dxa"/>
        <w:tblLayout w:type="fixed"/>
        <w:tblCellMar>
          <w:top w:w="28" w:type="dxa"/>
          <w:left w:w="28" w:type="dxa"/>
          <w:bottom w:w="28" w:type="dxa"/>
          <w:right w:w="28" w:type="dxa"/>
        </w:tblCellMar>
      </w:tblPr>
      <w:tblGrid>
        <w:gridCol w:w="124"/>
        <w:gridCol w:w="109"/>
        <w:gridCol w:w="109"/>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product candidates; </w:t>
            </w:r>
          </w:p>
        </w:tc>
      </w:tr>
    </w:tbl>
    <w:tbl>
      <w:tblPr>
        <w:tblW w:w="9433" w:type="dxa"/>
        <w:jc w:val="left"/>
        <w:tblInd w:w="0" w:type="dxa"/>
        <w:tblLayout w:type="fixed"/>
        <w:tblCellMar>
          <w:top w:w="28" w:type="dxa"/>
          <w:left w:w="28" w:type="dxa"/>
          <w:bottom w:w="28" w:type="dxa"/>
          <w:right w:w="28" w:type="dxa"/>
        </w:tblCellMar>
      </w:tblPr>
      <w:tblGrid>
        <w:gridCol w:w="124"/>
        <w:gridCol w:w="109"/>
        <w:gridCol w:w="109"/>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size of the market opportunity for our product candidates and our ability to maximize those opportunities;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initiation, timing, progress and results of our research and development programs, preclinical studies, clinical trials and investigational new drug (“IND”) applications and other regulatory submissions; </w:t>
            </w:r>
          </w:p>
        </w:tc>
      </w:tr>
    </w:tbl>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ability to develop our product candidates in various oncology indications or for the treatment of type 1 and type 2 diabetes mellitus or other metabolic diseases;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2"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the beneficial characteristics, safety, efficacy and therapeutic effects of our product candidates and the ability of our FUSION</w:t>
            </w:r>
            <w:r>
              <w:rPr>
                <w:rFonts w:ascii="Times New Roman" w:hAnsi="Times New Roman"/>
                <w:color w:val="000000"/>
                <w:sz w:val="13"/>
              </w:rPr>
              <w:t>TM</w:t>
            </w:r>
            <w:r>
              <w:rPr>
                <w:rFonts w:ascii="Times New Roman" w:hAnsi="Times New Roman"/>
                <w:color w:val="000000"/>
                <w:sz w:val="20"/>
              </w:rPr>
              <w:t xml:space="preserve"> System to generate additional product candidates with such characteristics; </w:t>
            </w:r>
          </w:p>
        </w:tc>
      </w:tr>
    </w:tbl>
    <w:tbl>
      <w:tblPr>
        <w:tblW w:w="9703" w:type="dxa"/>
        <w:jc w:val="left"/>
        <w:tblInd w:w="0" w:type="dxa"/>
        <w:tblLayout w:type="fixed"/>
        <w:tblCellMar>
          <w:top w:w="28" w:type="dxa"/>
          <w:left w:w="28" w:type="dxa"/>
          <w:bottom w:w="28" w:type="dxa"/>
          <w:right w:w="28" w:type="dxa"/>
        </w:tblCellMar>
      </w:tblPr>
      <w:tblGrid>
        <w:gridCol w:w="124"/>
        <w:gridCol w:w="109"/>
        <w:gridCol w:w="109"/>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timing, progress and focus of our ongoing and future clinical trials, and the reporting of data from those trials;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ability of our clinical trials to demonstrate safety and efficacy of our product candidates, and other favorable results; </w:t>
            </w:r>
          </w:p>
        </w:tc>
      </w:tr>
    </w:tbl>
    <w:tbl>
      <w:tblPr>
        <w:tblW w:w="9973" w:type="dxa"/>
        <w:jc w:val="left"/>
        <w:tblInd w:w="0" w:type="dxa"/>
        <w:tblLayout w:type="fixed"/>
        <w:tblCellMar>
          <w:top w:w="28" w:type="dxa"/>
          <w:left w:w="28" w:type="dxa"/>
          <w:bottom w:w="28" w:type="dxa"/>
          <w:right w:w="28" w:type="dxa"/>
        </w:tblCellMar>
      </w:tblPr>
      <w:tblGrid>
        <w:gridCol w:w="124"/>
        <w:gridCol w:w="109"/>
        <w:gridCol w:w="109"/>
        <w:gridCol w:w="9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plans relating to the clinical development of our product candidates, including the disease areas to be evaluated; </w:t>
            </w:r>
          </w:p>
        </w:tc>
      </w:tr>
    </w:tbl>
    <w:tbl>
      <w:tblPr>
        <w:tblW w:w="7108" w:type="dxa"/>
        <w:jc w:val="left"/>
        <w:tblInd w:w="0" w:type="dxa"/>
        <w:tblLayout w:type="fixed"/>
        <w:tblCellMar>
          <w:top w:w="28" w:type="dxa"/>
          <w:left w:w="28" w:type="dxa"/>
          <w:bottom w:w="28" w:type="dxa"/>
          <w:right w:w="28" w:type="dxa"/>
        </w:tblCellMar>
      </w:tblPr>
      <w:tblGrid>
        <w:gridCol w:w="124"/>
        <w:gridCol w:w="109"/>
        <w:gridCol w:w="109"/>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w:t>
            </w:r>
          </w:p>
        </w:tc>
      </w:tr>
    </w:tbl>
    <w:tbl>
      <w:tblPr>
        <w:tblW w:w="6568" w:type="dxa"/>
        <w:jc w:val="left"/>
        <w:tblInd w:w="0" w:type="dxa"/>
        <w:tblLayout w:type="fixed"/>
        <w:tblCellMar>
          <w:top w:w="28" w:type="dxa"/>
          <w:left w:w="28" w:type="dxa"/>
          <w:bottom w:w="28" w:type="dxa"/>
          <w:right w:w="28" w:type="dxa"/>
        </w:tblCellMar>
      </w:tblPr>
      <w:tblGrid>
        <w:gridCol w:w="124"/>
        <w:gridCol w:w="109"/>
        <w:gridCol w:w="109"/>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estimates of the patient populations addressable by our product candidates, if approved, and the number of participants that will enroll in our ongoing and planned clinical trials;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expected benefits of potential future strategic collaborations with third parties and our ability to attract collaborators with development, regulatory and commercialization expertise; </w:t>
            </w:r>
          </w:p>
        </w:tc>
      </w:tr>
    </w:tbl>
    <w:tbl>
      <w:tblPr>
        <w:tblW w:w="6118" w:type="dxa"/>
        <w:jc w:val="left"/>
        <w:tblInd w:w="0" w:type="dxa"/>
        <w:tblLayout w:type="fixed"/>
        <w:tblCellMar>
          <w:top w:w="28" w:type="dxa"/>
          <w:left w:w="28" w:type="dxa"/>
          <w:bottom w:w="28" w:type="dxa"/>
          <w:right w:w="28" w:type="dxa"/>
        </w:tblCellMar>
      </w:tblPr>
      <w:tblGrid>
        <w:gridCol w:w="124"/>
        <w:gridCol w:w="109"/>
        <w:gridCol w:w="109"/>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tc>
      </w:tr>
    </w:tbl>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including our expectation to seek special designations, such as orphan drug designation, for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plans relating to the further development and manufacturing of our product candidates, including for additional indications that we may pursue; </w:t>
            </w:r>
          </w:p>
        </w:tc>
      </w:tr>
    </w:tbl>
    <w:tbl>
      <w:tblPr>
        <w:tblW w:w="8143" w:type="dxa"/>
        <w:jc w:val="left"/>
        <w:tblInd w:w="0" w:type="dxa"/>
        <w:tblLayout w:type="fixed"/>
        <w:tblCellMar>
          <w:top w:w="28" w:type="dxa"/>
          <w:left w:w="28" w:type="dxa"/>
          <w:bottom w:w="28" w:type="dxa"/>
          <w:right w:w="28" w:type="dxa"/>
        </w:tblCellMar>
      </w:tblPr>
      <w:tblGrid>
        <w:gridCol w:w="124"/>
        <w:gridCol w:w="109"/>
        <w:gridCol w:w="109"/>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existing regulations and regulatory developments in the United States and other jurisdictions;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tc>
      </w:tr>
    </w:tbl>
    <w:tbl>
      <w:tblPr>
        <w:tblW w:w="8068" w:type="dxa"/>
        <w:jc w:val="left"/>
        <w:tblInd w:w="0" w:type="dxa"/>
        <w:tblLayout w:type="fixed"/>
        <w:tblCellMar>
          <w:top w:w="28" w:type="dxa"/>
          <w:left w:w="28" w:type="dxa"/>
          <w:bottom w:w="28" w:type="dxa"/>
          <w:right w:w="28" w:type="dxa"/>
        </w:tblCellMar>
      </w:tblPr>
      <w:tblGrid>
        <w:gridCol w:w="124"/>
        <w:gridCol w:w="109"/>
        <w:gridCol w:w="109"/>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plan to rely on third parties to conduct and support preclinical and clinical development;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ability to retain the continued service of our key personnel and to identify, hire and then retain additional qualified personnel; </w:t>
            </w:r>
          </w:p>
        </w:tc>
      </w:tr>
    </w:tbl>
    <w:tbl>
      <w:tblPr>
        <w:tblW w:w="7723" w:type="dxa"/>
        <w:jc w:val="left"/>
        <w:tblInd w:w="0" w:type="dxa"/>
        <w:tblLayout w:type="fixed"/>
        <w:tblCellMar>
          <w:top w:w="28" w:type="dxa"/>
          <w:left w:w="28" w:type="dxa"/>
          <w:bottom w:w="28" w:type="dxa"/>
          <w:right w:w="28" w:type="dxa"/>
        </w:tblCellMar>
      </w:tblPr>
      <w:tblGrid>
        <w:gridCol w:w="124"/>
        <w:gridCol w:w="109"/>
        <w:gridCol w:w="109"/>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impact of any global health emergencies or other related disruptions on our business; </w:t>
            </w:r>
          </w:p>
        </w:tc>
      </w:tr>
    </w:tbl>
    <w:tbl>
      <w:tblPr>
        <w:tblW w:w="10205" w:type="dxa"/>
        <w:jc w:val="left"/>
        <w:tblInd w:w="0" w:type="dxa"/>
        <w:tblLayout w:type="fixed"/>
        <w:tblCellMar>
          <w:top w:w="28" w:type="dxa"/>
          <w:left w:w="28" w:type="dxa"/>
          <w:bottom w:w="28" w:type="dxa"/>
          <w:right w:w="28" w:type="dxa"/>
        </w:tblCellMar>
      </w:tblPr>
      <w:tblGrid>
        <w:gridCol w:w="161"/>
        <w:gridCol w:w="109"/>
        <w:gridCol w:w="109"/>
        <w:gridCol w:w="98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impact of new laws and regulations or amendments to existing laws and regulations in the United States and foreign countries;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unfavorable macroeconomic conditions or market volatility resulting from global economic conditions or geopolitical developments, including supply chain issues, inflationary pressures, changes in governmental agencies, international tariffs, trade protection measures, economic sanctions, economic slowdowns or recessions, acts of war, and civil and political unrest;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expectations regarding the period during which we will qualify as an emerging growth company under the Jumpstart Our Business Startups Act of 2012, as amended (the “JOBS Act”).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hAnsi="Times New Roman"/>
          <w:i/>
          <w:color w:val="000000"/>
          <w:sz w:val="20"/>
        </w:rPr>
        <w:t>Risk Factors</w:t>
      </w:r>
      <w:r>
        <w:rPr>
          <w:rFonts w:ascii="Times New Roman" w:hAnsi="Times New Roman"/>
          <w:color w:val="000000"/>
          <w:sz w:val="20"/>
        </w:rPr>
        <w:t xml:space="preserve">”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360" w:after="283"/>
        <w:jc w:val="left"/>
        <w:rPr>
          <w:rFonts w:ascii="Times New Roman" w:hAnsi="Times New Roman"/>
          <w:sz w:val="20"/>
        </w:rPr>
      </w:pPr>
      <w:r>
        <w:rPr>
          <w:rFonts w:ascii="Times New Roman" w:hAnsi="Times New Roman"/>
          <w:b/>
          <w:color w:val="000000"/>
          <w:sz w:val="20"/>
        </w:rPr>
        <w:t>Market and Industry Data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Trademarks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15"/>
        </w:rPr>
      </w:pPr>
      <w:r>
        <w:rPr>
          <w:rFonts w:ascii="Times New Roman" w:hAnsi="Times New Roman"/>
          <w:color w:val="000000"/>
          <w:sz w:val="20"/>
        </w:rPr>
        <w:t xml:space="preserve">Biomea Fusion, Inc., the Biomea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w:t>
      </w:r>
      <w:r>
        <w:rPr>
          <w:rFonts w:ascii="Times New Roman" w:hAnsi="Times New Roman"/>
          <w:color w:val="000000"/>
          <w:sz w:val="15"/>
        </w:rPr>
        <w:t xml:space="preserve">® </w:t>
      </w:r>
      <w:r>
        <w:rPr>
          <w:rFonts w:ascii="Times New Roman" w:hAnsi="Times New Roman"/>
          <w:color w:val="000000"/>
          <w:sz w:val="20"/>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r>
        <w:rPr>
          <w:rFonts w:ascii="Times New Roman" w:hAnsi="Times New Roman"/>
          <w:color w:val="000000"/>
          <w:sz w:val="15"/>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9" w:name="about_the_company"/>
      <w:bookmarkEnd w:id="39"/>
      <w:r>
        <w:rPr>
          <w:rFonts w:ascii="Times New Roman" w:hAnsi="Times New Roman"/>
          <w:b/>
          <w:color w:val="000000"/>
          <w:sz w:val="20"/>
        </w:rPr>
        <w:t>ABOUT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diabetes and obesity medicines company focused on the discovery and development of oral small molecule drugs to treat patients with metabolic diseases. A covalent small molecule drug is a synthetic compound that forms a permanent bond to its target protein and offers a number of potential advantages over conventional non-covalent drugs, including greater target selectivity, lower drug exposure, and the ability to drive a deeper, more durable response. Leveraging our extensive expertise in covalent binding chemistry and development, we built our proprietary FUSION System discovery platform to advance a pipeline of novel small molecule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 clinical program’s drug candidate, icovamenib, is currently being developed as an orally bioavailable, and selective covalent inhibitor of menin in two clinical and multiple preclinical studies, investigating icovamenib’s potential in type 1 and type 2 diabetes, as well as its impact in obesity. Menin serves as a checkpoint to prevent beta cell proliferation. Thus, we believe inhibiting menin via icovamenib has the potential to enable the proliferation, preservation, and reactivation of healthy, function beta cells capable of producing insulin, thereby leading to long-term glycemic control in patients with type 1 and type 2 diabetes. Menin is also an important transcriptional regulator known to play a direct role in oncogenic signaling in multiple cancers and in beta cell homeostasis.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preclinical studies, the administration of icovamenib has produced a pronounced effect in preclinical models of diabetes, normalizing glucose levels during treatment and even after drug washout. As of June 30, 2025 icovamenib is being evaluated in type 1 and type 2 diabetes across two ongoing clinical trials. With its strategic focus to become a diabetes and obesity medicines company, we plan to conclude our studies exploring icovamenib’s potential in oncology and explore partnerships to further advance our oncology assets (BMF-500, a covalent inhibitor of FLT3, currently in a Phase I study), while concentrating internal resources on metabolic disorders.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Beyond icovamenib, we are utilizing our novel FUSION System to pioneer treatments against other high-value genetic drivers of disease. In October 2024, we announced the nomination of BMF-650 our investigational, next-generation, oral small molecule GLP-1 RA, which is currently advancing through IND-enabling studies. With its unique pharmacokinetic profile and enhanced bioavailability, we believe BMF-650 has the potential to provide a best-in-class therapeutic option for diabetes and obesity. Our goal is to utilize our capabilities and our FUSION System platform to become the leader in developing covalent small molecules to maximize the depth and durability of clinical benefit when treating various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were formed under the laws of the State of Delaware on August 9, 2017 under the name “Biomea Fusion, LLC.” On December 18, 2020, all outstanding membership interests in Biomea Fusion, LLC were converted to equity interests in Biomea Fusion, Inc. In April 2021, we completed the initial public offering (“IPO”) of our common stock.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principal executive offices are located at 1599 Industrial Road San Carlos, CA 94070, and our telephone number is (650) 980-9099. Our corporate website address is </w:t>
      </w:r>
      <w:r>
        <w:rPr>
          <w:rFonts w:ascii="Times New Roman" w:hAnsi="Times New Roman"/>
          <w:i/>
          <w:color w:val="000000"/>
          <w:sz w:val="20"/>
        </w:rPr>
        <w:t>www.biomeafusion.com</w:t>
      </w:r>
      <w:r>
        <w:rPr>
          <w:rFonts w:ascii="Times New Roman" w:hAnsi="Times New Roman"/>
          <w:color w:val="000000"/>
          <w:sz w:val="20"/>
        </w:rPr>
        <w:t xml:space="preserve">. Our website and the information contained on, or that can be accessed through, the website will not be deemed to be incorporated by reference in, and are not considered part of, this prospectus. You should not rely on any such information in making your decision whether to purchase our securities.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hAnsi="Times New Roman"/>
          <w:i/>
          <w:color w:val="000000"/>
          <w:sz w:val="20"/>
        </w:rPr>
        <w:t>www.sec.gov</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For additional information about our Company, please refer to other documents we have filed with the SEC and that are incorporated by reference into this prospectus, as listed under the heading “</w:t>
      </w:r>
      <w:r>
        <w:rPr>
          <w:rFonts w:ascii="Times New Roman" w:hAnsi="Times New Roman"/>
          <w:i/>
          <w:color w:val="000000"/>
          <w:sz w:val="20"/>
        </w:rPr>
        <w:t>Incorporation of Certain Information by Reference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Implications of Being an Emerging Growth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qualify as an “emerging growth company” as defined in the JOBS Act. As an emerging growth company, we may take advantage of specified reduced disclosure and other requirements that are otherwise applicable generally to public companies. These provisions include, but are not limited to: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being permitted to present only two years of audited financial statements and only two years of related “Management’s Discussion and Analysis of Financial Condition and Results of Operations” in our periodic reports and registration statements;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not being required to comply with the auditor attestation requirements of Section 404 of the Sarbanes-Oxley Act of 2002, as amended (“SOX”);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reduced disclosure obligations regarding executive compensation in our periodic reports, proxy statements, and registration statements;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exemptions until such time that we are no longer an emerging growth company. We will remain an emerging growth company until the earliest to occur of: (i) the last day of the fiscal year in which we have total annual gross revenues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Accordingly, the information contained herein may be different from the information you receive from other public companies in which you hold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elected to utilize the exemption for the delayed adoption of certain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As a result of this election, the information that we provide in this prospectus or any applicable prospectus supplement or free writing prospectus may be different than the information you may receive from other public companies in which you hold equity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We may continue to be a smaller reporting company even after we are no longer an emerging growth company. We may continue to be a smaller reporting company after any offering under this prospectus and any accompanying prospectus supplement if either (i) the market value of our shares held by non-affiliates is less than $250 million as measured on the last business day of our second fiscal quarter or (ii) our annual revenue was less than $100 million during the most recently completed fiscal year and the market value of our shares held by non-affiliates is less than $700 million as measured on the last business day of our second fiscal quarter. Specifically, as a smaller reporting company, we may choose to present only the two most recent fiscal years of audited financial statements in our Annual Report on Form 10-K and have reduced disclosure obligations regarding executive compensation. Further, if we are a smaller reporting company with less than $100 million in annual revenue, we would not be required to obtain an attestation report on internal control over financial reporting issued by our independent registered public accounting firm.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0" w:name="risk_factors"/>
      <w:bookmarkEnd w:id="40"/>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Item 1A under the caption “</w:t>
      </w:r>
      <w:r>
        <w:rPr>
          <w:rFonts w:ascii="Times New Roman" w:hAnsi="Times New Roman"/>
          <w:i/>
          <w:color w:val="000000"/>
          <w:sz w:val="20"/>
        </w:rPr>
        <w:t>Risk Factors</w:t>
      </w:r>
      <w:r>
        <w:rPr>
          <w:rFonts w:ascii="Times New Roman" w:hAnsi="Times New Roman"/>
          <w:color w:val="000000"/>
          <w:sz w:val="20"/>
        </w:rPr>
        <w:t>” and elsewhere in our annual report on Form 10-K for the fiscal year ended December 31, 2024, which is incorporated into this prospectus by reference, as updated by our annual or quarterly reports for subsequent fiscal years or fiscal quarters that we file with the SEC and that are so incorporated. See “</w:t>
      </w:r>
      <w:r>
        <w:rPr>
          <w:rFonts w:ascii="Times New Roman" w:hAnsi="Times New Roman"/>
          <w:i/>
          <w:color w:val="000000"/>
          <w:sz w:val="20"/>
        </w:rPr>
        <w:t>Where You Can Find More Information</w:t>
      </w:r>
      <w:r>
        <w:rPr>
          <w:rFonts w:ascii="Times New Roman" w:hAnsi="Times New Roman"/>
          <w:color w:val="000000"/>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1" w:name="use_of_proceeds"/>
      <w:bookmarkEnd w:id="41"/>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2" w:name="dividend_policy"/>
      <w:bookmarkEnd w:id="42"/>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3" w:name="general_description_of_securities"/>
      <w:bookmarkEnd w:id="43"/>
      <w:r>
        <w:rPr>
          <w:rFonts w:ascii="Times New Roman" w:hAnsi="Times New Roman"/>
          <w:b/>
          <w:color w:val="000000"/>
          <w:sz w:val="20"/>
        </w:rPr>
        <w:t>GENERAL DESCRIPTION OF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 </w:t>
      </w:r>
    </w:p>
    <w:tbl>
      <w:tblPr>
        <w:tblW w:w="2893" w:type="dxa"/>
        <w:jc w:val="left"/>
        <w:tblInd w:w="0" w:type="dxa"/>
        <w:tblLayout w:type="fixed"/>
        <w:tblCellMar>
          <w:top w:w="28" w:type="dxa"/>
          <w:left w:w="28" w:type="dxa"/>
          <w:bottom w:w="28" w:type="dxa"/>
          <w:right w:w="28" w:type="dxa"/>
        </w:tblCellMar>
      </w:tblPr>
      <w:tblGrid>
        <w:gridCol w:w="124"/>
        <w:gridCol w:w="109"/>
        <w:gridCol w:w="109"/>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designation or classification; </w:t>
            </w:r>
          </w:p>
        </w:tc>
      </w:tr>
    </w:tbl>
    <w:tbl>
      <w:tblPr>
        <w:tblW w:w="5023" w:type="dxa"/>
        <w:jc w:val="left"/>
        <w:tblInd w:w="0" w:type="dxa"/>
        <w:tblLayout w:type="fixed"/>
        <w:tblCellMar>
          <w:top w:w="28" w:type="dxa"/>
          <w:left w:w="28" w:type="dxa"/>
          <w:bottom w:w="28" w:type="dxa"/>
          <w:right w:w="28" w:type="dxa"/>
        </w:tblCellMar>
      </w:tblPr>
      <w:tblGrid>
        <w:gridCol w:w="124"/>
        <w:gridCol w:w="109"/>
        <w:gridCol w:w="109"/>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aggregate principal amount or aggregate offering price; </w:t>
            </w:r>
          </w:p>
        </w:tc>
      </w:tr>
    </w:tbl>
    <w:tbl>
      <w:tblPr>
        <w:tblW w:w="2323" w:type="dxa"/>
        <w:jc w:val="left"/>
        <w:tblInd w:w="0" w:type="dxa"/>
        <w:tblLayout w:type="fixed"/>
        <w:tblCellMar>
          <w:top w:w="28" w:type="dxa"/>
          <w:left w:w="28" w:type="dxa"/>
          <w:bottom w:w="28" w:type="dxa"/>
          <w:right w:w="28" w:type="dxa"/>
        </w:tblCellMar>
      </w:tblPr>
      <w:tblGrid>
        <w:gridCol w:w="124"/>
        <w:gridCol w:w="109"/>
        <w:gridCol w:w="109"/>
        <w:gridCol w:w="19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voting or other rights; </w:t>
            </w:r>
          </w:p>
        </w:tc>
      </w:tr>
    </w:tbl>
    <w:tbl>
      <w:tblPr>
        <w:tblW w:w="6013" w:type="dxa"/>
        <w:jc w:val="left"/>
        <w:tblInd w:w="0" w:type="dxa"/>
        <w:tblLayout w:type="fixed"/>
        <w:tblCellMar>
          <w:top w:w="28" w:type="dxa"/>
          <w:left w:w="28" w:type="dxa"/>
          <w:bottom w:w="28" w:type="dxa"/>
          <w:right w:w="28" w:type="dxa"/>
        </w:tblCellMar>
      </w:tblPr>
      <w:tblGrid>
        <w:gridCol w:w="124"/>
        <w:gridCol w:w="109"/>
        <w:gridCol w:w="109"/>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rates and times of payment of interest, dividends or other payments; </w:t>
            </w:r>
          </w:p>
        </w:tc>
      </w:tr>
    </w:tbl>
    <w:tbl>
      <w:tblPr>
        <w:tblW w:w="2398" w:type="dxa"/>
        <w:jc w:val="left"/>
        <w:tblInd w:w="0" w:type="dxa"/>
        <w:tblLayout w:type="fixed"/>
        <w:tblCellMar>
          <w:top w:w="28" w:type="dxa"/>
          <w:left w:w="28" w:type="dxa"/>
          <w:bottom w:w="28" w:type="dxa"/>
          <w:right w:w="28" w:type="dxa"/>
        </w:tblCellMar>
      </w:tblPr>
      <w:tblGrid>
        <w:gridCol w:w="124"/>
        <w:gridCol w:w="109"/>
        <w:gridCol w:w="109"/>
        <w:gridCol w:w="2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liquidation preference; </w:t>
            </w:r>
          </w:p>
        </w:tc>
      </w:tr>
    </w:tbl>
    <w:tbl>
      <w:tblPr>
        <w:tblW w:w="2443" w:type="dxa"/>
        <w:jc w:val="left"/>
        <w:tblInd w:w="0" w:type="dxa"/>
        <w:tblLayout w:type="fixed"/>
        <w:tblCellMar>
          <w:top w:w="28" w:type="dxa"/>
          <w:left w:w="28" w:type="dxa"/>
          <w:bottom w:w="28" w:type="dxa"/>
          <w:right w:w="28" w:type="dxa"/>
        </w:tblCellMar>
      </w:tblPr>
      <w:tblGrid>
        <w:gridCol w:w="124"/>
        <w:gridCol w:w="109"/>
        <w:gridCol w:w="109"/>
        <w:gridCol w:w="2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original issue discount; </w:t>
            </w:r>
          </w:p>
        </w:tc>
      </w:tr>
    </w:tbl>
    <w:tbl>
      <w:tblPr>
        <w:tblW w:w="1288" w:type="dxa"/>
        <w:jc w:val="left"/>
        <w:tblInd w:w="0" w:type="dxa"/>
        <w:tblLayout w:type="fixed"/>
        <w:tblCellMar>
          <w:top w:w="28" w:type="dxa"/>
          <w:left w:w="28" w:type="dxa"/>
          <w:bottom w:w="28" w:type="dxa"/>
          <w:right w:w="28" w:type="dxa"/>
        </w:tblCellMar>
      </w:tblPr>
      <w:tblGrid>
        <w:gridCol w:w="124"/>
        <w:gridCol w:w="109"/>
        <w:gridCol w:w="109"/>
        <w:gridCol w:w="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maturity; </w:t>
            </w:r>
          </w:p>
        </w:tc>
      </w:tr>
    </w:tbl>
    <w:tbl>
      <w:tblPr>
        <w:tblW w:w="1228" w:type="dxa"/>
        <w:jc w:val="left"/>
        <w:tblInd w:w="0" w:type="dxa"/>
        <w:tblLayout w:type="fixed"/>
        <w:tblCellMar>
          <w:top w:w="28" w:type="dxa"/>
          <w:left w:w="28" w:type="dxa"/>
          <w:bottom w:w="28" w:type="dxa"/>
          <w:right w:w="28" w:type="dxa"/>
        </w:tblCellMar>
      </w:tblPr>
      <w:tblGrid>
        <w:gridCol w:w="124"/>
        <w:gridCol w:w="109"/>
        <w:gridCol w:w="109"/>
        <w:gridCol w:w="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ranking; </w:t>
            </w:r>
          </w:p>
        </w:tc>
      </w:tr>
    </w:tbl>
    <w:tbl>
      <w:tblPr>
        <w:tblW w:w="2278" w:type="dxa"/>
        <w:jc w:val="left"/>
        <w:tblInd w:w="0" w:type="dxa"/>
        <w:tblLayout w:type="fixed"/>
        <w:tblCellMar>
          <w:top w:w="28" w:type="dxa"/>
          <w:left w:w="28" w:type="dxa"/>
          <w:bottom w:w="28" w:type="dxa"/>
          <w:right w:w="28" w:type="dxa"/>
        </w:tblCellMar>
      </w:tblPr>
      <w:tblGrid>
        <w:gridCol w:w="124"/>
        <w:gridCol w:w="109"/>
        <w:gridCol w:w="109"/>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restrictive covenants;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redemption, conversion, exercise, exchange, settlement or sinking fund terms, including prices or rates, and any provisions for changes to or adjustments in such prices or rates and in the securities or other property receivable upon conversion, exercise, exchange or settlement; </w:t>
            </w:r>
          </w:p>
        </w:tc>
      </w:tr>
    </w:tbl>
    <w:tbl>
      <w:tblPr>
        <w:tblW w:w="5383" w:type="dxa"/>
        <w:jc w:val="left"/>
        <w:tblInd w:w="0" w:type="dxa"/>
        <w:tblLayout w:type="fixed"/>
        <w:tblCellMar>
          <w:top w:w="28" w:type="dxa"/>
          <w:left w:w="28" w:type="dxa"/>
          <w:bottom w:w="28" w:type="dxa"/>
          <w:right w:w="28" w:type="dxa"/>
        </w:tblCellMar>
      </w:tblPr>
      <w:tblGrid>
        <w:gridCol w:w="124"/>
        <w:gridCol w:w="109"/>
        <w:gridCol w:w="109"/>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securities exchange or market listing arrangements; and </w:t>
            </w:r>
          </w:p>
        </w:tc>
      </w:tr>
    </w:tbl>
    <w:tbl>
      <w:tblPr>
        <w:tblW w:w="4528" w:type="dxa"/>
        <w:jc w:val="left"/>
        <w:tblInd w:w="0" w:type="dxa"/>
        <w:tblLayout w:type="fixed"/>
        <w:tblCellMar>
          <w:top w:w="28" w:type="dxa"/>
          <w:left w:w="28" w:type="dxa"/>
          <w:bottom w:w="28" w:type="dxa"/>
          <w:right w:w="28" w:type="dxa"/>
        </w:tblCellMar>
      </w:tblPr>
      <w:tblGrid>
        <w:gridCol w:w="124"/>
        <w:gridCol w:w="109"/>
        <w:gridCol w:w="109"/>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important U.S. federal income tax considerations.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sell the securities directly to or through underwriters, dealers or agents.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 </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hAnsi="Times New Roman"/>
          <w:i/>
          <w:color w:val="000000"/>
          <w:sz w:val="20"/>
        </w:rPr>
        <w:t>Where You Can Find More Information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4" w:name="description_of_capital_stock"/>
      <w:bookmarkEnd w:id="44"/>
      <w:r>
        <w:rPr>
          <w:rFonts w:ascii="Times New Roman" w:hAnsi="Times New Roman"/>
          <w:b/>
          <w:color w:val="000000"/>
          <w:sz w:val="20"/>
        </w:rPr>
        <w:t>DESCRIPTION OF CAPITAL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283"/>
        <w:jc w:val="left"/>
        <w:rPr>
          <w:rFonts w:ascii="Times New Roman" w:hAnsi="Times New Roman"/>
          <w:sz w:val="20"/>
        </w:rPr>
      </w:pPr>
      <w:r>
        <w:rPr>
          <w:rFonts w:ascii="Times New Roman" w:hAnsi="Times New Roman"/>
          <w:b/>
          <w:color w:val="000000"/>
          <w:sz w:val="20"/>
        </w:rPr>
        <w:t>Authorized Capital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authorized capital stock consists of 300,000,000 shares of common stock, par value $0.0001 per share, and 10,000,000 shares of preferred stock, par value $0.0001 per share, all of which preferred stock is undesignated. As of June 30, 2025, we had 58,127,256 shares of our common stock outstanding and no shares of preferred stock outstanding. Unless our board of directors determines otherwise, we will issue all shares of our capital stock in uncertificated form. </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validly issued, fully paid and non-assessable. </w:t>
      </w:r>
    </w:p>
    <w:p>
      <w:pPr>
        <w:pStyle w:val="TextBody"/>
        <w:bidi w:val="0"/>
        <w:spacing w:before="360" w:after="283"/>
        <w:jc w:val="left"/>
        <w:rPr>
          <w:rFonts w:ascii="Times New Roman" w:hAnsi="Times New Roman"/>
          <w:sz w:val="20"/>
        </w:rPr>
      </w:pPr>
      <w:r>
        <w:rPr>
          <w:rFonts w:ascii="Times New Roman" w:hAnsi="Times New Roman"/>
          <w:b/>
          <w:i/>
          <w:color w:val="000000"/>
          <w:sz w:val="20"/>
        </w:rPr>
        <w:t>Exchange Listing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Select Market under the symbol “BMEA.” On July 31, 2025, the closing price for our common stock, as reported on The Nasdaq Global Select Market, was $1.66 per share. As of June 30, 2025, we had approximately 33 stockholders of record. </w:t>
      </w:r>
    </w:p>
    <w:p>
      <w:pPr>
        <w:pStyle w:val="TextBody"/>
        <w:bidi w:val="0"/>
        <w:spacing w:before="360" w:after="283"/>
        <w:jc w:val="left"/>
        <w:rPr>
          <w:rFonts w:ascii="Times New Roman" w:hAnsi="Times New Roman"/>
          <w:sz w:val="20"/>
        </w:rPr>
      </w:pPr>
      <w:r>
        <w:rPr>
          <w:rFonts w:ascii="Times New Roman" w:hAnsi="Times New Roman"/>
          <w:b/>
          <w:i/>
          <w:color w:val="000000"/>
          <w:sz w:val="20"/>
        </w:rPr>
        <w:t>Transfer Agent and Registrar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transfer agent and registrar for our common stock is Equiniti Trust Company, LLC. The transfer agent and registrar’s address is 28 Liberty Street, Floor 53, New York, NY 10005. </w:t>
      </w:r>
    </w:p>
    <w:p>
      <w:pPr>
        <w:pStyle w:val="TextBody"/>
        <w:bidi w:val="0"/>
        <w:spacing w:before="36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Undesignated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 </w:t>
      </w:r>
    </w:p>
    <w:tbl>
      <w:tblPr>
        <w:tblW w:w="1843" w:type="dxa"/>
        <w:jc w:val="left"/>
        <w:tblInd w:w="0" w:type="dxa"/>
        <w:tblLayout w:type="fixed"/>
        <w:tblCellMar>
          <w:top w:w="28" w:type="dxa"/>
          <w:left w:w="28" w:type="dxa"/>
          <w:bottom w:w="28" w:type="dxa"/>
          <w:right w:w="28" w:type="dxa"/>
        </w:tblCellMar>
      </w:tblPr>
      <w:tblGrid>
        <w:gridCol w:w="124"/>
        <w:gridCol w:w="109"/>
        <w:gridCol w:w="109"/>
        <w:gridCol w:w="15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dividend rights; </w:t>
            </w:r>
          </w:p>
        </w:tc>
      </w:tr>
    </w:tbl>
    <w:tbl>
      <w:tblPr>
        <w:tblW w:w="1753" w:type="dxa"/>
        <w:jc w:val="left"/>
        <w:tblInd w:w="0" w:type="dxa"/>
        <w:tblLayout w:type="fixed"/>
        <w:tblCellMar>
          <w:top w:w="28" w:type="dxa"/>
          <w:left w:w="28" w:type="dxa"/>
          <w:bottom w:w="28" w:type="dxa"/>
          <w:right w:w="28" w:type="dxa"/>
        </w:tblCellMar>
      </w:tblPr>
      <w:tblGrid>
        <w:gridCol w:w="124"/>
        <w:gridCol w:w="109"/>
        <w:gridCol w:w="109"/>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dividend rates; </w:t>
            </w:r>
          </w:p>
        </w:tc>
      </w:tr>
    </w:tbl>
    <w:tbl>
      <w:tblPr>
        <w:tblW w:w="2008" w:type="dxa"/>
        <w:jc w:val="left"/>
        <w:tblInd w:w="0" w:type="dxa"/>
        <w:tblLayout w:type="fixed"/>
        <w:tblCellMar>
          <w:top w:w="28" w:type="dxa"/>
          <w:left w:w="28" w:type="dxa"/>
          <w:bottom w:w="28" w:type="dxa"/>
          <w:right w:w="28" w:type="dxa"/>
        </w:tblCellMar>
      </w:tblPr>
      <w:tblGrid>
        <w:gridCol w:w="124"/>
        <w:gridCol w:w="109"/>
        <w:gridCol w:w="109"/>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conversion rights; </w:t>
            </w:r>
          </w:p>
        </w:tc>
      </w:tr>
    </w:tbl>
    <w:tbl>
      <w:tblPr>
        <w:tblW w:w="1648" w:type="dxa"/>
        <w:jc w:val="left"/>
        <w:tblInd w:w="0" w:type="dxa"/>
        <w:tblLayout w:type="fixed"/>
        <w:tblCellMar>
          <w:top w:w="28" w:type="dxa"/>
          <w:left w:w="28" w:type="dxa"/>
          <w:bottom w:w="28" w:type="dxa"/>
          <w:right w:w="28" w:type="dxa"/>
        </w:tblCellMar>
      </w:tblPr>
      <w:tblGrid>
        <w:gridCol w:w="124"/>
        <w:gridCol w:w="109"/>
        <w:gridCol w:w="109"/>
        <w:gridCol w:w="13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voting rights; </w:t>
            </w:r>
          </w:p>
        </w:tc>
      </w:tr>
    </w:tbl>
    <w:tbl>
      <w:tblPr>
        <w:tblW w:w="2563" w:type="dxa"/>
        <w:jc w:val="left"/>
        <w:tblInd w:w="0" w:type="dxa"/>
        <w:tblLayout w:type="fixed"/>
        <w:tblCellMar>
          <w:top w:w="28" w:type="dxa"/>
          <w:left w:w="28" w:type="dxa"/>
          <w:bottom w:w="28" w:type="dxa"/>
          <w:right w:w="28" w:type="dxa"/>
        </w:tblCellMar>
      </w:tblPr>
      <w:tblGrid>
        <w:gridCol w:w="124"/>
        <w:gridCol w:w="109"/>
        <w:gridCol w:w="109"/>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terms of redemption; and </w:t>
            </w:r>
          </w:p>
        </w:tc>
      </w:tr>
    </w:tbl>
    <w:tbl>
      <w:tblPr>
        <w:tblW w:w="2458" w:type="dxa"/>
        <w:jc w:val="left"/>
        <w:tblInd w:w="0" w:type="dxa"/>
        <w:tblLayout w:type="fixed"/>
        <w:tblCellMar>
          <w:top w:w="28" w:type="dxa"/>
          <w:left w:w="28" w:type="dxa"/>
          <w:bottom w:w="28" w:type="dxa"/>
          <w:right w:w="28" w:type="dxa"/>
        </w:tblCellMar>
      </w:tblPr>
      <w:tblGrid>
        <w:gridCol w:w="124"/>
        <w:gridCol w:w="109"/>
        <w:gridCol w:w="109"/>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liquidation preferences.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283"/>
        <w:jc w:val="left"/>
        <w:rPr>
          <w:rFonts w:ascii="Times New Roman" w:hAnsi="Times New Roman"/>
          <w:sz w:val="20"/>
        </w:rPr>
      </w:pPr>
      <w:r>
        <w:rPr>
          <w:rFonts w:ascii="Times New Roman" w:hAnsi="Times New Roman"/>
          <w:b/>
          <w:i/>
          <w:color w:val="000000"/>
          <w:sz w:val="20"/>
        </w:rPr>
        <w:t>Additional Series of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 </w:t>
      </w:r>
    </w:p>
    <w:tbl>
      <w:tblPr>
        <w:tblW w:w="2593" w:type="dxa"/>
        <w:jc w:val="left"/>
        <w:tblInd w:w="0" w:type="dxa"/>
        <w:tblLayout w:type="fixed"/>
        <w:tblCellMar>
          <w:top w:w="28" w:type="dxa"/>
          <w:left w:w="28" w:type="dxa"/>
          <w:bottom w:w="28" w:type="dxa"/>
          <w:right w:w="28" w:type="dxa"/>
        </w:tblCellMar>
      </w:tblPr>
      <w:tblGrid>
        <w:gridCol w:w="124"/>
        <w:gridCol w:w="109"/>
        <w:gridCol w:w="109"/>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title and stated value; </w:t>
            </w:r>
          </w:p>
        </w:tc>
      </w:tr>
    </w:tbl>
    <w:tbl>
      <w:tblPr>
        <w:tblW w:w="3178" w:type="dxa"/>
        <w:jc w:val="left"/>
        <w:tblInd w:w="0" w:type="dxa"/>
        <w:tblLayout w:type="fixed"/>
        <w:tblCellMar>
          <w:top w:w="28" w:type="dxa"/>
          <w:left w:w="28" w:type="dxa"/>
          <w:bottom w:w="28" w:type="dxa"/>
          <w:right w:w="28" w:type="dxa"/>
        </w:tblCellMar>
      </w:tblPr>
      <w:tblGrid>
        <w:gridCol w:w="124"/>
        <w:gridCol w:w="109"/>
        <w:gridCol w:w="109"/>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number of shares authorized; </w:t>
            </w:r>
          </w:p>
        </w:tc>
      </w:tr>
    </w:tbl>
    <w:tbl>
      <w:tblPr>
        <w:tblW w:w="3463" w:type="dxa"/>
        <w:jc w:val="left"/>
        <w:tblInd w:w="0" w:type="dxa"/>
        <w:tblLayout w:type="fixed"/>
        <w:tblCellMar>
          <w:top w:w="28" w:type="dxa"/>
          <w:left w:w="28" w:type="dxa"/>
          <w:bottom w:w="28" w:type="dxa"/>
          <w:right w:w="28" w:type="dxa"/>
        </w:tblCellMar>
      </w:tblPr>
      <w:tblGrid>
        <w:gridCol w:w="124"/>
        <w:gridCol w:w="109"/>
        <w:gridCol w:w="109"/>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liquidation preference per share; </w:t>
            </w:r>
          </w:p>
        </w:tc>
      </w:tr>
    </w:tbl>
    <w:tbl>
      <w:tblPr>
        <w:tblW w:w="2068" w:type="dxa"/>
        <w:jc w:val="left"/>
        <w:tblInd w:w="0" w:type="dxa"/>
        <w:tblLayout w:type="fixed"/>
        <w:tblCellMar>
          <w:top w:w="28" w:type="dxa"/>
          <w:left w:w="28" w:type="dxa"/>
          <w:bottom w:w="28" w:type="dxa"/>
          <w:right w:w="28" w:type="dxa"/>
        </w:tblCellMar>
      </w:tblPr>
      <w:tblGrid>
        <w:gridCol w:w="124"/>
        <w:gridCol w:w="109"/>
        <w:gridCol w:w="109"/>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purchase price; </w:t>
            </w:r>
          </w:p>
        </w:tc>
      </w:tr>
    </w:tbl>
    <w:tbl>
      <w:tblPr>
        <w:tblW w:w="7423" w:type="dxa"/>
        <w:jc w:val="left"/>
        <w:tblInd w:w="0" w:type="dxa"/>
        <w:tblLayout w:type="fixed"/>
        <w:tblCellMar>
          <w:top w:w="28" w:type="dxa"/>
          <w:left w:w="28" w:type="dxa"/>
          <w:bottom w:w="28" w:type="dxa"/>
          <w:right w:w="28" w:type="dxa"/>
        </w:tblCellMar>
      </w:tblPr>
      <w:tblGrid>
        <w:gridCol w:w="124"/>
        <w:gridCol w:w="109"/>
        <w:gridCol w:w="109"/>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dividend rate, period and payment date, and method of calculation for dividends;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dividends will be cumulative or non-cumulative and, if cumulative, the date from which dividends will accumulate; </w:t>
            </w:r>
          </w:p>
        </w:tc>
      </w:tr>
    </w:tbl>
    <w:tbl>
      <w:tblPr>
        <w:tblW w:w="4978" w:type="dxa"/>
        <w:jc w:val="left"/>
        <w:tblInd w:w="0" w:type="dxa"/>
        <w:tblLayout w:type="fixed"/>
        <w:tblCellMar>
          <w:top w:w="28" w:type="dxa"/>
          <w:left w:w="28" w:type="dxa"/>
          <w:bottom w:w="28" w:type="dxa"/>
          <w:right w:w="28" w:type="dxa"/>
        </w:tblCellMar>
      </w:tblPr>
      <w:tblGrid>
        <w:gridCol w:w="124"/>
        <w:gridCol w:w="109"/>
        <w:gridCol w:w="109"/>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procedures for any auction and remarketing, if any; </w:t>
            </w:r>
          </w:p>
        </w:tc>
      </w:tr>
    </w:tbl>
    <w:tbl>
      <w:tblPr>
        <w:tblW w:w="3793" w:type="dxa"/>
        <w:jc w:val="left"/>
        <w:tblInd w:w="0" w:type="dxa"/>
        <w:tblLayout w:type="fixed"/>
        <w:tblCellMar>
          <w:top w:w="28" w:type="dxa"/>
          <w:left w:w="28" w:type="dxa"/>
          <w:bottom w:w="28" w:type="dxa"/>
          <w:right w:w="28" w:type="dxa"/>
        </w:tblCellMar>
      </w:tblPr>
      <w:tblGrid>
        <w:gridCol w:w="124"/>
        <w:gridCol w:w="109"/>
        <w:gridCol w:w="109"/>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provisions for a sinking fund, if any;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provisions for redemption or repurchase, if applicable, and any restrictions on our ability to exercise those redemption and repurchase rights; </w:t>
            </w:r>
          </w:p>
        </w:tc>
      </w:tr>
    </w:tbl>
    <w:tbl>
      <w:tblPr>
        <w:tblW w:w="6268" w:type="dxa"/>
        <w:jc w:val="left"/>
        <w:tblInd w:w="0" w:type="dxa"/>
        <w:tblLayout w:type="fixed"/>
        <w:tblCellMar>
          <w:top w:w="28" w:type="dxa"/>
          <w:left w:w="28" w:type="dxa"/>
          <w:bottom w:w="28" w:type="dxa"/>
          <w:right w:w="28" w:type="dxa"/>
        </w:tblCellMar>
      </w:tblPr>
      <w:tblGrid>
        <w:gridCol w:w="124"/>
        <w:gridCol w:w="109"/>
        <w:gridCol w:w="109"/>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listing of the preferred stock on any securities exchange or market;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the preferred stock will be convertible into our common stock, and, if applicable, the conversion price, or how it will be calculated, and the conversion period;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the preferred stock will be exchangeable into debt securities, and, if applicable, the exchange price, or how it will be calculated, and the exchange period; </w:t>
            </w:r>
          </w:p>
        </w:tc>
      </w:tr>
    </w:tbl>
    <w:tbl>
      <w:tblPr>
        <w:tblW w:w="4003" w:type="dxa"/>
        <w:jc w:val="left"/>
        <w:tblInd w:w="0" w:type="dxa"/>
        <w:tblLayout w:type="fixed"/>
        <w:tblCellMar>
          <w:top w:w="28" w:type="dxa"/>
          <w:left w:w="28" w:type="dxa"/>
          <w:bottom w:w="28" w:type="dxa"/>
          <w:right w:w="28" w:type="dxa"/>
        </w:tblCellMar>
      </w:tblPr>
      <w:tblGrid>
        <w:gridCol w:w="124"/>
        <w:gridCol w:w="109"/>
        <w:gridCol w:w="109"/>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voting rights, if any, of the preferred stock; </w:t>
            </w:r>
          </w:p>
        </w:tc>
      </w:tr>
    </w:tbl>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578" w:type="dxa"/>
        <w:jc w:val="left"/>
        <w:tblInd w:w="0" w:type="dxa"/>
        <w:tblLayout w:type="fixed"/>
        <w:tblCellMar>
          <w:top w:w="28" w:type="dxa"/>
          <w:left w:w="28" w:type="dxa"/>
          <w:bottom w:w="28" w:type="dxa"/>
          <w:right w:w="28" w:type="dxa"/>
        </w:tblCellMar>
      </w:tblPr>
      <w:tblGrid>
        <w:gridCol w:w="124"/>
        <w:gridCol w:w="109"/>
        <w:gridCol w:w="109"/>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preemptive rights, if any; </w:t>
            </w:r>
          </w:p>
        </w:tc>
      </w:tr>
    </w:tbl>
    <w:tbl>
      <w:tblPr>
        <w:tblW w:w="4993" w:type="dxa"/>
        <w:jc w:val="left"/>
        <w:tblInd w:w="0" w:type="dxa"/>
        <w:tblLayout w:type="fixed"/>
        <w:tblCellMar>
          <w:top w:w="28" w:type="dxa"/>
          <w:left w:w="28" w:type="dxa"/>
          <w:bottom w:w="28" w:type="dxa"/>
          <w:right w:w="28" w:type="dxa"/>
        </w:tblCellMar>
      </w:tblPr>
      <w:tblGrid>
        <w:gridCol w:w="124"/>
        <w:gridCol w:w="109"/>
        <w:gridCol w:w="109"/>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restrictions on transfer, sale or other assignment, if any; </w:t>
            </w:r>
          </w:p>
        </w:tc>
      </w:tr>
    </w:tbl>
    <w:tbl>
      <w:tblPr>
        <w:tblW w:w="6988" w:type="dxa"/>
        <w:jc w:val="left"/>
        <w:tblInd w:w="0" w:type="dxa"/>
        <w:tblLayout w:type="fixed"/>
        <w:tblCellMar>
          <w:top w:w="28" w:type="dxa"/>
          <w:left w:w="28" w:type="dxa"/>
          <w:bottom w:w="28" w:type="dxa"/>
          <w:right w:w="28" w:type="dxa"/>
        </w:tblCellMar>
      </w:tblPr>
      <w:tblGrid>
        <w:gridCol w:w="124"/>
        <w:gridCol w:w="109"/>
        <w:gridCol w:w="109"/>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interests in the preferred stock will be represented by depositary shares; </w:t>
            </w:r>
          </w:p>
        </w:tc>
      </w:tr>
    </w:tbl>
    <w:tbl>
      <w:tblPr>
        <w:tblW w:w="9403" w:type="dxa"/>
        <w:jc w:val="left"/>
        <w:tblInd w:w="0" w:type="dxa"/>
        <w:tblLayout w:type="fixed"/>
        <w:tblCellMar>
          <w:top w:w="28" w:type="dxa"/>
          <w:left w:w="28" w:type="dxa"/>
          <w:bottom w:w="28" w:type="dxa"/>
          <w:right w:w="28" w:type="dxa"/>
        </w:tblCellMar>
      </w:tblPr>
      <w:tblGrid>
        <w:gridCol w:w="124"/>
        <w:gridCol w:w="109"/>
        <w:gridCol w:w="109"/>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 discussion of any material United States federal income tax considerations applicable to the preferred stock;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relative ranking and preferences of the preferred stock as to dividend rights and rights if we liquidate, dissolve or wind up our affairs;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limitations on issuance of any class or series of preferred stock ranking senior to or on a parity with the series of preferred stock as to dividend rights and rights if we liquidate, dissolve or wind up our affairs; and </w:t>
            </w:r>
          </w:p>
        </w:tc>
      </w:tr>
    </w:tbl>
    <w:tbl>
      <w:tblPr>
        <w:tblW w:w="8458" w:type="dxa"/>
        <w:jc w:val="left"/>
        <w:tblInd w:w="0" w:type="dxa"/>
        <w:tblLayout w:type="fixed"/>
        <w:tblCellMar>
          <w:top w:w="28" w:type="dxa"/>
          <w:left w:w="28" w:type="dxa"/>
          <w:bottom w:w="28" w:type="dxa"/>
          <w:right w:w="28" w:type="dxa"/>
        </w:tblCellMar>
      </w:tblPr>
      <w:tblGrid>
        <w:gridCol w:w="124"/>
        <w:gridCol w:w="109"/>
        <w:gridCol w:w="109"/>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other specific terms, preferences, rights or limitations of, or restrictions on, the preferred stock.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issue shares of preferred stock under this prospectus, the shares will fully be paid and nonassessable and will not be subject to any preemptive or similar rights. </w:t>
      </w:r>
    </w:p>
    <w:p>
      <w:pPr>
        <w:pStyle w:val="TextBody"/>
        <w:bidi w:val="0"/>
        <w:spacing w:before="360" w:after="283"/>
        <w:jc w:val="left"/>
        <w:rPr>
          <w:rFonts w:ascii="Times New Roman" w:hAnsi="Times New Roman"/>
          <w:sz w:val="20"/>
        </w:rPr>
      </w:pPr>
      <w:r>
        <w:rPr>
          <w:rFonts w:ascii="Times New Roman" w:hAnsi="Times New Roman"/>
          <w:b/>
          <w:color w:val="000000"/>
          <w:sz w:val="20"/>
        </w:rPr>
        <w:t>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holders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 </w:t>
      </w:r>
    </w:p>
    <w:p>
      <w:pPr>
        <w:pStyle w:val="TextBody"/>
        <w:bidi w:val="0"/>
        <w:spacing w:before="360" w:after="283"/>
        <w:jc w:val="left"/>
        <w:rPr>
          <w:rFonts w:ascii="Times New Roman" w:hAnsi="Times New Roman"/>
          <w:sz w:val="20"/>
        </w:rPr>
      </w:pPr>
      <w:r>
        <w:rPr>
          <w:rFonts w:ascii="Times New Roman" w:hAnsi="Times New Roman"/>
          <w:b/>
          <w:i/>
          <w:color w:val="000000"/>
          <w:sz w:val="20"/>
        </w:rPr>
        <w:t>Demand 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major investors holding, collectively, 40% of registrable securities, or a lesser percent if the anticipated aggregate offering price exceeds $15.0 million, net of selling expenses, may request that we register all or a portion of their shares, subject to certain specified exceptions. If any of these holders exercises its demand registration rights, then holders of approximately 9.1 million shares of our common stock will be entitled to register their shares, subject to specified conditions and limitations in the corresponding offering. </w:t>
      </w:r>
    </w:p>
    <w:p>
      <w:pPr>
        <w:pStyle w:val="TextBody"/>
        <w:bidi w:val="0"/>
        <w:spacing w:before="360" w:after="283"/>
        <w:jc w:val="left"/>
        <w:rPr/>
      </w:pPr>
      <w:r>
        <w:rPr>
          <w:color w:val="000000"/>
        </w:rPr>
        <w:t>“</w:t>
      </w:r>
      <w:r>
        <w:rPr>
          <w:rFonts w:ascii="Times New Roman" w:hAnsi="Times New Roman"/>
          <w:b/>
          <w:i/>
          <w:color w:val="000000"/>
          <w:sz w:val="20"/>
        </w:rPr>
        <w:t>Piggyback” 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we propose to register any of our securities under the Securities Act in an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Form S-3 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major investors holding at least 20% of registrable securities may, on not more than two registrations on Form S-3 within any 12-month period, request that we register all or a portion of their shares on Form S-3 if we are qualified to file a registration statement on Form S-3, subject to specified exceptions. Such request for registration on Form S-3 must cover securities with an aggregate offering price which equals or exceeds $5.0 million, net of selling expenses. The right to have such shares registered on Form S-3 is further subject to other specified conditions and limitations.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 of Registration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pay the registration expenses, other than underwriting discounts, selling commissions and stock transfer taxes, of the shares registered pursuant to the demand, piggyback and Form S-3 registrations described above.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Termination of 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piggyback and Form S-3 registration rights described above will terminate upon the earliest of (i) with respect to each stockholder, such date, on or after the completion of our IPO, on which all registrable shares held by such stockholder may immediately be sold during any 90-day period pursuant to Rule 144 of the Securities Act, (ii) the occurrence of a deemed liquidation event, as defined in our amended and restated certificate of incorporation, as currently in effect and (iii) the fifth anniversary of our IPO. </w:t>
      </w:r>
    </w:p>
    <w:p>
      <w:pPr>
        <w:pStyle w:val="TextBody"/>
        <w:bidi w:val="0"/>
        <w:spacing w:before="360" w:after="283"/>
        <w:jc w:val="left"/>
        <w:rPr>
          <w:rFonts w:ascii="Times New Roman" w:hAnsi="Times New Roman"/>
          <w:sz w:val="20"/>
        </w:rPr>
      </w:pPr>
      <w:r>
        <w:rPr>
          <w:rFonts w:ascii="Times New Roman" w:hAnsi="Times New Roman"/>
          <w:b/>
          <w:color w:val="000000"/>
          <w:sz w:val="20"/>
        </w:rPr>
        <w:t>Authorized but Unissued Capital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Delaware General Corporation Law (“DGCL”)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before="360" w:after="283"/>
        <w:jc w:val="left"/>
        <w:rPr>
          <w:rFonts w:ascii="Times New Roman" w:hAnsi="Times New Roman"/>
          <w:sz w:val="20"/>
        </w:rPr>
      </w:pPr>
      <w:r>
        <w:rPr>
          <w:rFonts w:ascii="Times New Roman" w:hAnsi="Times New Roman"/>
          <w:b/>
          <w:color w:val="000000"/>
          <w:sz w:val="20"/>
        </w:rPr>
        <w:t>Provisions of our Amended and Restated Certificate of Incorporation and Amended and Restated Bylaws and Delaware Anti-Takeover Law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283"/>
        <w:jc w:val="left"/>
        <w:rPr>
          <w:rFonts w:ascii="Times New Roman" w:hAnsi="Times New Roman"/>
          <w:sz w:val="20"/>
        </w:rPr>
      </w:pPr>
      <w:r>
        <w:rPr>
          <w:rFonts w:ascii="Times New Roman" w:hAnsi="Times New Roman"/>
          <w:b/>
          <w:i/>
          <w:color w:val="000000"/>
          <w:sz w:val="20"/>
        </w:rPr>
        <w:t>Delaware anti-takeover statute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Undesignated preferred stock</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Special stockholder meetings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a special meeting of stockholders may be called at any time by our board of directors, but such special meetings may not be called by the stockholders or any other person or persons. </w:t>
      </w:r>
    </w:p>
    <w:p>
      <w:pPr>
        <w:pStyle w:val="TextBody"/>
        <w:bidi w:val="0"/>
        <w:spacing w:before="360" w:after="283"/>
        <w:jc w:val="left"/>
        <w:rPr>
          <w:rFonts w:ascii="Times New Roman" w:hAnsi="Times New Roman"/>
          <w:sz w:val="20"/>
        </w:rPr>
      </w:pPr>
      <w:r>
        <w:rPr>
          <w:rFonts w:ascii="Times New Roman" w:hAnsi="Times New Roman"/>
          <w:b/>
          <w:i/>
          <w:color w:val="000000"/>
          <w:sz w:val="20"/>
        </w:rPr>
        <w:t>Requirements for advance notification of stockholder nominations and proposals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contain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before="360" w:after="283"/>
        <w:jc w:val="left"/>
        <w:rPr>
          <w:rFonts w:ascii="Times New Roman" w:hAnsi="Times New Roman"/>
          <w:sz w:val="20"/>
        </w:rPr>
      </w:pPr>
      <w:r>
        <w:rPr>
          <w:rFonts w:ascii="Times New Roman" w:hAnsi="Times New Roman"/>
          <w:b/>
          <w:i/>
          <w:color w:val="000000"/>
          <w:sz w:val="20"/>
        </w:rPr>
        <w:t>No stockholder action by written consent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does not allow stockholders to act by written consent without a meeting. </w:t>
      </w:r>
    </w:p>
    <w:p>
      <w:pPr>
        <w:pStyle w:val="TextBody"/>
        <w:bidi w:val="0"/>
        <w:spacing w:before="360" w:after="283"/>
        <w:jc w:val="left"/>
        <w:rPr>
          <w:rFonts w:ascii="Times New Roman" w:hAnsi="Times New Roman"/>
          <w:sz w:val="20"/>
        </w:rPr>
      </w:pPr>
      <w:r>
        <w:rPr>
          <w:rFonts w:ascii="Times New Roman" w:hAnsi="Times New Roman"/>
          <w:b/>
          <w:i/>
          <w:color w:val="000000"/>
          <w:sz w:val="20"/>
        </w:rPr>
        <w:t>Classified board; election and removal of directors; filling vacancies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jc w:val="left"/>
        <w:rPr>
          <w:rFonts w:ascii="Times New Roman" w:hAnsi="Times New Roman"/>
          <w:sz w:val="20"/>
        </w:rPr>
      </w:pPr>
      <w:r>
        <w:rPr>
          <w:rFonts w:ascii="Times New Roman" w:hAnsi="Times New Roman"/>
          <w:b/>
          <w:i/>
          <w:color w:val="000000"/>
          <w:sz w:val="20"/>
        </w:rPr>
        <w:t>Choice of forum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DGCL,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complaint asserting a cause or causes of action against us or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action the subject matter of which is within the scope described above is filed in a court other than a court located within the State of Delaware, or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w:t>
      </w:r>
    </w:p>
    <w:p>
      <w:pPr>
        <w:pStyle w:val="TextBody"/>
        <w:bidi w:val="0"/>
        <w:spacing w:before="360" w:after="283"/>
        <w:jc w:val="left"/>
        <w:rPr>
          <w:rFonts w:ascii="Times New Roman" w:hAnsi="Times New Roman"/>
          <w:sz w:val="20"/>
        </w:rPr>
      </w:pPr>
      <w:r>
        <w:rPr>
          <w:rFonts w:ascii="Times New Roman" w:hAnsi="Times New Roman"/>
          <w:b/>
          <w:i/>
          <w:color w:val="000000"/>
          <w:sz w:val="20"/>
        </w:rPr>
        <w:t>Amendment of charter provisions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amendment of any of the above provisions in our amended and restated certificate of incorporation, except for the provision making it possible for our board of directors to issue undesignated preferred stock, requires approval by a stockholder vote by the holders of at least 66-2/3% of the voting power of the then outstanding voting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5" w:name="description_of_debt_securities"/>
      <w:bookmarkEnd w:id="45"/>
      <w:r>
        <w:rPr>
          <w:rFonts w:ascii="Times New Roman" w:hAnsi="Times New Roman"/>
          <w:b/>
          <w:color w:val="000000"/>
          <w:sz w:val="20"/>
        </w:rPr>
        <w:t>DESCRIPTION OF DEBT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indentures will be qualified under the Trust Indenture Act of 1939, as amended (the “Trust Indenture Act”). We use the term “trustee” to refer to either the trustee under the senior indenture or the trustee under the subordinated indenture,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 </w:t>
      </w:r>
    </w:p>
    <w:p>
      <w:pPr>
        <w:pStyle w:val="TextBody"/>
        <w:bidi w:val="0"/>
        <w:spacing w:before="360" w:after="283"/>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describe in the applicable prospectus supplement or free writing prospectus the terms of the series of debt securities being offered, including: </w:t>
      </w:r>
    </w:p>
    <w:tbl>
      <w:tblPr>
        <w:tblW w:w="1228" w:type="dxa"/>
        <w:jc w:val="left"/>
        <w:tblInd w:w="0" w:type="dxa"/>
        <w:tblLayout w:type="fixed"/>
        <w:tblCellMar>
          <w:top w:w="28" w:type="dxa"/>
          <w:left w:w="28" w:type="dxa"/>
          <w:bottom w:w="28" w:type="dxa"/>
          <w:right w:w="28" w:type="dxa"/>
        </w:tblCellMar>
      </w:tblPr>
      <w:tblGrid>
        <w:gridCol w:w="124"/>
        <w:gridCol w:w="109"/>
        <w:gridCol w:w="109"/>
        <w:gridCol w:w="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title; </w:t>
            </w:r>
          </w:p>
        </w:tc>
      </w:tr>
    </w:tbl>
    <w:tbl>
      <w:tblPr>
        <w:tblW w:w="9688" w:type="dxa"/>
        <w:jc w:val="left"/>
        <w:tblInd w:w="0" w:type="dxa"/>
        <w:tblLayout w:type="fixed"/>
        <w:tblCellMar>
          <w:top w:w="28" w:type="dxa"/>
          <w:left w:w="28" w:type="dxa"/>
          <w:bottom w:w="28" w:type="dxa"/>
          <w:right w:w="28" w:type="dxa"/>
        </w:tblCellMar>
      </w:tblPr>
      <w:tblGrid>
        <w:gridCol w:w="124"/>
        <w:gridCol w:w="109"/>
        <w:gridCol w:w="109"/>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principal amount being offered, and if a series, the total amount authorized and the total amount outstanding; </w:t>
            </w:r>
          </w:p>
        </w:tc>
      </w:tr>
    </w:tbl>
    <w:tbl>
      <w:tblPr>
        <w:tblW w:w="4093" w:type="dxa"/>
        <w:jc w:val="left"/>
        <w:tblInd w:w="0" w:type="dxa"/>
        <w:tblLayout w:type="fixed"/>
        <w:tblCellMar>
          <w:top w:w="28" w:type="dxa"/>
          <w:left w:w="28" w:type="dxa"/>
          <w:bottom w:w="28" w:type="dxa"/>
          <w:right w:w="28" w:type="dxa"/>
        </w:tblCellMar>
      </w:tblPr>
      <w:tblGrid>
        <w:gridCol w:w="124"/>
        <w:gridCol w:w="109"/>
        <w:gridCol w:w="109"/>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limit on the amount that may be issued;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or not we will issue the series of debt securities in global form, and, if so, the terms and who the depository will be; </w:t>
            </w:r>
          </w:p>
        </w:tc>
      </w:tr>
    </w:tbl>
    <w:tbl>
      <w:tblPr>
        <w:tblW w:w="1978" w:type="dxa"/>
        <w:jc w:val="left"/>
        <w:tblInd w:w="0" w:type="dxa"/>
        <w:tblLayout w:type="fixed"/>
        <w:tblCellMar>
          <w:top w:w="28" w:type="dxa"/>
          <w:left w:w="28" w:type="dxa"/>
          <w:bottom w:w="28" w:type="dxa"/>
          <w:right w:w="28" w:type="dxa"/>
        </w:tblCellMar>
      </w:tblPr>
      <w:tblGrid>
        <w:gridCol w:w="124"/>
        <w:gridCol w:w="109"/>
        <w:gridCol w:w="109"/>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maturity date;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and under what circumstances, if any, we will pay additional amounts on any debt securities held by a person who is not a United States person for tax purposes, and whether we can redeem the debt securities if we have to pay such additional amounts;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annual interest rate, which may be fixed or variable, or the method for determining the rate and the date interest will begin to accrue, the dates interest will be payable and the regular record dates for interest payment dates or the method for determining such dates; </w:t>
            </w:r>
          </w:p>
        </w:tc>
      </w:tr>
    </w:tbl>
    <w:tbl>
      <w:tblPr>
        <w:tblW w:w="8413" w:type="dxa"/>
        <w:jc w:val="left"/>
        <w:tblInd w:w="0" w:type="dxa"/>
        <w:tblLayout w:type="fixed"/>
        <w:tblCellMar>
          <w:top w:w="28" w:type="dxa"/>
          <w:left w:w="28" w:type="dxa"/>
          <w:bottom w:w="28" w:type="dxa"/>
          <w:right w:w="28" w:type="dxa"/>
        </w:tblCellMar>
      </w:tblPr>
      <w:tblGrid>
        <w:gridCol w:w="124"/>
        <w:gridCol w:w="109"/>
        <w:gridCol w:w="109"/>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or not the debt securities will be secured or unsecured, and the terms of any secured debt; </w:t>
            </w:r>
          </w:p>
        </w:tc>
      </w:tr>
    </w:tbl>
    <w:tbl>
      <w:tblPr>
        <w:tblW w:w="5803" w:type="dxa"/>
        <w:jc w:val="left"/>
        <w:tblInd w:w="0" w:type="dxa"/>
        <w:tblLayout w:type="fixed"/>
        <w:tblCellMar>
          <w:top w:w="28" w:type="dxa"/>
          <w:left w:w="28" w:type="dxa"/>
          <w:bottom w:w="28" w:type="dxa"/>
          <w:right w:w="28" w:type="dxa"/>
        </w:tblCellMar>
      </w:tblPr>
      <w:tblGrid>
        <w:gridCol w:w="124"/>
        <w:gridCol w:w="109"/>
        <w:gridCol w:w="109"/>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terms of the subordination of any series of subordinated debt; </w:t>
            </w:r>
          </w:p>
        </w:tc>
      </w:tr>
    </w:tbl>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73" w:type="dxa"/>
        <w:jc w:val="left"/>
        <w:tblInd w:w="0" w:type="dxa"/>
        <w:tblLayout w:type="fixed"/>
        <w:tblCellMar>
          <w:top w:w="28" w:type="dxa"/>
          <w:left w:w="28" w:type="dxa"/>
          <w:bottom w:w="28" w:type="dxa"/>
          <w:right w:w="28" w:type="dxa"/>
        </w:tblCellMar>
      </w:tblPr>
      <w:tblGrid>
        <w:gridCol w:w="124"/>
        <w:gridCol w:w="109"/>
        <w:gridCol w:w="109"/>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place where payments will be payable; </w:t>
            </w:r>
          </w:p>
        </w:tc>
      </w:tr>
    </w:tbl>
    <w:tbl>
      <w:tblPr>
        <w:tblW w:w="4993" w:type="dxa"/>
        <w:jc w:val="left"/>
        <w:tblInd w:w="0" w:type="dxa"/>
        <w:tblLayout w:type="fixed"/>
        <w:tblCellMar>
          <w:top w:w="28" w:type="dxa"/>
          <w:left w:w="28" w:type="dxa"/>
          <w:bottom w:w="28" w:type="dxa"/>
          <w:right w:w="28" w:type="dxa"/>
        </w:tblCellMar>
      </w:tblPr>
      <w:tblGrid>
        <w:gridCol w:w="124"/>
        <w:gridCol w:w="109"/>
        <w:gridCol w:w="109"/>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restrictions on transfer, sale or other assignment, if any; </w:t>
            </w:r>
          </w:p>
        </w:tc>
      </w:tr>
    </w:tbl>
    <w:tbl>
      <w:tblPr>
        <w:tblW w:w="8443" w:type="dxa"/>
        <w:jc w:val="left"/>
        <w:tblInd w:w="0" w:type="dxa"/>
        <w:tblLayout w:type="fixed"/>
        <w:tblCellMar>
          <w:top w:w="28" w:type="dxa"/>
          <w:left w:w="28" w:type="dxa"/>
          <w:bottom w:w="28" w:type="dxa"/>
          <w:right w:w="28" w:type="dxa"/>
        </w:tblCellMar>
      </w:tblPr>
      <w:tblGrid>
        <w:gridCol w:w="124"/>
        <w:gridCol w:w="109"/>
        <w:gridCol w:w="109"/>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right, if any, to defer payment of interest and the maximum length of any such deferral period;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date, if any, after which, the conditions upon which, and the price at which, we may, at our option, redeem the series of debt securities pursuant to any optional or provisional redemption provisions and the terms of those redemption provisions;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tbl>
      <w:tblPr>
        <w:tblW w:w="4438" w:type="dxa"/>
        <w:jc w:val="left"/>
        <w:tblInd w:w="0" w:type="dxa"/>
        <w:tblLayout w:type="fixed"/>
        <w:tblCellMar>
          <w:top w:w="28" w:type="dxa"/>
          <w:left w:w="28" w:type="dxa"/>
          <w:bottom w:w="28" w:type="dxa"/>
          <w:right w:w="28" w:type="dxa"/>
        </w:tblCellMar>
      </w:tblPr>
      <w:tblGrid>
        <w:gridCol w:w="124"/>
        <w:gridCol w:w="109"/>
        <w:gridCol w:w="109"/>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the indenture will restrict our ability to: </w:t>
            </w:r>
          </w:p>
        </w:tc>
      </w:tr>
    </w:tbl>
    <w:tbl>
      <w:tblPr>
        <w:tblW w:w="3013" w:type="dxa"/>
        <w:jc w:val="left"/>
        <w:tblInd w:w="0" w:type="dxa"/>
        <w:tblLayout w:type="fixed"/>
        <w:tblCellMar>
          <w:top w:w="28" w:type="dxa"/>
          <w:left w:w="28" w:type="dxa"/>
          <w:bottom w:w="28" w:type="dxa"/>
          <w:right w:w="28" w:type="dxa"/>
        </w:tblCellMar>
      </w:tblPr>
      <w:tblGrid>
        <w:gridCol w:w="124"/>
        <w:gridCol w:w="109"/>
        <w:gridCol w:w="109"/>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incur additional indebtedness; </w:t>
            </w:r>
          </w:p>
        </w:tc>
      </w:tr>
    </w:tbl>
    <w:tbl>
      <w:tblPr>
        <w:tblW w:w="2698" w:type="dxa"/>
        <w:jc w:val="left"/>
        <w:tblInd w:w="0" w:type="dxa"/>
        <w:tblLayout w:type="fixed"/>
        <w:tblCellMar>
          <w:top w:w="28" w:type="dxa"/>
          <w:left w:w="28" w:type="dxa"/>
          <w:bottom w:w="28" w:type="dxa"/>
          <w:right w:w="28" w:type="dxa"/>
        </w:tblCellMar>
      </w:tblPr>
      <w:tblGrid>
        <w:gridCol w:w="124"/>
        <w:gridCol w:w="109"/>
        <w:gridCol w:w="109"/>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issue additional securities; </w:t>
            </w:r>
          </w:p>
        </w:tc>
      </w:tr>
    </w:tbl>
    <w:tbl>
      <w:tblPr>
        <w:tblW w:w="1513" w:type="dxa"/>
        <w:jc w:val="left"/>
        <w:tblInd w:w="0" w:type="dxa"/>
        <w:tblLayout w:type="fixed"/>
        <w:tblCellMar>
          <w:top w:w="28" w:type="dxa"/>
          <w:left w:w="28" w:type="dxa"/>
          <w:bottom w:w="28" w:type="dxa"/>
          <w:right w:w="28" w:type="dxa"/>
        </w:tblCellMar>
      </w:tblPr>
      <w:tblGrid>
        <w:gridCol w:w="124"/>
        <w:gridCol w:w="109"/>
        <w:gridCol w:w="109"/>
        <w:gridCol w:w="11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create liens; </w:t>
            </w:r>
          </w:p>
        </w:tc>
      </w:tr>
    </w:tbl>
    <w:tbl>
      <w:tblPr>
        <w:tblW w:w="9073" w:type="dxa"/>
        <w:jc w:val="left"/>
        <w:tblInd w:w="0" w:type="dxa"/>
        <w:tblLayout w:type="fixed"/>
        <w:tblCellMar>
          <w:top w:w="28" w:type="dxa"/>
          <w:left w:w="28" w:type="dxa"/>
          <w:bottom w:w="28" w:type="dxa"/>
          <w:right w:w="28" w:type="dxa"/>
        </w:tblCellMar>
      </w:tblPr>
      <w:tblGrid>
        <w:gridCol w:w="124"/>
        <w:gridCol w:w="109"/>
        <w:gridCol w:w="109"/>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pay dividends or make distributions in respect of our capital stock or the capital stock of our subsidiaries; </w:t>
            </w:r>
          </w:p>
        </w:tc>
      </w:tr>
    </w:tbl>
    <w:tbl>
      <w:tblPr>
        <w:tblW w:w="2263" w:type="dxa"/>
        <w:jc w:val="left"/>
        <w:tblInd w:w="0" w:type="dxa"/>
        <w:tblLayout w:type="fixed"/>
        <w:tblCellMar>
          <w:top w:w="28" w:type="dxa"/>
          <w:left w:w="28" w:type="dxa"/>
          <w:bottom w:w="28" w:type="dxa"/>
          <w:right w:w="28" w:type="dxa"/>
        </w:tblCellMar>
      </w:tblPr>
      <w:tblGrid>
        <w:gridCol w:w="124"/>
        <w:gridCol w:w="109"/>
        <w:gridCol w:w="109"/>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redeem capital stock; </w:t>
            </w:r>
          </w:p>
        </w:tc>
      </w:tr>
    </w:tbl>
    <w:tbl>
      <w:tblPr>
        <w:tblW w:w="8578" w:type="dxa"/>
        <w:jc w:val="left"/>
        <w:tblInd w:w="0" w:type="dxa"/>
        <w:tblLayout w:type="fixed"/>
        <w:tblCellMar>
          <w:top w:w="28" w:type="dxa"/>
          <w:left w:w="28" w:type="dxa"/>
          <w:bottom w:w="28" w:type="dxa"/>
          <w:right w:w="28" w:type="dxa"/>
        </w:tblCellMar>
      </w:tblPr>
      <w:tblGrid>
        <w:gridCol w:w="124"/>
        <w:gridCol w:w="109"/>
        <w:gridCol w:w="109"/>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place restrictions on our subsidiaries’ ability to pay dividends, make distributions or transfer assets; </w:t>
            </w:r>
          </w:p>
        </w:tc>
      </w:tr>
    </w:tbl>
    <w:tbl>
      <w:tblPr>
        <w:tblW w:w="4348" w:type="dxa"/>
        <w:jc w:val="left"/>
        <w:tblInd w:w="0" w:type="dxa"/>
        <w:tblLayout w:type="fixed"/>
        <w:tblCellMar>
          <w:top w:w="28" w:type="dxa"/>
          <w:left w:w="28" w:type="dxa"/>
          <w:bottom w:w="28" w:type="dxa"/>
          <w:right w:w="28" w:type="dxa"/>
        </w:tblCellMar>
      </w:tblPr>
      <w:tblGrid>
        <w:gridCol w:w="124"/>
        <w:gridCol w:w="109"/>
        <w:gridCol w:w="109"/>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make investments or other restricted payments; </w:t>
            </w:r>
          </w:p>
        </w:tc>
      </w:tr>
    </w:tbl>
    <w:tbl>
      <w:tblPr>
        <w:tblW w:w="3298" w:type="dxa"/>
        <w:jc w:val="left"/>
        <w:tblInd w:w="0" w:type="dxa"/>
        <w:tblLayout w:type="fixed"/>
        <w:tblCellMar>
          <w:top w:w="28" w:type="dxa"/>
          <w:left w:w="28" w:type="dxa"/>
          <w:bottom w:w="28" w:type="dxa"/>
          <w:right w:w="28" w:type="dxa"/>
        </w:tblCellMar>
      </w:tblPr>
      <w:tblGrid>
        <w:gridCol w:w="124"/>
        <w:gridCol w:w="109"/>
        <w:gridCol w:w="109"/>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sell or otherwise dispose of assets; </w:t>
            </w:r>
          </w:p>
        </w:tc>
      </w:tr>
    </w:tbl>
    <w:tbl>
      <w:tblPr>
        <w:tblW w:w="3613" w:type="dxa"/>
        <w:jc w:val="left"/>
        <w:tblInd w:w="0" w:type="dxa"/>
        <w:tblLayout w:type="fixed"/>
        <w:tblCellMar>
          <w:top w:w="28" w:type="dxa"/>
          <w:left w:w="28" w:type="dxa"/>
          <w:bottom w:w="28" w:type="dxa"/>
          <w:right w:w="28" w:type="dxa"/>
        </w:tblCellMar>
      </w:tblPr>
      <w:tblGrid>
        <w:gridCol w:w="124"/>
        <w:gridCol w:w="109"/>
        <w:gridCol w:w="109"/>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enter into sale-leaseback transactions; </w:t>
            </w:r>
          </w:p>
        </w:tc>
      </w:tr>
    </w:tbl>
    <w:tbl>
      <w:tblPr>
        <w:tblW w:w="4858" w:type="dxa"/>
        <w:jc w:val="left"/>
        <w:tblInd w:w="0" w:type="dxa"/>
        <w:tblLayout w:type="fixed"/>
        <w:tblCellMar>
          <w:top w:w="28" w:type="dxa"/>
          <w:left w:w="28" w:type="dxa"/>
          <w:bottom w:w="28" w:type="dxa"/>
          <w:right w:w="28" w:type="dxa"/>
        </w:tblCellMar>
      </w:tblPr>
      <w:tblGrid>
        <w:gridCol w:w="124"/>
        <w:gridCol w:w="109"/>
        <w:gridCol w:w="109"/>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engage in transactions with stockholders or affiliates; </w:t>
            </w:r>
          </w:p>
        </w:tc>
      </w:tr>
    </w:tbl>
    <w:tbl>
      <w:tblPr>
        <w:tblW w:w="3553" w:type="dxa"/>
        <w:jc w:val="left"/>
        <w:tblInd w:w="0" w:type="dxa"/>
        <w:tblLayout w:type="fixed"/>
        <w:tblCellMar>
          <w:top w:w="28" w:type="dxa"/>
          <w:left w:w="28" w:type="dxa"/>
          <w:bottom w:w="28" w:type="dxa"/>
          <w:right w:w="28" w:type="dxa"/>
        </w:tblCellMar>
      </w:tblPr>
      <w:tblGrid>
        <w:gridCol w:w="124"/>
        <w:gridCol w:w="109"/>
        <w:gridCol w:w="109"/>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issue or sell stock of our subsidiaries; </w:t>
            </w:r>
          </w:p>
        </w:tc>
      </w:tr>
    </w:tbl>
    <w:tbl>
      <w:tblPr>
        <w:tblW w:w="3163" w:type="dxa"/>
        <w:jc w:val="left"/>
        <w:tblInd w:w="0" w:type="dxa"/>
        <w:tblLayout w:type="fixed"/>
        <w:tblCellMar>
          <w:top w:w="28" w:type="dxa"/>
          <w:left w:w="28" w:type="dxa"/>
          <w:bottom w:w="28" w:type="dxa"/>
          <w:right w:w="28" w:type="dxa"/>
        </w:tblCellMar>
      </w:tblPr>
      <w:tblGrid>
        <w:gridCol w:w="124"/>
        <w:gridCol w:w="109"/>
        <w:gridCol w:w="109"/>
        <w:gridCol w:w="2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effect a consolidation or merger;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the indenture will require us to maintain any interest coverage, fixed charge, cash flow-based, asset-based or other financial ratios;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 discussion of certain material or special United States federal income tax considerations applicable to the debt securities; </w:t>
            </w:r>
          </w:p>
        </w:tc>
      </w:tr>
    </w:tbl>
    <w:tbl>
      <w:tblPr>
        <w:tblW w:w="4423" w:type="dxa"/>
        <w:jc w:val="left"/>
        <w:tblInd w:w="0" w:type="dxa"/>
        <w:tblLayout w:type="fixed"/>
        <w:tblCellMar>
          <w:top w:w="28" w:type="dxa"/>
          <w:left w:w="28" w:type="dxa"/>
          <w:bottom w:w="28" w:type="dxa"/>
          <w:right w:w="28" w:type="dxa"/>
        </w:tblCellMar>
      </w:tblPr>
      <w:tblGrid>
        <w:gridCol w:w="124"/>
        <w:gridCol w:w="109"/>
        <w:gridCol w:w="109"/>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information describing any book-entry features; </w:t>
            </w:r>
          </w:p>
        </w:tc>
      </w:tr>
    </w:tbl>
    <w:tbl>
      <w:tblPr>
        <w:tblW w:w="6238" w:type="dxa"/>
        <w:jc w:val="left"/>
        <w:tblInd w:w="0" w:type="dxa"/>
        <w:tblLayout w:type="fixed"/>
        <w:tblCellMar>
          <w:top w:w="28" w:type="dxa"/>
          <w:left w:w="28" w:type="dxa"/>
          <w:bottom w:w="28" w:type="dxa"/>
          <w:right w:w="28" w:type="dxa"/>
        </w:tblCellMar>
      </w:tblPr>
      <w:tblGrid>
        <w:gridCol w:w="124"/>
        <w:gridCol w:w="109"/>
        <w:gridCol w:w="109"/>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provisions for a sinking fund purchase or other analogous fund, if any; </w:t>
            </w:r>
          </w:p>
        </w:tc>
      </w:tr>
    </w:tbl>
    <w:tbl>
      <w:tblPr>
        <w:tblW w:w="5773" w:type="dxa"/>
        <w:jc w:val="left"/>
        <w:tblInd w:w="0" w:type="dxa"/>
        <w:tblLayout w:type="fixed"/>
        <w:tblCellMar>
          <w:top w:w="28" w:type="dxa"/>
          <w:left w:w="28" w:type="dxa"/>
          <w:bottom w:w="28" w:type="dxa"/>
          <w:right w:w="28" w:type="dxa"/>
        </w:tblCellMar>
      </w:tblPr>
      <w:tblGrid>
        <w:gridCol w:w="124"/>
        <w:gridCol w:w="109"/>
        <w:gridCol w:w="109"/>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applicability of the provisions in the indenture on discharge;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whether the debt securities are to be offered at a price such that they will be deemed to be offered at an “original issue discount” as defined in paragraph (a) of Section 1273 of the Internal Revenue Code of 1986, as amended;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denominations in which we will issue the series of debt securities, if other than denominations of $1,000 and any integral multiple thereof;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currency of payment of debt securities if other than U.S. dollars and the manner of determining the equivalent amount in U.S. dollars;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Conversion or Exchange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 </w:t>
      </w:r>
    </w:p>
    <w:p>
      <w:pPr>
        <w:pStyle w:val="TextBody"/>
        <w:bidi w:val="0"/>
        <w:spacing w:before="360" w:after="283"/>
        <w:jc w:val="left"/>
        <w:rPr>
          <w:rFonts w:ascii="Times New Roman" w:hAnsi="Times New Roman"/>
          <w:sz w:val="20"/>
        </w:rPr>
      </w:pPr>
      <w:r>
        <w:rPr>
          <w:rFonts w:ascii="Times New Roman" w:hAnsi="Times New Roman"/>
          <w:b/>
          <w:color w:val="000000"/>
          <w:sz w:val="20"/>
        </w:rPr>
        <w:t>Consolidation, Merger or Sale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 </w:t>
      </w:r>
    </w:p>
    <w:p>
      <w:pPr>
        <w:pStyle w:val="TextBody"/>
        <w:bidi w:val="0"/>
        <w:spacing w:before="360" w:after="283"/>
        <w:jc w:val="left"/>
        <w:rPr>
          <w:rFonts w:ascii="Times New Roman" w:hAnsi="Times New Roman"/>
          <w:sz w:val="20"/>
        </w:rPr>
      </w:pPr>
      <w:r>
        <w:rPr>
          <w:rFonts w:ascii="Times New Roman" w:hAnsi="Times New Roman"/>
          <w:b/>
          <w:color w:val="000000"/>
          <w:sz w:val="20"/>
        </w:rPr>
        <w:t>Events of Default Under the Indenture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we provide otherwise in the prospectus supplement or free writing prospectus applicable to a particular series of debt securities, the following are events of default under the indentures with respect to any series of debt securities that we may issue: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if we fail to pay interest when due and payable and our failure continues for 90 days and the time for payment has not been extended;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if we fail to pay the principal, premium or sinking fund payment, if any, when due and payable at maturity, upon redemption or repurchase or otherwise, and the time for payment has not been extended;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 </w:t>
            </w:r>
          </w:p>
        </w:tc>
      </w:tr>
    </w:tbl>
    <w:tbl>
      <w:tblPr>
        <w:tblW w:w="6163" w:type="dxa"/>
        <w:jc w:val="left"/>
        <w:tblInd w:w="0" w:type="dxa"/>
        <w:tblLayout w:type="fixed"/>
        <w:tblCellMar>
          <w:top w:w="28" w:type="dxa"/>
          <w:left w:w="28" w:type="dxa"/>
          <w:bottom w:w="28" w:type="dxa"/>
          <w:right w:w="28" w:type="dxa"/>
        </w:tblCellMar>
      </w:tblPr>
      <w:tblGrid>
        <w:gridCol w:w="124"/>
        <w:gridCol w:w="109"/>
        <w:gridCol w:w="109"/>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if specified events of bankruptcy, insolvency or reorganization occur.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describe in each applicable prospectus supplement or free writing prospectus any additional events of default relating to the relevant series of debt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tbl>
      <w:tblPr>
        <w:tblW w:w="8533" w:type="dxa"/>
        <w:jc w:val="left"/>
        <w:tblInd w:w="0" w:type="dxa"/>
        <w:tblLayout w:type="fixed"/>
        <w:tblCellMar>
          <w:top w:w="28" w:type="dxa"/>
          <w:left w:w="28" w:type="dxa"/>
          <w:bottom w:w="28" w:type="dxa"/>
          <w:right w:w="28" w:type="dxa"/>
        </w:tblCellMar>
      </w:tblPr>
      <w:tblGrid>
        <w:gridCol w:w="124"/>
        <w:gridCol w:w="109"/>
        <w:gridCol w:w="109"/>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direction so given by the holder is not in conflict with any law or the applicable indenture;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holder of the debt securities of any series will have the right to institute a proceeding under the indentures or to appoint a receiver or trustee, or to seek other remedies if: </w:t>
      </w:r>
    </w:p>
    <w:tbl>
      <w:tblPr>
        <w:tblW w:w="9208" w:type="dxa"/>
        <w:jc w:val="left"/>
        <w:tblInd w:w="0" w:type="dxa"/>
        <w:tblLayout w:type="fixed"/>
        <w:tblCellMar>
          <w:top w:w="28" w:type="dxa"/>
          <w:left w:w="28" w:type="dxa"/>
          <w:bottom w:w="28" w:type="dxa"/>
          <w:right w:w="28" w:type="dxa"/>
        </w:tblCellMar>
      </w:tblPr>
      <w:tblGrid>
        <w:gridCol w:w="124"/>
        <w:gridCol w:w="109"/>
        <w:gridCol w:w="109"/>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holder has given written notice to the trustee of a continuing event of default with respect to that series;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periodically file statements with the trustee regarding our compliance with specified covenants in the indentures. </w:t>
      </w:r>
    </w:p>
    <w:p>
      <w:pPr>
        <w:pStyle w:val="TextBody"/>
        <w:bidi w:val="0"/>
        <w:spacing w:before="360" w:after="283"/>
        <w:jc w:val="left"/>
        <w:rPr>
          <w:rFonts w:ascii="Times New Roman" w:hAnsi="Times New Roman"/>
          <w:sz w:val="20"/>
        </w:rPr>
      </w:pPr>
      <w:r>
        <w:rPr>
          <w:rFonts w:ascii="Times New Roman" w:hAnsi="Times New Roman"/>
          <w:b/>
          <w:color w:val="000000"/>
          <w:sz w:val="20"/>
        </w:rPr>
        <w:t>Modification of Indenture; Waiver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terms of the indenture for any series of debt securities that we may issue, we and the trustee may change an indenture without the consent of any holders with respect to the following specific matters: </w:t>
      </w:r>
    </w:p>
    <w:tbl>
      <w:tblPr>
        <w:tblW w:w="5563" w:type="dxa"/>
        <w:jc w:val="left"/>
        <w:tblInd w:w="0" w:type="dxa"/>
        <w:tblLayout w:type="fixed"/>
        <w:tblCellMar>
          <w:top w:w="28" w:type="dxa"/>
          <w:left w:w="28" w:type="dxa"/>
          <w:bottom w:w="28" w:type="dxa"/>
          <w:right w:w="28" w:type="dxa"/>
        </w:tblCellMar>
      </w:tblPr>
      <w:tblGrid>
        <w:gridCol w:w="124"/>
        <w:gridCol w:w="109"/>
        <w:gridCol w:w="109"/>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fix any ambiguity, defect or inconsistency in the indenture; </w:t>
            </w:r>
          </w:p>
        </w:tc>
      </w:tr>
    </w:tbl>
    <w:tbl>
      <w:tblPr>
        <w:tblW w:w="10153" w:type="dxa"/>
        <w:jc w:val="left"/>
        <w:tblInd w:w="0" w:type="dxa"/>
        <w:tblLayout w:type="fixed"/>
        <w:tblCellMar>
          <w:top w:w="28" w:type="dxa"/>
          <w:left w:w="28" w:type="dxa"/>
          <w:bottom w:w="28" w:type="dxa"/>
          <w:right w:w="28" w:type="dxa"/>
        </w:tblCellMar>
      </w:tblPr>
      <w:tblGrid>
        <w:gridCol w:w="124"/>
        <w:gridCol w:w="109"/>
        <w:gridCol w:w="109"/>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 comply with the provisions described above under “</w:t>
            </w:r>
            <w:r>
              <w:rPr>
                <w:rFonts w:ascii="Times New Roman" w:hAnsi="Times New Roman"/>
                <w:i/>
                <w:color w:val="000000"/>
                <w:sz w:val="20"/>
              </w:rPr>
              <w:t>Description of Debt Securities-Consolidation, Merger or</w:t>
            </w:r>
            <w:r>
              <w:rPr>
                <w:rFonts w:ascii="Times New Roman" w:hAnsi="Times New Roman"/>
                <w:color w:val="000000"/>
                <w:sz w:val="20"/>
              </w:rPr>
              <w:t xml:space="preserve"> </w:t>
            </w:r>
            <w:r>
              <w:rPr>
                <w:rFonts w:ascii="Times New Roman" w:hAnsi="Times New Roman"/>
                <w:i/>
                <w:color w:val="000000"/>
                <w:sz w:val="20"/>
              </w:rPr>
              <w:t>Sale</w:t>
            </w:r>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comply with any requirements of the SEC in connection with the qualification of any indenture under the Trust Indenture Act;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add to, delete from or revise the conditions, limitations, and restrictions on the authorized amount, terms, or purposes of issue, authentication and delivery of debt securities, as set forth in the indenture;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 provide for the issuance of and establish the form and terms and conditions of the debt securities of any series as provided under “</w:t>
            </w:r>
            <w:r>
              <w:rPr>
                <w:rFonts w:ascii="Times New Roman" w:hAnsi="Times New Roman"/>
                <w:i/>
                <w:color w:val="000000"/>
                <w:sz w:val="20"/>
              </w:rPr>
              <w:t>Description of Debt Securities-General</w:t>
            </w:r>
            <w:r>
              <w:rPr>
                <w:rFonts w:ascii="Times New Roman" w:hAnsi="Times New Roman"/>
                <w:color w:val="000000"/>
                <w:sz w:val="20"/>
              </w:rPr>
              <w:t xml:space="preserve">,” to establish the form of any certifications required to be furnished pursuant to the terms of the indenture or any series of debt securities, or to add to the rights of the holders of any series of debt securities; </w:t>
            </w:r>
          </w:p>
        </w:tc>
      </w:tr>
    </w:tbl>
    <w:tbl>
      <w:tblPr>
        <w:tblW w:w="8008" w:type="dxa"/>
        <w:jc w:val="left"/>
        <w:tblInd w:w="0" w:type="dxa"/>
        <w:tblLayout w:type="fixed"/>
        <w:tblCellMar>
          <w:top w:w="28" w:type="dxa"/>
          <w:left w:w="28" w:type="dxa"/>
          <w:bottom w:w="28" w:type="dxa"/>
          <w:right w:w="28" w:type="dxa"/>
        </w:tblCellMar>
      </w:tblPr>
      <w:tblGrid>
        <w:gridCol w:w="124"/>
        <w:gridCol w:w="109"/>
        <w:gridCol w:w="109"/>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evidence and provide for the acceptance of appointment hereunder by a successor trustee; </w:t>
            </w:r>
          </w:p>
        </w:tc>
      </w:tr>
    </w:tbl>
    <w:tbl>
      <w:tblPr>
        <w:tblW w:w="8443" w:type="dxa"/>
        <w:jc w:val="left"/>
        <w:tblInd w:w="0" w:type="dxa"/>
        <w:tblLayout w:type="fixed"/>
        <w:tblCellMar>
          <w:top w:w="28" w:type="dxa"/>
          <w:left w:w="28" w:type="dxa"/>
          <w:bottom w:w="28" w:type="dxa"/>
          <w:right w:w="28" w:type="dxa"/>
        </w:tblCellMar>
      </w:tblPr>
      <w:tblGrid>
        <w:gridCol w:w="124"/>
        <w:gridCol w:w="109"/>
        <w:gridCol w:w="109"/>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provide for uncertificated debt securities and to make all appropriate changes for such purpose;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63" w:type="dxa"/>
        <w:jc w:val="left"/>
        <w:tblInd w:w="0" w:type="dxa"/>
        <w:tblLayout w:type="fixed"/>
        <w:tblCellMar>
          <w:top w:w="28" w:type="dxa"/>
          <w:left w:w="28" w:type="dxa"/>
          <w:bottom w:w="28" w:type="dxa"/>
          <w:right w:w="28" w:type="dxa"/>
        </w:tblCellMar>
      </w:tblPr>
      <w:tblGrid>
        <w:gridCol w:w="124"/>
        <w:gridCol w:w="109"/>
        <w:gridCol w:w="109"/>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change anything that does not materially adversely affect the interests of any holder of debt securities of any series.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 </w:t>
      </w:r>
    </w:p>
    <w:tbl>
      <w:tblPr>
        <w:tblW w:w="5413" w:type="dxa"/>
        <w:jc w:val="left"/>
        <w:tblInd w:w="0" w:type="dxa"/>
        <w:tblLayout w:type="fixed"/>
        <w:tblCellMar>
          <w:top w:w="28" w:type="dxa"/>
          <w:left w:w="28" w:type="dxa"/>
          <w:bottom w:w="28" w:type="dxa"/>
          <w:right w:w="28" w:type="dxa"/>
        </w:tblCellMar>
      </w:tblPr>
      <w:tblGrid>
        <w:gridCol w:w="124"/>
        <w:gridCol w:w="109"/>
        <w:gridCol w:w="109"/>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extending the stated maturity of the series of debt securities;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reducing the principal amount, reducing the rate of or extending the time of payment of interest, or reducing any premium payable upon the redemption or repurchase of any debt securities;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reducing the percentage of debt securities, the holders of which are required to consent to any amendment, supplement, modification or waiver.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Discharge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 </w:t>
      </w:r>
    </w:p>
    <w:tbl>
      <w:tblPr>
        <w:tblW w:w="5608" w:type="dxa"/>
        <w:jc w:val="left"/>
        <w:tblInd w:w="0" w:type="dxa"/>
        <w:tblLayout w:type="fixed"/>
        <w:tblCellMar>
          <w:top w:w="28" w:type="dxa"/>
          <w:left w:w="28" w:type="dxa"/>
          <w:bottom w:w="28" w:type="dxa"/>
          <w:right w:w="28" w:type="dxa"/>
        </w:tblCellMar>
      </w:tblPr>
      <w:tblGrid>
        <w:gridCol w:w="124"/>
        <w:gridCol w:w="109"/>
        <w:gridCol w:w="109"/>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register the transfer or exchange of debt securities of the series; </w:t>
            </w:r>
          </w:p>
        </w:tc>
      </w:tr>
    </w:tbl>
    <w:tbl>
      <w:tblPr>
        <w:tblW w:w="5368" w:type="dxa"/>
        <w:jc w:val="left"/>
        <w:tblInd w:w="0" w:type="dxa"/>
        <w:tblLayout w:type="fixed"/>
        <w:tblCellMar>
          <w:top w:w="28" w:type="dxa"/>
          <w:left w:w="28" w:type="dxa"/>
          <w:bottom w:w="28" w:type="dxa"/>
          <w:right w:w="28" w:type="dxa"/>
        </w:tblCellMar>
      </w:tblPr>
      <w:tblGrid>
        <w:gridCol w:w="124"/>
        <w:gridCol w:w="109"/>
        <w:gridCol w:w="109"/>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replace stolen, lost or mutilated debt securities of the series; </w:t>
            </w:r>
          </w:p>
        </w:tc>
      </w:tr>
    </w:tbl>
    <w:tbl>
      <w:tblPr>
        <w:tblW w:w="2683" w:type="dxa"/>
        <w:jc w:val="left"/>
        <w:tblInd w:w="0" w:type="dxa"/>
        <w:tblLayout w:type="fixed"/>
        <w:tblCellMar>
          <w:top w:w="28" w:type="dxa"/>
          <w:left w:w="28" w:type="dxa"/>
          <w:bottom w:w="28" w:type="dxa"/>
          <w:right w:w="28" w:type="dxa"/>
        </w:tblCellMar>
      </w:tblPr>
      <w:tblGrid>
        <w:gridCol w:w="124"/>
        <w:gridCol w:w="109"/>
        <w:gridCol w:w="109"/>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maintain paying agencies; </w:t>
            </w:r>
          </w:p>
        </w:tc>
      </w:tr>
    </w:tbl>
    <w:tbl>
      <w:tblPr>
        <w:tblW w:w="3238" w:type="dxa"/>
        <w:jc w:val="left"/>
        <w:tblInd w:w="0" w:type="dxa"/>
        <w:tblLayout w:type="fixed"/>
        <w:tblCellMar>
          <w:top w:w="28" w:type="dxa"/>
          <w:left w:w="28" w:type="dxa"/>
          <w:bottom w:w="28" w:type="dxa"/>
          <w:right w:w="28" w:type="dxa"/>
        </w:tblCellMar>
      </w:tblPr>
      <w:tblGrid>
        <w:gridCol w:w="124"/>
        <w:gridCol w:w="109"/>
        <w:gridCol w:w="109"/>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hold monies for payment in trust; </w:t>
            </w:r>
          </w:p>
        </w:tc>
      </w:tr>
    </w:tbl>
    <w:tbl>
      <w:tblPr>
        <w:tblW w:w="3913" w:type="dxa"/>
        <w:jc w:val="left"/>
        <w:tblInd w:w="0" w:type="dxa"/>
        <w:tblLayout w:type="fixed"/>
        <w:tblCellMar>
          <w:top w:w="28" w:type="dxa"/>
          <w:left w:w="28" w:type="dxa"/>
          <w:bottom w:w="28" w:type="dxa"/>
          <w:right w:w="28" w:type="dxa"/>
        </w:tblCellMar>
      </w:tblPr>
      <w:tblGrid>
        <w:gridCol w:w="124"/>
        <w:gridCol w:w="109"/>
        <w:gridCol w:w="109"/>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recover excess money held by the trustee; </w:t>
            </w:r>
          </w:p>
        </w:tc>
      </w:tr>
    </w:tbl>
    <w:tbl>
      <w:tblPr>
        <w:tblW w:w="4018" w:type="dxa"/>
        <w:jc w:val="left"/>
        <w:tblInd w:w="0" w:type="dxa"/>
        <w:tblLayout w:type="fixed"/>
        <w:tblCellMar>
          <w:top w:w="28" w:type="dxa"/>
          <w:left w:w="28" w:type="dxa"/>
          <w:bottom w:w="28" w:type="dxa"/>
          <w:right w:w="28" w:type="dxa"/>
        </w:tblCellMar>
      </w:tblPr>
      <w:tblGrid>
        <w:gridCol w:w="124"/>
        <w:gridCol w:w="109"/>
        <w:gridCol w:w="109"/>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compensate and indemnify the trustee; and </w:t>
            </w:r>
          </w:p>
        </w:tc>
      </w:tr>
    </w:tbl>
    <w:tbl>
      <w:tblPr>
        <w:tblW w:w="2953" w:type="dxa"/>
        <w:jc w:val="left"/>
        <w:tblInd w:w="0" w:type="dxa"/>
        <w:tblLayout w:type="fixed"/>
        <w:tblCellMar>
          <w:top w:w="28" w:type="dxa"/>
          <w:left w:w="28" w:type="dxa"/>
          <w:bottom w:w="28" w:type="dxa"/>
          <w:right w:w="28" w:type="dxa"/>
        </w:tblCellMar>
      </w:tblPr>
      <w:tblGrid>
        <w:gridCol w:w="124"/>
        <w:gridCol w:w="109"/>
        <w:gridCol w:w="109"/>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appoint any successor trustee.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exercise our rights to be discharged, we must deposit with the trustee money or government obligations sufficient to pay all the principal of, any premium and interest on, the debt securities of the series on the dates payments are due. </w:t>
      </w:r>
    </w:p>
    <w:p>
      <w:pPr>
        <w:pStyle w:val="TextBody"/>
        <w:bidi w:val="0"/>
        <w:jc w:val="left"/>
        <w:rPr>
          <w:rFonts w:ascii="Times New Roman" w:hAnsi="Times New Roman"/>
          <w:sz w:val="20"/>
        </w:rPr>
      </w:pPr>
      <w:r>
        <w:rPr>
          <w:rFonts w:ascii="Times New Roman" w:hAnsi="Times New Roman"/>
          <w:b/>
          <w:color w:val="000000"/>
          <w:sz w:val="20"/>
        </w:rPr>
        <w:t>Form, Exchange and Transfer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transfer or exchange, we will make no service charge for any registration of transfer or exchange, but we may require payment of any taxes or other governmental charges.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Information Concerning the Trustee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283"/>
        <w:jc w:val="left"/>
        <w:rPr>
          <w:rFonts w:ascii="Times New Roman" w:hAnsi="Times New Roman"/>
          <w:sz w:val="20"/>
        </w:rPr>
      </w:pPr>
      <w:r>
        <w:rPr>
          <w:rFonts w:ascii="Times New Roman" w:hAnsi="Times New Roman"/>
          <w:b/>
          <w:color w:val="000000"/>
          <w:sz w:val="20"/>
        </w:rPr>
        <w:t>Payment and Paying Agents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283"/>
        <w:jc w:val="left"/>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360" w:after="283"/>
        <w:jc w:val="left"/>
        <w:rPr>
          <w:rFonts w:ascii="Times New Roman" w:hAnsi="Times New Roman"/>
          <w:sz w:val="20"/>
        </w:rPr>
      </w:pPr>
      <w:r>
        <w:rPr>
          <w:rFonts w:ascii="Times New Roman" w:hAnsi="Times New Roman"/>
          <w:b/>
          <w:color w:val="000000"/>
          <w:sz w:val="20"/>
        </w:rPr>
        <w:t>Ranking of Debt Securities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senior debt securities will rank equally in right of payment to all our other senior unsecured debt. The senior indenture does not limit the amount of senior debt securities that we may issue. It also does not limit us from issuing any other secured or unsecured debt.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6" w:name="description_of_warrants"/>
      <w:bookmarkEnd w:id="46"/>
      <w:r>
        <w:rPr>
          <w:rFonts w:ascii="Times New Roman" w:hAnsi="Times New Roman"/>
          <w:b/>
          <w:color w:val="000000"/>
          <w:sz w:val="20"/>
        </w:rPr>
        <w:t>DESCRIPTION OF WARRANTS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283"/>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describe in the applicable prospectus supplement the terms of the series of warrants, including: </w:t>
      </w:r>
    </w:p>
    <w:tbl>
      <w:tblPr>
        <w:tblW w:w="5383" w:type="dxa"/>
        <w:jc w:val="left"/>
        <w:tblInd w:w="0" w:type="dxa"/>
        <w:tblLayout w:type="fixed"/>
        <w:tblCellMar>
          <w:top w:w="28" w:type="dxa"/>
          <w:left w:w="28" w:type="dxa"/>
          <w:bottom w:w="28" w:type="dxa"/>
          <w:right w:w="28" w:type="dxa"/>
        </w:tblCellMar>
      </w:tblPr>
      <w:tblGrid>
        <w:gridCol w:w="124"/>
        <w:gridCol w:w="109"/>
        <w:gridCol w:w="109"/>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offering price and aggregate number of warrants offered; </w:t>
            </w:r>
          </w:p>
        </w:tc>
      </w:tr>
    </w:tbl>
    <w:tbl>
      <w:tblPr>
        <w:tblW w:w="4933" w:type="dxa"/>
        <w:jc w:val="left"/>
        <w:tblInd w:w="0" w:type="dxa"/>
        <w:tblLayout w:type="fixed"/>
        <w:tblCellMar>
          <w:top w:w="28" w:type="dxa"/>
          <w:left w:w="28" w:type="dxa"/>
          <w:bottom w:w="28" w:type="dxa"/>
          <w:right w:w="28" w:type="dxa"/>
        </w:tblCellMar>
      </w:tblPr>
      <w:tblGrid>
        <w:gridCol w:w="124"/>
        <w:gridCol w:w="109"/>
        <w:gridCol w:w="109"/>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currency for which the warrants may be purchased;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if applicable, the designation and terms of the securities with which the warrants are issued and the number of warrants issued with each such security or each principal amount of such security; </w:t>
            </w:r>
          </w:p>
        </w:tc>
      </w:tr>
    </w:tbl>
    <w:tbl>
      <w:tblPr>
        <w:tblW w:w="9433" w:type="dxa"/>
        <w:jc w:val="left"/>
        <w:tblInd w:w="0" w:type="dxa"/>
        <w:tblLayout w:type="fixed"/>
        <w:tblCellMar>
          <w:top w:w="28" w:type="dxa"/>
          <w:left w:w="28" w:type="dxa"/>
          <w:bottom w:w="28" w:type="dxa"/>
          <w:right w:w="28" w:type="dxa"/>
        </w:tblCellMar>
      </w:tblPr>
      <w:tblGrid>
        <w:gridCol w:w="124"/>
        <w:gridCol w:w="109"/>
        <w:gridCol w:w="109"/>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if applicable, the date on and after which the warrants and the related securities will be separately transferable;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effect of any merger, consolidation, sale or other disposition of our business on the warrant agreement and the warrants; </w:t>
            </w:r>
          </w:p>
        </w:tc>
      </w:tr>
    </w:tbl>
    <w:tbl>
      <w:tblPr>
        <w:tblW w:w="4813" w:type="dxa"/>
        <w:jc w:val="left"/>
        <w:tblInd w:w="0" w:type="dxa"/>
        <w:tblLayout w:type="fixed"/>
        <w:tblCellMar>
          <w:top w:w="28" w:type="dxa"/>
          <w:left w:w="28" w:type="dxa"/>
          <w:bottom w:w="28" w:type="dxa"/>
          <w:right w:w="28" w:type="dxa"/>
        </w:tblCellMar>
      </w:tblPr>
      <w:tblGrid>
        <w:gridCol w:w="124"/>
        <w:gridCol w:w="109"/>
        <w:gridCol w:w="109"/>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terms of any rights to redeem or call the warrants;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provisions for changes to or adjustments in the exercise price or number of securities issuable upon exercise of the warrants; </w:t>
            </w:r>
          </w:p>
        </w:tc>
      </w:tr>
    </w:tbl>
    <w:tbl>
      <w:tblPr>
        <w:tblW w:w="6613" w:type="dxa"/>
        <w:jc w:val="left"/>
        <w:tblInd w:w="0" w:type="dxa"/>
        <w:tblLayout w:type="fixed"/>
        <w:tblCellMar>
          <w:top w:w="28" w:type="dxa"/>
          <w:left w:w="28" w:type="dxa"/>
          <w:bottom w:w="28" w:type="dxa"/>
          <w:right w:w="28" w:type="dxa"/>
        </w:tblCellMar>
      </w:tblPr>
      <w:tblGrid>
        <w:gridCol w:w="124"/>
        <w:gridCol w:w="109"/>
        <w:gridCol w:w="109"/>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periods during which, and places at which, the warrants are exercisable; </w:t>
            </w:r>
          </w:p>
        </w:tc>
      </w:tr>
    </w:tbl>
    <w:tbl>
      <w:tblPr>
        <w:tblW w:w="2413" w:type="dxa"/>
        <w:jc w:val="left"/>
        <w:tblInd w:w="0" w:type="dxa"/>
        <w:tblLayout w:type="fixed"/>
        <w:tblCellMar>
          <w:top w:w="28" w:type="dxa"/>
          <w:left w:w="28" w:type="dxa"/>
          <w:bottom w:w="28" w:type="dxa"/>
          <w:right w:w="28" w:type="dxa"/>
        </w:tblCellMar>
      </w:tblPr>
      <w:tblGrid>
        <w:gridCol w:w="124"/>
        <w:gridCol w:w="109"/>
        <w:gridCol w:w="109"/>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manner of exercise; </w:t>
            </w:r>
          </w:p>
        </w:tc>
      </w:tr>
    </w:tbl>
    <w:tbl>
      <w:tblPr>
        <w:tblW w:w="6958" w:type="dxa"/>
        <w:jc w:val="left"/>
        <w:tblInd w:w="0" w:type="dxa"/>
        <w:tblLayout w:type="fixed"/>
        <w:tblCellMar>
          <w:top w:w="28" w:type="dxa"/>
          <w:left w:w="28" w:type="dxa"/>
          <w:bottom w:w="28" w:type="dxa"/>
          <w:right w:w="28" w:type="dxa"/>
        </w:tblCellMar>
      </w:tblPr>
      <w:tblGrid>
        <w:gridCol w:w="124"/>
        <w:gridCol w:w="109"/>
        <w:gridCol w:w="109"/>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dates on which the right to exercise the warrants will commence and expire; </w:t>
            </w:r>
          </w:p>
        </w:tc>
      </w:tr>
    </w:tbl>
    <w:tbl>
      <w:tblPr>
        <w:tblW w:w="6553" w:type="dxa"/>
        <w:jc w:val="left"/>
        <w:tblInd w:w="0" w:type="dxa"/>
        <w:tblLayout w:type="fixed"/>
        <w:tblCellMar>
          <w:top w:w="28" w:type="dxa"/>
          <w:left w:w="28" w:type="dxa"/>
          <w:bottom w:w="28" w:type="dxa"/>
          <w:right w:w="28" w:type="dxa"/>
        </w:tblCellMar>
      </w:tblPr>
      <w:tblGrid>
        <w:gridCol w:w="124"/>
        <w:gridCol w:w="109"/>
        <w:gridCol w:w="109"/>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manner in which the warrant agreement and warrants may be modified; </w:t>
            </w:r>
          </w:p>
        </w:tc>
      </w:tr>
    </w:tbl>
    <w:tbl>
      <w:tblPr>
        <w:tblW w:w="6283" w:type="dxa"/>
        <w:jc w:val="left"/>
        <w:tblInd w:w="0" w:type="dxa"/>
        <w:tblLayout w:type="fixed"/>
        <w:tblCellMar>
          <w:top w:w="28" w:type="dxa"/>
          <w:left w:w="28" w:type="dxa"/>
          <w:bottom w:w="28" w:type="dxa"/>
          <w:right w:w="28" w:type="dxa"/>
        </w:tblCellMar>
      </w:tblPr>
      <w:tblGrid>
        <w:gridCol w:w="124"/>
        <w:gridCol w:w="109"/>
        <w:gridCol w:w="109"/>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federal income tax consequences of holding or exercising the warrants; </w:t>
            </w:r>
          </w:p>
        </w:tc>
      </w:tr>
    </w:tbl>
    <w:tbl>
      <w:tblPr>
        <w:tblW w:w="6103" w:type="dxa"/>
        <w:jc w:val="left"/>
        <w:tblInd w:w="0" w:type="dxa"/>
        <w:tblLayout w:type="fixed"/>
        <w:tblCellMar>
          <w:top w:w="28" w:type="dxa"/>
          <w:left w:w="28" w:type="dxa"/>
          <w:bottom w:w="28" w:type="dxa"/>
          <w:right w:w="28" w:type="dxa"/>
        </w:tblCellMar>
      </w:tblPr>
      <w:tblGrid>
        <w:gridCol w:w="124"/>
        <w:gridCol w:w="109"/>
        <w:gridCol w:w="109"/>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terms of the securities issuable upon exercise of the warrants; and </w:t>
            </w:r>
          </w:p>
        </w:tc>
      </w:tr>
    </w:tbl>
    <w:tbl>
      <w:tblPr>
        <w:tblW w:w="7843" w:type="dxa"/>
        <w:jc w:val="left"/>
        <w:tblInd w:w="0" w:type="dxa"/>
        <w:tblLayout w:type="fixed"/>
        <w:tblCellMar>
          <w:top w:w="28" w:type="dxa"/>
          <w:left w:w="28" w:type="dxa"/>
          <w:bottom w:w="28" w:type="dxa"/>
          <w:right w:w="28" w:type="dxa"/>
        </w:tblCellMar>
      </w:tblPr>
      <w:tblGrid>
        <w:gridCol w:w="124"/>
        <w:gridCol w:w="109"/>
        <w:gridCol w:w="109"/>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other specific terms, preferences, rights or limitations of or restrictions on the warrants.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7" w:name="description_of_units"/>
      <w:bookmarkEnd w:id="47"/>
      <w:r>
        <w:rPr>
          <w:rFonts w:ascii="Times New Roman" w:hAnsi="Times New Roman"/>
          <w:b/>
          <w:color w:val="000000"/>
          <w:sz w:val="20"/>
        </w:rPr>
        <w:t>DESCRIPTION OF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designation and terms of the units and of the securities comprising the units, including whether and under what circumstances those securities may be held or transferred separately; </w:t>
            </w:r>
          </w:p>
        </w:tc>
      </w:tr>
    </w:tbl>
    <w:tbl>
      <w:tblPr>
        <w:tblW w:w="4453" w:type="dxa"/>
        <w:jc w:val="left"/>
        <w:tblInd w:w="0" w:type="dxa"/>
        <w:tblLayout w:type="fixed"/>
        <w:tblCellMar>
          <w:top w:w="28" w:type="dxa"/>
          <w:left w:w="28" w:type="dxa"/>
          <w:bottom w:w="28" w:type="dxa"/>
          <w:right w:w="28" w:type="dxa"/>
        </w:tblCellMar>
      </w:tblPr>
      <w:tblGrid>
        <w:gridCol w:w="124"/>
        <w:gridCol w:w="109"/>
        <w:gridCol w:w="109"/>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provisions of the governing unit agreement; </w:t>
            </w:r>
          </w:p>
        </w:tc>
      </w:tr>
    </w:tbl>
    <w:tbl>
      <w:tblPr>
        <w:tblW w:w="4798" w:type="dxa"/>
        <w:jc w:val="left"/>
        <w:tblInd w:w="0" w:type="dxa"/>
        <w:tblLayout w:type="fixed"/>
        <w:tblCellMar>
          <w:top w:w="28" w:type="dxa"/>
          <w:left w:w="28" w:type="dxa"/>
          <w:bottom w:w="28" w:type="dxa"/>
          <w:right w:w="28" w:type="dxa"/>
        </w:tblCellMar>
      </w:tblPr>
      <w:tblGrid>
        <w:gridCol w:w="124"/>
        <w:gridCol w:w="109"/>
        <w:gridCol w:w="109"/>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price or prices at which such units will be issued; </w:t>
            </w:r>
          </w:p>
        </w:tc>
      </w:tr>
    </w:tbl>
    <w:tbl>
      <w:tblPr>
        <w:tblW w:w="7288" w:type="dxa"/>
        <w:jc w:val="left"/>
        <w:tblInd w:w="0" w:type="dxa"/>
        <w:tblLayout w:type="fixed"/>
        <w:tblCellMar>
          <w:top w:w="28" w:type="dxa"/>
          <w:left w:w="28" w:type="dxa"/>
          <w:bottom w:w="28" w:type="dxa"/>
          <w:right w:w="28" w:type="dxa"/>
        </w:tblCellMar>
      </w:tblPr>
      <w:tblGrid>
        <w:gridCol w:w="124"/>
        <w:gridCol w:w="109"/>
        <w:gridCol w:w="109"/>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applicable United States federal income tax considerations relating to the units;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provisions for the issuance, payment, settlement, transfer or exchange of the units or of the securities comprising the units; and </w:t>
            </w:r>
          </w:p>
        </w:tc>
      </w:tr>
    </w:tbl>
    <w:tbl>
      <w:tblPr>
        <w:tblW w:w="6163" w:type="dxa"/>
        <w:jc w:val="left"/>
        <w:tblInd w:w="0" w:type="dxa"/>
        <w:tblLayout w:type="fixed"/>
        <w:tblCellMar>
          <w:top w:w="28" w:type="dxa"/>
          <w:left w:w="28" w:type="dxa"/>
          <w:bottom w:w="28" w:type="dxa"/>
          <w:right w:w="28" w:type="dxa"/>
        </w:tblCellMar>
      </w:tblPr>
      <w:tblGrid>
        <w:gridCol w:w="124"/>
        <w:gridCol w:w="109"/>
        <w:gridCol w:w="109"/>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other terms of the units and of the securities comprising the units.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The provisions described in this section, as well as those described under “</w:t>
      </w:r>
      <w:r>
        <w:rPr>
          <w:rFonts w:ascii="Times New Roman" w:hAnsi="Times New Roman"/>
          <w:i/>
          <w:color w:val="000000"/>
          <w:sz w:val="20"/>
        </w:rPr>
        <w:t>Description of Capital Stock</w:t>
      </w:r>
      <w:r>
        <w:rPr>
          <w:rFonts w:ascii="Times New Roman" w:hAnsi="Times New Roman"/>
          <w:color w:val="000000"/>
          <w:sz w:val="20"/>
        </w:rPr>
        <w:t>,” “</w:t>
      </w:r>
      <w:r>
        <w:rPr>
          <w:rFonts w:ascii="Times New Roman" w:hAnsi="Times New Roman"/>
          <w:i/>
          <w:color w:val="000000"/>
          <w:sz w:val="20"/>
        </w:rPr>
        <w:t>Description of Debt Securities”</w:t>
      </w:r>
      <w:r>
        <w:rPr>
          <w:rFonts w:ascii="Times New Roman" w:hAnsi="Times New Roman"/>
          <w:color w:val="000000"/>
          <w:sz w:val="20"/>
        </w:rPr>
        <w:t xml:space="preserve"> and “</w:t>
      </w:r>
      <w:r>
        <w:rPr>
          <w:rFonts w:ascii="Times New Roman" w:hAnsi="Times New Roman"/>
          <w:i/>
          <w:color w:val="000000"/>
          <w:sz w:val="20"/>
        </w:rPr>
        <w:t>Description of Warrants</w:t>
      </w:r>
      <w:r>
        <w:rPr>
          <w:rFonts w:ascii="Times New Roman" w:hAnsi="Times New Roman"/>
          <w:color w:val="000000"/>
          <w:sz w:val="20"/>
        </w:rPr>
        <w:t xml:space="preserve">” will apply to the securities included in each unit, to the extent relevant and as may be updated in any prospectus supplements. </w:t>
      </w:r>
    </w:p>
    <w:p>
      <w:pPr>
        <w:pStyle w:val="TextBody"/>
        <w:bidi w:val="0"/>
        <w:spacing w:before="360" w:after="283"/>
        <w:jc w:val="left"/>
        <w:rPr>
          <w:rFonts w:ascii="Times New Roman" w:hAnsi="Times New Roman"/>
          <w:sz w:val="20"/>
        </w:rPr>
      </w:pPr>
      <w:r>
        <w:rPr>
          <w:rFonts w:ascii="Times New Roman" w:hAnsi="Times New Roman"/>
          <w:b/>
          <w:color w:val="000000"/>
          <w:sz w:val="20"/>
        </w:rPr>
        <w:t>Issuance in Series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283"/>
        <w:jc w:val="left"/>
        <w:rPr>
          <w:rFonts w:ascii="Times New Roman" w:hAnsi="Times New Roman"/>
          <w:sz w:val="20"/>
        </w:rPr>
      </w:pPr>
      <w:r>
        <w:rPr>
          <w:rFonts w:ascii="Times New Roman" w:hAnsi="Times New Roman"/>
          <w:b/>
          <w:color w:val="000000"/>
          <w:sz w:val="20"/>
        </w:rPr>
        <w:t>Unit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provisions will generally apply to all unit agreements unless otherwise stated in the applicable prospectus supplement: </w:t>
      </w:r>
    </w:p>
    <w:p>
      <w:pPr>
        <w:pStyle w:val="TextBody"/>
        <w:bidi w:val="0"/>
        <w:spacing w:before="360" w:after="283"/>
        <w:jc w:val="left"/>
        <w:rPr>
          <w:rFonts w:ascii="Times New Roman" w:hAnsi="Times New Roman"/>
          <w:sz w:val="20"/>
        </w:rPr>
      </w:pPr>
      <w:r>
        <w:rPr>
          <w:rFonts w:ascii="Times New Roman" w:hAnsi="Times New Roman"/>
          <w:b/>
          <w:i/>
          <w:color w:val="000000"/>
          <w:sz w:val="20"/>
        </w:rPr>
        <w:t>Modification without Consent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applicable unit agent may amend any unit or unit agreement without the consent of any holder: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48" w:type="dxa"/>
        <w:jc w:val="left"/>
        <w:tblInd w:w="0" w:type="dxa"/>
        <w:tblLayout w:type="fixed"/>
        <w:tblCellMar>
          <w:top w:w="28" w:type="dxa"/>
          <w:left w:w="28" w:type="dxa"/>
          <w:bottom w:w="28" w:type="dxa"/>
          <w:right w:w="28" w:type="dxa"/>
        </w:tblCellMar>
      </w:tblPr>
      <w:tblGrid>
        <w:gridCol w:w="124"/>
        <w:gridCol w:w="109"/>
        <w:gridCol w:w="109"/>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cure any ambiguity; any provisions of the governing unit agreement that differ from those described below; </w:t>
            </w:r>
          </w:p>
        </w:tc>
      </w:tr>
    </w:tbl>
    <w:tbl>
      <w:tblPr>
        <w:tblW w:w="5983" w:type="dxa"/>
        <w:jc w:val="left"/>
        <w:tblInd w:w="0" w:type="dxa"/>
        <w:tblLayout w:type="fixed"/>
        <w:tblCellMar>
          <w:top w:w="28" w:type="dxa"/>
          <w:left w:w="28" w:type="dxa"/>
          <w:bottom w:w="28" w:type="dxa"/>
          <w:right w:w="28" w:type="dxa"/>
        </w:tblCellMar>
      </w:tblPr>
      <w:tblGrid>
        <w:gridCol w:w="124"/>
        <w:gridCol w:w="109"/>
        <w:gridCol w:w="109"/>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correct or supplement any defective or inconsistent provision;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283"/>
        <w:jc w:val="left"/>
        <w:rPr>
          <w:rFonts w:ascii="Times New Roman" w:hAnsi="Times New Roman"/>
          <w:sz w:val="20"/>
        </w:rPr>
      </w:pPr>
      <w:r>
        <w:rPr>
          <w:rFonts w:ascii="Times New Roman" w:hAnsi="Times New Roman"/>
          <w:b/>
          <w:i/>
          <w:color w:val="000000"/>
          <w:sz w:val="20"/>
        </w:rPr>
        <w:t>Modification with Consent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amend any particular unit or a unit agreement with respect to any particular unit unless we obtain the consent of the holder of that unit, if the amendment would: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other change to a particular unit agreement and the units issued under that agreement would require the following approval: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If the change affects only the units of a particular series issued under that agreement, the change must be approved by the holders of a majority of the outstanding units of that series;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regarding changes with majority approval also apply to changes affecting any securities issued under a unit agreement, as the governing document.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each case, the required approval must be given by written consent. </w:t>
      </w:r>
    </w:p>
    <w:p>
      <w:pPr>
        <w:pStyle w:val="TextBody"/>
        <w:bidi w:val="0"/>
        <w:spacing w:before="360" w:after="283"/>
        <w:jc w:val="left"/>
        <w:rPr>
          <w:rFonts w:ascii="Times New Roman" w:hAnsi="Times New Roman"/>
          <w:sz w:val="20"/>
        </w:rPr>
      </w:pPr>
      <w:r>
        <w:rPr>
          <w:rFonts w:ascii="Times New Roman" w:hAnsi="Times New Roman"/>
          <w:b/>
          <w:i/>
          <w:color w:val="000000"/>
          <w:sz w:val="20"/>
        </w:rPr>
        <w:t>Unit Agreements Will Not Be Qualified under Trust Indenture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283"/>
        <w:jc w:val="left"/>
        <w:rPr>
          <w:rFonts w:ascii="Times New Roman" w:hAnsi="Times New Roman"/>
          <w:sz w:val="20"/>
        </w:rPr>
      </w:pPr>
      <w:r>
        <w:rPr>
          <w:rFonts w:ascii="Times New Roman" w:hAnsi="Times New Roman"/>
          <w:b/>
          <w:i/>
          <w:color w:val="000000"/>
          <w:sz w:val="20"/>
        </w:rPr>
        <w:t>Mergers and Similar Transactions Permitted; No Restrictive Covenants or Events of Default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283"/>
        <w:jc w:val="left"/>
        <w:rPr>
          <w:rFonts w:ascii="Times New Roman" w:hAnsi="Times New Roman"/>
          <w:sz w:val="20"/>
        </w:rPr>
      </w:pPr>
      <w:r>
        <w:rPr>
          <w:rFonts w:ascii="Times New Roman" w:hAnsi="Times New Roman"/>
          <w:b/>
          <w:i/>
          <w:color w:val="000000"/>
          <w:sz w:val="20"/>
        </w:rPr>
        <w:t>Governing Law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 agreements and the units will be governed by New York law. </w:t>
      </w:r>
    </w:p>
    <w:p>
      <w:pPr>
        <w:pStyle w:val="TextBody"/>
        <w:bidi w:val="0"/>
        <w:spacing w:before="360" w:after="283"/>
        <w:jc w:val="left"/>
        <w:rPr>
          <w:rFonts w:ascii="Times New Roman" w:hAnsi="Times New Roman"/>
          <w:sz w:val="20"/>
        </w:rPr>
      </w:pPr>
      <w:r>
        <w:rPr>
          <w:rFonts w:ascii="Times New Roman" w:hAnsi="Times New Roman"/>
          <w:b/>
          <w:i/>
          <w:color w:val="000000"/>
          <w:sz w:val="20"/>
        </w:rPr>
        <w:t>Form, Exchange and Transfer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unit and all securities comprising the unit will be issued in the same 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issue any units in registered, non-global form, the following will apply to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Only the depositary will be entitled to transfer or exchange a unit in global form, since it will be the sole holder of the unit. </w:t>
      </w:r>
    </w:p>
    <w:p>
      <w:pPr>
        <w:pStyle w:val="TextBody"/>
        <w:bidi w:val="0"/>
        <w:spacing w:before="360" w:after="283"/>
        <w:jc w:val="left"/>
        <w:rPr>
          <w:rFonts w:ascii="Times New Roman" w:hAnsi="Times New Roman"/>
          <w:sz w:val="20"/>
        </w:rPr>
      </w:pPr>
      <w:r>
        <w:rPr>
          <w:rFonts w:ascii="Times New Roman" w:hAnsi="Times New Roman"/>
          <w:b/>
          <w:i/>
          <w:color w:val="000000"/>
          <w:sz w:val="20"/>
        </w:rPr>
        <w:t>Payments and Notices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making payments and giving notices with respect to our units, we will follow the procedures as described in the applicable prospectus supplement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8" w:name="plan_of_distribution"/>
      <w:bookmarkEnd w:id="48"/>
      <w:r>
        <w:rPr>
          <w:rFonts w:ascii="Times New Roman" w:hAnsi="Times New Roman"/>
          <w:b/>
          <w:color w:val="000000"/>
          <w:sz w:val="20"/>
        </w:rPr>
        <w:t>PLAN OF DISTRIBUTION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underwriters or dealers are used in the sale, the securities will be acquired by the underwriters or dealers for their own account and may be resold from time to time in one or more transactions, including: </w:t>
      </w:r>
    </w:p>
    <w:tbl>
      <w:tblPr>
        <w:tblW w:w="8158" w:type="dxa"/>
        <w:jc w:val="left"/>
        <w:tblInd w:w="0" w:type="dxa"/>
        <w:tblLayout w:type="fixed"/>
        <w:tblCellMar>
          <w:top w:w="28" w:type="dxa"/>
          <w:left w:w="28" w:type="dxa"/>
          <w:bottom w:w="28" w:type="dxa"/>
          <w:right w:w="28" w:type="dxa"/>
        </w:tblCellMar>
      </w:tblPr>
      <w:tblGrid>
        <w:gridCol w:w="124"/>
        <w:gridCol w:w="109"/>
        <w:gridCol w:w="109"/>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 one or more transactions at a fixed price or prices, which may be changed from time to time;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 “at-the-market offerings,” within the meaning of Rule 415(a)(4) of the Securities Act, to or through a market maker or into an existing trading market, on an exchange or otherwise; </w:t>
            </w:r>
          </w:p>
        </w:tc>
      </w:tr>
    </w:tbl>
    <w:tbl>
      <w:tblPr>
        <w:tblW w:w="7633" w:type="dxa"/>
        <w:jc w:val="left"/>
        <w:tblInd w:w="0" w:type="dxa"/>
        <w:tblLayout w:type="fixed"/>
        <w:tblCellMar>
          <w:top w:w="28" w:type="dxa"/>
          <w:left w:w="28" w:type="dxa"/>
          <w:bottom w:w="28" w:type="dxa"/>
          <w:right w:w="28" w:type="dxa"/>
        </w:tblCellMar>
      </w:tblPr>
      <w:tblGrid>
        <w:gridCol w:w="124"/>
        <w:gridCol w:w="109"/>
        <w:gridCol w:w="109"/>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through a market maker or into an existing trading market on an exchange or otherwise; </w:t>
            </w:r>
          </w:p>
        </w:tc>
      </w:tr>
    </w:tbl>
    <w:tbl>
      <w:tblPr>
        <w:tblW w:w="4783" w:type="dxa"/>
        <w:jc w:val="left"/>
        <w:tblInd w:w="0" w:type="dxa"/>
        <w:tblLayout w:type="fixed"/>
        <w:tblCellMar>
          <w:top w:w="28" w:type="dxa"/>
          <w:left w:w="28" w:type="dxa"/>
          <w:bottom w:w="28" w:type="dxa"/>
          <w:right w:w="28" w:type="dxa"/>
        </w:tblCellMar>
      </w:tblPr>
      <w:tblGrid>
        <w:gridCol w:w="124"/>
        <w:gridCol w:w="109"/>
        <w:gridCol w:w="109"/>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at prices related to those prevailing market prices; or </w:t>
            </w:r>
          </w:p>
        </w:tc>
      </w:tr>
    </w:tbl>
    <w:tbl>
      <w:tblPr>
        <w:tblW w:w="2173" w:type="dxa"/>
        <w:jc w:val="left"/>
        <w:tblInd w:w="0" w:type="dxa"/>
        <w:tblLayout w:type="fixed"/>
        <w:tblCellMar>
          <w:top w:w="28" w:type="dxa"/>
          <w:left w:w="28" w:type="dxa"/>
          <w:bottom w:w="28" w:type="dxa"/>
          <w:right w:w="28" w:type="dxa"/>
        </w:tblCellMar>
      </w:tblPr>
      <w:tblGrid>
        <w:gridCol w:w="124"/>
        <w:gridCol w:w="109"/>
        <w:gridCol w:w="109"/>
        <w:gridCol w:w="18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at negotiated prices.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applicable prospectus supplement will set forth the following information to the extent applicable: </w:t>
      </w:r>
    </w:p>
    <w:tbl>
      <w:tblPr>
        <w:tblW w:w="2533" w:type="dxa"/>
        <w:jc w:val="left"/>
        <w:tblInd w:w="0" w:type="dxa"/>
        <w:tblLayout w:type="fixed"/>
        <w:tblCellMar>
          <w:top w:w="28" w:type="dxa"/>
          <w:left w:w="28" w:type="dxa"/>
          <w:bottom w:w="28" w:type="dxa"/>
          <w:right w:w="28" w:type="dxa"/>
        </w:tblCellMar>
      </w:tblPr>
      <w:tblGrid>
        <w:gridCol w:w="124"/>
        <w:gridCol w:w="109"/>
        <w:gridCol w:w="109"/>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terms of the offering; </w:t>
            </w:r>
          </w:p>
        </w:tc>
      </w:tr>
    </w:tbl>
    <w:tbl>
      <w:tblPr>
        <w:tblW w:w="4453" w:type="dxa"/>
        <w:jc w:val="left"/>
        <w:tblInd w:w="0" w:type="dxa"/>
        <w:tblLayout w:type="fixed"/>
        <w:tblCellMar>
          <w:top w:w="28" w:type="dxa"/>
          <w:left w:w="28" w:type="dxa"/>
          <w:bottom w:w="28" w:type="dxa"/>
          <w:right w:w="28" w:type="dxa"/>
        </w:tblCellMar>
      </w:tblPr>
      <w:tblGrid>
        <w:gridCol w:w="124"/>
        <w:gridCol w:w="109"/>
        <w:gridCol w:w="109"/>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names of any underwriters, dealers or agents; </w:t>
            </w:r>
          </w:p>
        </w:tc>
      </w:tr>
    </w:tbl>
    <w:tbl>
      <w:tblPr>
        <w:tblW w:w="5743" w:type="dxa"/>
        <w:jc w:val="left"/>
        <w:tblInd w:w="0" w:type="dxa"/>
        <w:tblLayout w:type="fixed"/>
        <w:tblCellMar>
          <w:top w:w="28" w:type="dxa"/>
          <w:left w:w="28" w:type="dxa"/>
          <w:bottom w:w="28" w:type="dxa"/>
          <w:right w:w="28" w:type="dxa"/>
        </w:tblCellMar>
      </w:tblPr>
      <w:tblGrid>
        <w:gridCol w:w="124"/>
        <w:gridCol w:w="109"/>
        <w:gridCol w:w="109"/>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name or names of any managing underwriter or underwriters; </w:t>
            </w:r>
          </w:p>
        </w:tc>
      </w:tr>
    </w:tbl>
    <w:tbl>
      <w:tblPr>
        <w:tblW w:w="3388" w:type="dxa"/>
        <w:jc w:val="left"/>
        <w:tblInd w:w="0" w:type="dxa"/>
        <w:tblLayout w:type="fixed"/>
        <w:tblCellMar>
          <w:top w:w="28" w:type="dxa"/>
          <w:left w:w="28" w:type="dxa"/>
          <w:bottom w:w="28" w:type="dxa"/>
          <w:right w:w="28" w:type="dxa"/>
        </w:tblCellMar>
      </w:tblPr>
      <w:tblGrid>
        <w:gridCol w:w="124"/>
        <w:gridCol w:w="109"/>
        <w:gridCol w:w="109"/>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purchase price of the securities; </w:t>
            </w:r>
          </w:p>
        </w:tc>
      </w:tr>
    </w:tbl>
    <w:tbl>
      <w:tblPr>
        <w:tblW w:w="4318" w:type="dxa"/>
        <w:jc w:val="left"/>
        <w:tblInd w:w="0" w:type="dxa"/>
        <w:tblLayout w:type="fixed"/>
        <w:tblCellMar>
          <w:top w:w="28" w:type="dxa"/>
          <w:left w:w="28" w:type="dxa"/>
          <w:bottom w:w="28" w:type="dxa"/>
          <w:right w:w="28" w:type="dxa"/>
        </w:tblCellMar>
      </w:tblPr>
      <w:tblGrid>
        <w:gridCol w:w="124"/>
        <w:gridCol w:w="109"/>
        <w:gridCol w:w="109"/>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net proceeds from the sale of the securities; </w:t>
            </w:r>
          </w:p>
        </w:tc>
      </w:tr>
    </w:tbl>
    <w:tbl>
      <w:tblPr>
        <w:tblW w:w="3433" w:type="dxa"/>
        <w:jc w:val="left"/>
        <w:tblInd w:w="0" w:type="dxa"/>
        <w:tblLayout w:type="fixed"/>
        <w:tblCellMar>
          <w:top w:w="28" w:type="dxa"/>
          <w:left w:w="28" w:type="dxa"/>
          <w:bottom w:w="28" w:type="dxa"/>
          <w:right w:w="28" w:type="dxa"/>
        </w:tblCellMar>
      </w:tblPr>
      <w:tblGrid>
        <w:gridCol w:w="124"/>
        <w:gridCol w:w="109"/>
        <w:gridCol w:w="109"/>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delayed delivery arrangements; </w:t>
            </w:r>
          </w:p>
        </w:tc>
      </w:tr>
    </w:tbl>
    <w:tbl>
      <w:tblPr>
        <w:tblW w:w="8578" w:type="dxa"/>
        <w:jc w:val="left"/>
        <w:tblInd w:w="0" w:type="dxa"/>
        <w:tblLayout w:type="fixed"/>
        <w:tblCellMar>
          <w:top w:w="28" w:type="dxa"/>
          <w:left w:w="28" w:type="dxa"/>
          <w:bottom w:w="28" w:type="dxa"/>
          <w:right w:w="28" w:type="dxa"/>
        </w:tblCellMar>
      </w:tblPr>
      <w:tblGrid>
        <w:gridCol w:w="124"/>
        <w:gridCol w:w="109"/>
        <w:gridCol w:w="109"/>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underwriting discounts, commissions and other items constituting underwriters’ compensation; </w:t>
            </w:r>
          </w:p>
        </w:tc>
      </w:tr>
    </w:tbl>
    <w:tbl>
      <w:tblPr>
        <w:tblW w:w="3148" w:type="dxa"/>
        <w:jc w:val="left"/>
        <w:tblInd w:w="0" w:type="dxa"/>
        <w:tblLayout w:type="fixed"/>
        <w:tblCellMar>
          <w:top w:w="28" w:type="dxa"/>
          <w:left w:w="28" w:type="dxa"/>
          <w:bottom w:w="28" w:type="dxa"/>
          <w:right w:w="28" w:type="dxa"/>
        </w:tblCellMar>
      </w:tblPr>
      <w:tblGrid>
        <w:gridCol w:w="124"/>
        <w:gridCol w:w="109"/>
        <w:gridCol w:w="109"/>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initial public offering price; </w:t>
            </w:r>
          </w:p>
        </w:tc>
      </w:tr>
    </w:tbl>
    <w:tbl>
      <w:tblPr>
        <w:tblW w:w="6478" w:type="dxa"/>
        <w:jc w:val="left"/>
        <w:tblInd w:w="0" w:type="dxa"/>
        <w:tblLayout w:type="fixed"/>
        <w:tblCellMar>
          <w:top w:w="28" w:type="dxa"/>
          <w:left w:w="28" w:type="dxa"/>
          <w:bottom w:w="28" w:type="dxa"/>
          <w:right w:w="28" w:type="dxa"/>
        </w:tblCellMar>
      </w:tblPr>
      <w:tblGrid>
        <w:gridCol w:w="124"/>
        <w:gridCol w:w="109"/>
        <w:gridCol w:w="109"/>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discounts or concessions allowed or reallowed or paid to dealers; and </w:t>
            </w:r>
          </w:p>
        </w:tc>
      </w:tr>
    </w:tbl>
    <w:tbl>
      <w:tblPr>
        <w:tblW w:w="3163" w:type="dxa"/>
        <w:jc w:val="left"/>
        <w:tblInd w:w="0" w:type="dxa"/>
        <w:tblLayout w:type="fixed"/>
        <w:tblCellMar>
          <w:top w:w="28" w:type="dxa"/>
          <w:left w:w="28" w:type="dxa"/>
          <w:bottom w:w="28" w:type="dxa"/>
          <w:right w:w="28" w:type="dxa"/>
        </w:tblCellMar>
      </w:tblPr>
      <w:tblGrid>
        <w:gridCol w:w="124"/>
        <w:gridCol w:w="109"/>
        <w:gridCol w:w="109"/>
        <w:gridCol w:w="2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commissions paid to agents.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Sale through Underwriters or Dealers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facilitate the offering of securities, the underwriters may engage in transactions that stabilize, maintain or otherwise affect the price of the securities. Specifically, the underwriters may overallot in connection 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securities are offered through dealers, we will sell the securities to them as principals. They may then resell those securities to the public at varying prices determined by the dealers at the time of resale. </w:t>
      </w:r>
    </w:p>
    <w:p>
      <w:pPr>
        <w:pStyle w:val="TextBody"/>
        <w:bidi w:val="0"/>
        <w:spacing w:before="360" w:after="283"/>
        <w:jc w:val="left"/>
        <w:rPr>
          <w:rFonts w:ascii="Times New Roman" w:hAnsi="Times New Roman"/>
          <w:sz w:val="20"/>
        </w:rPr>
      </w:pPr>
      <w:r>
        <w:rPr>
          <w:rFonts w:ascii="Times New Roman" w:hAnsi="Times New Roman"/>
          <w:b/>
          <w:color w:val="000000"/>
          <w:sz w:val="20"/>
        </w:rPr>
        <w:t>Direct Sales and Sales through Agents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Select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 </w:t>
      </w:r>
    </w:p>
    <w:p>
      <w:pPr>
        <w:pStyle w:val="TextBody"/>
        <w:bidi w:val="0"/>
        <w:spacing w:before="360" w:after="283"/>
        <w:jc w:val="left"/>
        <w:rPr>
          <w:rFonts w:ascii="Times New Roman" w:hAnsi="Times New Roman"/>
          <w:sz w:val="20"/>
        </w:rPr>
      </w:pPr>
      <w:r>
        <w:rPr>
          <w:rFonts w:ascii="Times New Roman" w:hAnsi="Times New Roman"/>
          <w:b/>
          <w:color w:val="000000"/>
          <w:sz w:val="20"/>
        </w:rPr>
        <w:t>At-the-Market Offerings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 </w:t>
      </w:r>
    </w:p>
    <w:p>
      <w:pPr>
        <w:pStyle w:val="TextBody"/>
        <w:bidi w:val="0"/>
        <w:spacing w:before="360" w:after="283"/>
        <w:jc w:val="left"/>
        <w:rPr>
          <w:rFonts w:ascii="Times New Roman" w:hAnsi="Times New Roman"/>
          <w:sz w:val="20"/>
        </w:rPr>
      </w:pPr>
      <w:r>
        <w:rPr>
          <w:rFonts w:ascii="Times New Roman" w:hAnsi="Times New Roman"/>
          <w:b/>
          <w:color w:val="000000"/>
          <w:sz w:val="20"/>
        </w:rPr>
        <w:t>Remarketing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 </w:t>
      </w:r>
    </w:p>
    <w:p>
      <w:pPr>
        <w:pStyle w:val="TextBody"/>
        <w:bidi w:val="0"/>
        <w:jc w:val="left"/>
        <w:rPr>
          <w:rFonts w:ascii="Times New Roman" w:hAnsi="Times New Roman"/>
          <w:sz w:val="20"/>
        </w:rPr>
      </w:pPr>
      <w:r>
        <w:rPr>
          <w:rFonts w:ascii="Times New Roman" w:hAnsi="Times New Roman"/>
          <w:b/>
          <w:color w:val="000000"/>
          <w:sz w:val="20"/>
        </w:rPr>
        <w:t>Delayed Delivery Contracts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Information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9" w:name="legal_matters"/>
      <w:bookmarkEnd w:id="49"/>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legal matters in connection with this offering will be passed upon for us by Goodwin Procter LLP, San Francisco, California. Additional legal matters may be passed on for us, or any underwriters, dealers or agents by counsel we will name in the applicable prospectus supplement. </w:t>
      </w:r>
    </w:p>
    <w:p>
      <w:pPr>
        <w:pStyle w:val="TextBody"/>
        <w:bidi w:val="0"/>
        <w:spacing w:before="480" w:after="283"/>
        <w:jc w:val="center"/>
        <w:rPr>
          <w:rFonts w:ascii="Times New Roman" w:hAnsi="Times New Roman"/>
          <w:sz w:val="20"/>
        </w:rPr>
      </w:pPr>
      <w:bookmarkStart w:id="50" w:name="experts"/>
      <w:bookmarkEnd w:id="50"/>
      <w:r>
        <w:rPr>
          <w:rFonts w:ascii="Times New Roman" w:hAnsi="Times New Roman"/>
          <w:b/>
          <w:color w:val="000000"/>
          <w:sz w:val="20"/>
        </w:rPr>
        <w:t>EXPERTS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financial statements of Biomea Fusion,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20" w:after="283"/>
        <w:jc w:val="center"/>
        <w:rPr>
          <w:rFonts w:ascii="Arial" w:hAnsi="Arial"/>
          <w:sz w:val="28"/>
        </w:rPr>
      </w:pPr>
      <w:r>
        <w:rPr>
          <w:rFonts w:ascii="Arial" w:hAnsi="Arial"/>
          <w:b/>
          <w:color w:val="000000"/>
          <w:sz w:val="28"/>
        </w:rPr>
        <w:t>Shares of Common Stock</w:t>
      </w:r>
      <w:r>
        <w:rPr>
          <w:rFonts w:ascii="Arial" w:hAnsi="Arial"/>
          <w:color w:val="000000"/>
          <w:sz w:val="28"/>
        </w:rPr>
        <w:t xml:space="preserve"> </w:t>
      </w:r>
    </w:p>
    <w:p>
      <w:pPr>
        <w:pStyle w:val="TextBody"/>
        <w:bidi w:val="0"/>
        <w:spacing w:before="40" w:after="283"/>
        <w:jc w:val="center"/>
        <w:rPr>
          <w:rFonts w:ascii="Arial" w:hAnsi="Arial"/>
          <w:sz w:val="28"/>
        </w:rPr>
      </w:pPr>
      <w:r>
        <w:rPr>
          <w:rFonts w:ascii="Arial" w:hAnsi="Arial"/>
          <w:b/>
          <w:color w:val="000000"/>
          <w:sz w:val="28"/>
        </w:rPr>
        <w:t>Pre-funded Warrants to Purchase up to Shares of Common Stock</w:t>
      </w:r>
      <w:r>
        <w:rPr>
          <w:rFonts w:ascii="Arial" w:hAnsi="Arial"/>
          <w:color w:val="000000"/>
          <w:sz w:val="28"/>
        </w:rPr>
        <w:t xml:space="preserve"> </w:t>
      </w:r>
    </w:p>
    <w:p>
      <w:pPr>
        <w:pStyle w:val="TextBody"/>
        <w:bidi w:val="0"/>
        <w:spacing w:before="120" w:after="283"/>
        <w:jc w:val="center"/>
        <w:rPr/>
      </w:pPr>
      <w:r>
        <w:rPr/>
        <w:t> </w:t>
      </w:r>
    </w:p>
    <w:p>
      <w:pPr>
        <w:pStyle w:val="TextBody"/>
        <w:bidi w:val="0"/>
        <w:jc w:val="center"/>
        <w:rPr/>
      </w:pPr>
      <w:r>
        <w:rPr/>
        <w:drawing>
          <wp:inline distT="0" distB="0" distL="0" distR="0">
            <wp:extent cx="182880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1"/>
                    <a:stretch>
                      <a:fillRect/>
                    </a:stretch>
                  </pic:blipFill>
                  <pic:spPr bwMode="auto">
                    <a:xfrm>
                      <a:off x="0" y="0"/>
                      <a:ext cx="1828800" cy="466725"/>
                    </a:xfrm>
                    <a:prstGeom prst="rect">
                      <a:avLst/>
                    </a:prstGeom>
                  </pic:spPr>
                </pic:pic>
              </a:graphicData>
            </a:graphic>
          </wp:inline>
        </w:drawing>
      </w:r>
    </w:p>
    <w:p>
      <w:pPr>
        <w:pStyle w:val="TextBody"/>
        <w:bidi w:val="0"/>
        <w:spacing w:before="200" w:after="283"/>
        <w:jc w:val="center"/>
        <w:rPr>
          <w:rFonts w:ascii="Arial" w:hAnsi="Arial"/>
          <w:sz w:val="20"/>
        </w:rPr>
      </w:pPr>
      <w:r>
        <w:rPr>
          <w:rFonts w:ascii="Arial" w:hAnsi="Arial"/>
          <w:b/>
          <w:color w:val="000000"/>
          <w:sz w:val="20"/>
        </w:rPr>
        <w:t>PROSPECTUS SUPPLEMENT</w:t>
      </w:r>
      <w:r>
        <w:rPr>
          <w:rFonts w:ascii="Arial" w:hAnsi="Arial"/>
          <w:color w:val="000000"/>
          <w:sz w:val="20"/>
        </w:rPr>
        <w:t xml:space="preserve"> </w:t>
      </w:r>
    </w:p>
    <w:p>
      <w:pPr>
        <w:pStyle w:val="TextBody"/>
        <w:bidi w:val="0"/>
        <w:spacing w:before="120" w:after="283"/>
        <w:jc w:val="center"/>
        <w:rPr>
          <w:rFonts w:ascii="Arial" w:hAnsi="Arial"/>
          <w:b/>
          <w:color w:val="000000"/>
          <w:sz w:val="32"/>
        </w:rPr>
      </w:pPr>
      <w:r>
        <w:rPr>
          <w:rFonts w:ascii="Arial" w:hAnsi="Arial"/>
          <w:b/>
          <w:color w:val="000000"/>
          <w:sz w:val="32"/>
        </w:rPr>
        <w:t>Konik Capital Partners</w:t>
      </w:r>
    </w:p>
    <w:p>
      <w:pPr>
        <w:pStyle w:val="TextBody"/>
        <w:bidi w:val="0"/>
        <w:spacing w:before="120" w:after="283"/>
        <w:jc w:val="center"/>
        <w:rPr>
          <w:rFonts w:ascii="Arial" w:hAnsi="Arial"/>
          <w:b/>
          <w:i/>
          <w:color w:val="000000"/>
          <w:sz w:val="18"/>
        </w:rPr>
      </w:pPr>
      <w:r>
        <w:rPr>
          <w:rFonts w:ascii="Arial" w:hAnsi="Arial"/>
          <w:b/>
          <w:i/>
          <w:color w:val="000000"/>
          <w:sz w:val="18"/>
        </w:rPr>
        <w:t>a division of T.R. Winston &amp; Co.</w:t>
      </w:r>
    </w:p>
    <w:p>
      <w:pPr>
        <w:pStyle w:val="TextBody"/>
        <w:bidi w:val="0"/>
        <w:spacing w:before="720" w:after="283"/>
        <w:jc w:val="center"/>
        <w:rPr>
          <w:rFonts w:ascii="Arial" w:hAnsi="Arial"/>
          <w:b/>
          <w:color w:val="000000"/>
          <w:sz w:val="20"/>
        </w:rPr>
      </w:pPr>
      <w:r>
        <w:rPr>
          <w:rFonts w:ascii="Arial" w:hAnsi="Arial"/>
          <w:b/>
          <w:color w:val="000000"/>
          <w:sz w:val="20"/>
        </w:rPr>
        <w:t>,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40439/000119312526121825/bmea-20251231.htm" TargetMode="External"/><Relationship Id="rId4" Type="http://schemas.openxmlformats.org/officeDocument/2006/relationships/hyperlink" Target="https://www.sec.gov/ix?doc=/Archives/edgar/data/0001840439/000119312526217074/bmea-20260331.htm" TargetMode="External"/><Relationship Id="rId5" Type="http://schemas.openxmlformats.org/officeDocument/2006/relationships/hyperlink" Target="https://www.sec.gov/ix?doc=/Archives/edgar/data/0001840439/000119312526335085/bmea-20260630.htm" TargetMode="External"/><Relationship Id="rId6" Type="http://schemas.openxmlformats.org/officeDocument/2006/relationships/hyperlink" Target="https://www.sec.gov/ix?doc=/Archives/edgar/data/0001840439/000119312526012908/d747443d8k.htm" TargetMode="External"/><Relationship Id="rId7" Type="http://schemas.openxmlformats.org/officeDocument/2006/relationships/hyperlink" Target="https://www.sec.gov/ix?doc=/Archives/edgar/data/0001840439/000119312526183710/d142809d8k.htm" TargetMode="External"/><Relationship Id="rId8" Type="http://schemas.openxmlformats.org/officeDocument/2006/relationships/hyperlink" Target="https://www.sec.gov/ix?doc=/Archives/edgar/data/0001840439/000119312526266687/d155200d8k.htm" TargetMode="External"/><Relationship Id="rId9" Type="http://schemas.openxmlformats.org/officeDocument/2006/relationships/hyperlink" Target="https://www.sec.gov/ix?doc=/Archives/edgar/data/0001840439/000119312526397870/bmea-20260922.htm" TargetMode="External"/><Relationship Id="rId10" Type="http://schemas.openxmlformats.org/officeDocument/2006/relationships/hyperlink" Target="https://www.sec.gov/ix?doc=/Archives/edgar/data/0001840439/000119312526121825/bmea-20251231.htm" TargetMode="External"/><Relationship Id="rId11" Type="http://schemas.openxmlformats.org/officeDocument/2006/relationships/hyperlink" Target="https://www.sec.gov/ix?doc=/Archives/edgar/data/0001840439/000119312526182080/bmea-20260427.htm" TargetMode="External"/><Relationship Id="rId12" Type="http://schemas.openxmlformats.org/officeDocument/2006/relationships/hyperlink" Target="https://www.sec.gov/Archives/edgar/data/1840439/000119312521116042/d942049d8a12b.htm" TargetMode="External"/><Relationship Id="rId13" Type="http://schemas.openxmlformats.org/officeDocument/2006/relationships/hyperlink" Target="https://www.sec.gov/Archives/edgar/data/1840439/000156459021030450/bmea-ex44_356.htm" TargetMode="External"/><Relationship Id="rId14" Type="http://schemas.openxmlformats.org/officeDocument/2006/relationships/image" Target="media/image2.jpeg"/><Relationship Id="rId15" Type="http://schemas.openxmlformats.org/officeDocument/2006/relationships/hyperlink" Target="https://www.sec.gov/Archives/edgar/data/1840439/000095017025047775/bmea-20241231.htm" TargetMode="External"/><Relationship Id="rId16" Type="http://schemas.openxmlformats.org/officeDocument/2006/relationships/hyperlink" Target="https://www.sec.gov/Archives/edgar/data/1840439/000095017025063543/bmea-20250331.htm" TargetMode="External"/><Relationship Id="rId17" Type="http://schemas.openxmlformats.org/officeDocument/2006/relationships/hyperlink" Target="https://www.sec.gov/Archives/edgar/data/1840439/000095017025103041/bmea-20250630.htm" TargetMode="External"/><Relationship Id="rId18" Type="http://schemas.openxmlformats.org/officeDocument/2006/relationships/hyperlink" Target="https://www.sec.gov/Archives/edgar/data/1840439/000119312525007107/d830016d8k.htm" TargetMode="External"/><Relationship Id="rId19" Type="http://schemas.openxmlformats.org/officeDocument/2006/relationships/hyperlink" Target="https://www.sec.gov/Archives/edgar/data/1840439/000119312525042468/d893104d8k.htm" TargetMode="External"/><Relationship Id="rId20" Type="http://schemas.openxmlformats.org/officeDocument/2006/relationships/hyperlink" Target="https://www.sec.gov/Archives/edgar/data/1840439/000119312525065564/d945354d8k.htm" TargetMode="External"/><Relationship Id="rId21" Type="http://schemas.openxmlformats.org/officeDocument/2006/relationships/hyperlink" Target="https://www.sec.gov/Archives/edgar/data/1840439/000119312525140718/d89465d8k.htm" TargetMode="External"/><Relationship Id="rId22" Type="http://schemas.openxmlformats.org/officeDocument/2006/relationships/hyperlink" Target="https://www.sec.gov/Archives/edgar/data/1840439/000119312525142126/d915732d8k.htm" TargetMode="External"/><Relationship Id="rId23" Type="http://schemas.openxmlformats.org/officeDocument/2006/relationships/hyperlink" Target="https://www.sec.gov/Archives/edgar/data/1840439/000119312525142830/d44604d8k.htm" TargetMode="External"/><Relationship Id="rId24" Type="http://schemas.openxmlformats.org/officeDocument/2006/relationships/hyperlink" Target="https://www.sec.gov/Archives/edgar/data/1840439/000119312525143747/d877313d8k.htm" TargetMode="External"/><Relationship Id="rId25" Type="http://schemas.openxmlformats.org/officeDocument/2006/relationships/hyperlink" Target="https://www.sec.gov/Archives/edgar/data/1840439/000119312525143747/d877313d8k.htm" TargetMode="External"/><Relationship Id="rId26" Type="http://schemas.openxmlformats.org/officeDocument/2006/relationships/hyperlink" Target="https://www.sec.gov/Archives/edgar/data/1840439/000119312525143747/d877313d8k.htm" TargetMode="External"/><Relationship Id="rId27" Type="http://schemas.openxmlformats.org/officeDocument/2006/relationships/hyperlink" Target="https://www.sec.gov/Archives/edgar/data/1840439/000119312525163815/d57486d8k.htm" TargetMode="External"/><Relationship Id="rId28" Type="http://schemas.openxmlformats.org/officeDocument/2006/relationships/hyperlink" Target="https://www.sec.gov/Archives/edgar/data/1840439/000119312525100455/d913852ddef14a.htm" TargetMode="External"/><Relationship Id="rId29" Type="http://schemas.openxmlformats.org/officeDocument/2006/relationships/hyperlink" Target="https://www.sec.gov/Archives/edgar/data/1840439/000095017025047775/bmea-20241231.htm" TargetMode="External"/><Relationship Id="rId30" Type="http://schemas.openxmlformats.org/officeDocument/2006/relationships/hyperlink" Target="https://www.sec.gov/Archives/edgar/data/1840439/000095017025047775/bmea-20241231.htm" TargetMode="External"/><Relationship Id="rId31" Type="http://schemas.openxmlformats.org/officeDocument/2006/relationships/image" Target="media/image1.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34044</Words>
  <Characters>181064</Characters>
  <CharactersWithSpaces>214732</CharactersWithSpaces>
  <Paragraphs>1585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