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Biomea Fusion,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82-2520134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1599 Industrial Road</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San Carlos, CA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94070</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980-9099</w:t>
      </w:r>
    </w:p>
    <w:p>
      <w:pPr>
        <w:spacing w:after="0" w:line="1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95"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BMEA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proposals set forth below were submitted to the stockholders at the Annual Meeting of Stockholders (the “Annual Meeting”) held on June 10, 2026, with each such proposal described in the Proxy Statement.</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entitled to vote at the Annual Meeting was 72,299,440. The number of shares of common stock present or represented by valid proxy at the Annual Meeting was 43,924,456. The number of votes cast for and against and the number of abstentions and broker non-votes with respect to each proposal voted upon are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two (2) director nominees below to the Company’s Board of Directors as Class II directors to hold office until the 2029 Annual Meeting of Stockholders of the Company or until their successors are duly elected and qualified.</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Rainer (Ramses) Erdtmann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10,860,715</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12,956,116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Eric Aguiar</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9,553,344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14,263,487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20,107,625 broker non-votes regarding this proposal.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Appointment of Independent Registered Accounting Firm</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independent registered public accounting firm of the Company for the fiscal year ending December 31, 2026.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3720" w:type="dxa"/>
            <w:vAlign w:val="bottom"/>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740" w:type="dxa"/>
            <w:vAlign w:val="bottom"/>
          </w:tcPr>
          <w:p>
            <w:pPr>
              <w:jc w:val="center"/>
              <w:ind w:left="939"/>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6"/>
        </w:trPr>
        <w:tc>
          <w:tcPr>
            <w:tcW w:w="1320" w:type="dxa"/>
            <w:vAlign w:val="bottom"/>
          </w:tcPr>
          <w:p>
            <w:pPr>
              <w:spacing w:after="0"/>
              <w:rPr>
                <w:sz w:val="18"/>
                <w:szCs w:val="18"/>
                <w:color w:val="auto"/>
              </w:rPr>
            </w:pPr>
          </w:p>
        </w:tc>
        <w:tc>
          <w:tcPr>
            <w:tcW w:w="3720" w:type="dxa"/>
            <w:vAlign w:val="bottom"/>
            <w:shd w:val="clear" w:color="auto" w:fill="CCEEFF"/>
          </w:tcPr>
          <w:p>
            <w:pPr>
              <w:jc w:val="right"/>
              <w:ind w:right="1859"/>
              <w:spacing w:after="0"/>
              <w:rPr>
                <w:sz w:val="20"/>
                <w:szCs w:val="20"/>
                <w:color w:val="auto"/>
              </w:rPr>
            </w:pPr>
            <w:r>
              <w:rPr>
                <w:rFonts w:ascii="Times New Roman" w:cs="Times New Roman" w:eastAsia="Times New Roman" w:hAnsi="Times New Roman"/>
                <w:sz w:val="18"/>
                <w:szCs w:val="18"/>
                <w:color w:val="auto"/>
              </w:rPr>
              <w:t>40,209,966</w:t>
            </w:r>
          </w:p>
        </w:tc>
        <w:tc>
          <w:tcPr>
            <w:tcW w:w="290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3,561,734</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152,756</w:t>
            </w: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were 0 broker non-votes regarding this proposal.</w:t>
            </w:r>
          </w:p>
        </w:tc>
        <w:tc>
          <w:tcPr>
            <w:tcW w:w="29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Biomea Fusion, Inc.</w:t>
      </w:r>
    </w:p>
    <w:p>
      <w:pPr>
        <w:spacing w:after="0" w:line="225" w:lineRule="exact"/>
        <w:rPr>
          <w:sz w:val="20"/>
          <w:szCs w:val="20"/>
          <w:color w:val="auto"/>
        </w:rPr>
      </w:pPr>
    </w:p>
    <w:p>
      <w:pPr>
        <w:spacing w:after="0"/>
        <w:tabs>
          <w:tab w:leader="none" w:pos="5600" w:val="left"/>
          <w:tab w:leader="none" w:pos="728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J.M. Hitchcock,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Michael J.M. Hitchcock, Ph.D.</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Interim Chief Executive Officer and Director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2026-06-11T06:13:04Z</dcterms:created>
  <dcterms:modified xsi:type="dcterms:W3CDTF">2026-06-11T06:13:04Z</dcterms:modified>
</cp:coreProperties>
</file>