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53975</wp:posOffset>
                </wp:positionV>
                <wp:extent cx="9144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25pt" to="288pt,4.25pt" o:allowincell="f" strokecolor="#000000" strokeweight="1pt"/>
            </w:pict>
          </mc:Fallback>
        </mc:AlternateConten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81280</wp:posOffset>
                </wp:positionV>
                <wp:extent cx="9144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4pt" to="288pt,6.4pt" o:allowincell="f" strokecolor="#000000" strokeweight="1pt"/>
            </w:pict>
          </mc:Fallback>
        </mc:AlternateConten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9" w:lineRule="exact"/>
        <w:rPr>
          <w:sz w:val="24"/>
          <w:szCs w:val="24"/>
          <w:color w:val="auto"/>
        </w:rPr>
      </w:pPr>
    </w:p>
    <w:p>
      <w:pPr>
        <w:ind w:left="400" w:right="340" w:hanging="400"/>
        <w:spacing w:after="0" w:line="228" w:lineRule="auto"/>
        <w:tabs>
          <w:tab w:leader="none" w:pos="400" w:val="left"/>
        </w:tabs>
        <w:numPr>
          <w:ilvl w:val="0"/>
          <w:numId w:val="1"/>
        </w:numPr>
        <w:rPr>
          <w:rFonts w:ascii="Segoe UI" w:cs="Segoe UI" w:eastAsia="Segoe UI" w:hAnsi="Segoe UI"/>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6" w:lineRule="exact"/>
        <w:rPr>
          <w:sz w:val="24"/>
          <w:szCs w:val="24"/>
          <w:color w:val="auto"/>
        </w:rPr>
      </w:pPr>
    </w:p>
    <w:p>
      <w:pPr>
        <w:ind w:left="400" w:hanging="400"/>
        <w:spacing w:after="0"/>
        <w:tabs>
          <w:tab w:leader="none" w:pos="400" w:val="left"/>
        </w:tabs>
        <w:numPr>
          <w:ilvl w:val="0"/>
          <w:numId w:val="2"/>
        </w:numPr>
        <w:rPr>
          <w:rFonts w:ascii="Segoe UI" w:cs="Segoe UI" w:eastAsia="Segoe UI" w:hAnsi="Segoe UI"/>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w:t>
      </w:r>
    </w:p>
    <w:p>
      <w:pPr>
        <w:ind w:left="400"/>
        <w:spacing w:after="0"/>
        <w:tabs>
          <w:tab w:leader="none" w:pos="5960" w:val="left"/>
        </w:tabs>
        <w:rPr>
          <w:sz w:val="20"/>
          <w:szCs w:val="20"/>
          <w:color w:val="auto"/>
        </w:rPr>
      </w:pPr>
      <w:r>
        <w:rPr>
          <w:rFonts w:ascii="Times New Roman" w:cs="Times New Roman" w:eastAsia="Times New Roman" w:hAnsi="Times New Roman"/>
          <w:sz w:val="20"/>
          <w:szCs w:val="20"/>
          <w:b w:val="1"/>
          <w:bCs w:val="1"/>
          <w:color w:val="auto"/>
        </w:rPr>
        <w:t>OF 1934 FOR THE TRANSITION PERIOD FROM</w:t>
      </w:r>
      <w:r>
        <w:rPr>
          <w:sz w:val="20"/>
          <w:szCs w:val="20"/>
          <w:color w:val="auto"/>
        </w:rPr>
        <w:tab/>
      </w:r>
      <w:r>
        <w:rPr>
          <w:rFonts w:ascii="Times New Roman" w:cs="Times New Roman" w:eastAsia="Times New Roman" w:hAnsi="Times New Roman"/>
          <w:sz w:val="20"/>
          <w:szCs w:val="20"/>
          <w:b w:val="1"/>
          <w:bCs w:val="1"/>
          <w:color w:val="auto"/>
        </w:rPr>
        <w:t>TO</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001-40335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77470</wp:posOffset>
                </wp:positionV>
                <wp:extent cx="9144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1pt" to="288pt,6.1pt" o:allowincell="f" strokecolor="#000000" strokeweight="1pt"/>
            </w:pict>
          </mc:Fallback>
        </mc:AlternateConten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Biomea Fusion,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57150</wp:posOffset>
                </wp:positionV>
                <wp:extent cx="9144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pt" to="288pt,4.5pt" o:allowincell="f" strokecolor="#000000" strokeweight="1pt"/>
            </w:pict>
          </mc:Fallback>
        </mc:AlternateContent>
      </w:r>
    </w:p>
    <w:p>
      <w:pPr>
        <w:sectPr>
          <w:pgSz w:w="12240" w:h="15840" w:orient="portrait"/>
          <w:cols w:equalWidth="0" w:num="1">
            <w:col w:w="10080"/>
          </w:cols>
          <w:pgMar w:left="1080" w:top="1038" w:right="1080" w:bottom="1440" w:gutter="0" w:footer="0" w:header="0"/>
        </w:sectPr>
      </w:pPr>
    </w:p>
    <w:p>
      <w:pPr>
        <w:spacing w:after="0" w:line="146"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2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6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82-2520134</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 w:lineRule="exact"/>
        <w:rPr>
          <w:sz w:val="24"/>
          <w:szCs w:val="24"/>
          <w:color w:val="auto"/>
        </w:rPr>
      </w:pPr>
    </w:p>
    <w:p>
      <w:pPr>
        <w:sectPr>
          <w:pgSz w:w="12240" w:h="15840" w:orient="portrait"/>
          <w:cols w:equalWidth="0" w:num="2">
            <w:col w:w="6280" w:space="720"/>
            <w:col w:w="3080"/>
          </w:cols>
          <w:pgMar w:left="1080" w:top="1038" w:right="108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20"/>
          <w:szCs w:val="20"/>
          <w:b w:val="1"/>
          <w:bCs w:val="1"/>
          <w:color w:val="auto"/>
        </w:rPr>
        <w:t>1599 Industrial Road</w:t>
      </w:r>
    </w:p>
    <w:p>
      <w:pPr>
        <w:spacing w:after="0" w:line="12" w:lineRule="exact"/>
        <w:rPr>
          <w:sz w:val="24"/>
          <w:szCs w:val="24"/>
          <w:color w:val="auto"/>
        </w:rPr>
      </w:pPr>
    </w:p>
    <w:p>
      <w:pPr>
        <w:ind w:left="1560"/>
        <w:spacing w:after="0"/>
        <w:tabs>
          <w:tab w:leader="none" w:pos="7280" w:val="left"/>
        </w:tabs>
        <w:rPr>
          <w:sz w:val="20"/>
          <w:szCs w:val="20"/>
          <w:color w:val="auto"/>
        </w:rPr>
      </w:pPr>
      <w:r>
        <w:rPr>
          <w:rFonts w:ascii="Times New Roman" w:cs="Times New Roman" w:eastAsia="Times New Roman" w:hAnsi="Times New Roman"/>
          <w:sz w:val="20"/>
          <w:szCs w:val="20"/>
          <w:b w:val="1"/>
          <w:bCs w:val="1"/>
          <w:color w:val="auto"/>
        </w:rPr>
        <w:t>San Carlos, California</w:t>
      </w:r>
      <w:r>
        <w:rPr>
          <w:sz w:val="20"/>
          <w:szCs w:val="20"/>
          <w:color w:val="auto"/>
        </w:rPr>
        <w:tab/>
      </w:r>
      <w:r>
        <w:rPr>
          <w:rFonts w:ascii="Times New Roman" w:cs="Times New Roman" w:eastAsia="Times New Roman" w:hAnsi="Times New Roman"/>
          <w:sz w:val="20"/>
          <w:szCs w:val="20"/>
          <w:b w:val="1"/>
          <w:bCs w:val="1"/>
          <w:color w:val="auto"/>
        </w:rPr>
        <w:t>94070</w:t>
      </w:r>
    </w:p>
    <w:p>
      <w:pPr>
        <w:spacing w:after="0" w:line="15" w:lineRule="exact"/>
        <w:rPr>
          <w:sz w:val="24"/>
          <w:szCs w:val="24"/>
          <w:color w:val="auto"/>
        </w:rPr>
      </w:pPr>
    </w:p>
    <w:p>
      <w:pPr>
        <w:ind w:left="1360"/>
        <w:spacing w:after="0"/>
        <w:tabs>
          <w:tab w:leader="none" w:pos="720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(650) 980-9099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77470</wp:posOffset>
                </wp:positionV>
                <wp:extent cx="9144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1pt" to="288pt,6.1pt" o:allowincell="f" strokecolor="#000000" strokeweight="1pt"/>
            </w:pict>
          </mc:Fallback>
        </mc:AlternateConten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tcPr>
          <w:p>
            <w:pPr>
              <w:spacing w:after="0"/>
              <w:rPr>
                <w:sz w:val="16"/>
                <w:szCs w:val="16"/>
                <w:color w:val="auto"/>
              </w:rPr>
            </w:pPr>
          </w:p>
        </w:tc>
      </w:tr>
      <w:tr>
        <w:trPr>
          <w:trHeight w:val="202"/>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177"/>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3"/>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$0.0001 par value</w:t>
            </w: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BMEA</w:t>
            </w:r>
          </w:p>
        </w:tc>
        <w:tc>
          <w:tcPr>
            <w:tcW w:w="10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206"/>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Pr>
          <w:p>
            <w:pPr>
              <w:spacing w:after="0"/>
              <w:rPr>
                <w:sz w:val="17"/>
                <w:szCs w:val="17"/>
                <w:color w:val="auto"/>
              </w:rPr>
            </w:pPr>
          </w:p>
        </w:tc>
      </w:tr>
    </w:tbl>
    <w:p>
      <w:pPr>
        <w:spacing w:after="0" w:line="30" w:lineRule="exact"/>
        <w:rPr>
          <w:sz w:val="24"/>
          <w:szCs w:val="24"/>
          <w:color w:val="auto"/>
        </w:rPr>
      </w:pPr>
    </w:p>
    <w:p>
      <w:pPr>
        <w:ind w:right="2680"/>
        <w:spacing w:after="0" w:line="318"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Segoe UI" w:cs="Segoe UI" w:eastAsia="Segoe UI" w:hAnsi="Segoe UI"/>
          <w:sz w:val="14"/>
          <w:szCs w:val="14"/>
          <w:color w:val="auto"/>
        </w:rPr>
        <w:t>ն</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շ</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Segoe UI" w:cs="Segoe UI" w:eastAsia="Segoe UI" w:hAnsi="Segoe UI"/>
          <w:sz w:val="14"/>
          <w:szCs w:val="14"/>
          <w:color w:val="auto"/>
        </w:rPr>
        <w:t>ն</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շ</w:t>
      </w:r>
    </w:p>
    <w:p>
      <w:pPr>
        <w:spacing w:after="0" w:line="1"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4"/>
          <w:szCs w:val="14"/>
          <w:color w:val="auto"/>
        </w:rPr>
        <w:t>շ</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ն</w:t>
      </w:r>
    </w:p>
    <w:p>
      <w:pPr>
        <w:spacing w:after="0" w:line="1"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4"/>
          <w:szCs w:val="14"/>
          <w:color w:val="auto"/>
        </w:rPr>
        <w:t>շ</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ն</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60" w:type="dxa"/>
            <w:vAlign w:val="bottom"/>
          </w:tcPr>
          <w:p>
            <w:pPr>
              <w:ind w:left="260"/>
              <w:spacing w:after="0"/>
              <w:rPr>
                <w:sz w:val="20"/>
                <w:szCs w:val="20"/>
                <w:color w:val="auto"/>
              </w:rPr>
            </w:pPr>
            <w:r>
              <w:rPr>
                <w:rFonts w:ascii="Segoe UI" w:cs="Segoe UI" w:eastAsia="Segoe UI" w:hAnsi="Segoe UI"/>
                <w:sz w:val="14"/>
                <w:szCs w:val="14"/>
                <w:color w:val="auto"/>
              </w:rPr>
              <w:t>ն</w:t>
            </w:r>
          </w:p>
        </w:tc>
        <w:tc>
          <w:tcPr>
            <w:tcW w:w="462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rPr>
                <w:sz w:val="20"/>
                <w:szCs w:val="20"/>
                <w:color w:val="auto"/>
              </w:rPr>
            </w:pPr>
            <w:r>
              <w:rPr>
                <w:rFonts w:ascii="Segoe UI" w:cs="Segoe UI" w:eastAsia="Segoe UI" w:hAnsi="Segoe UI"/>
                <w:sz w:val="14"/>
                <w:szCs w:val="14"/>
                <w:color w:val="auto"/>
              </w:rPr>
              <w:t>ն</w:t>
            </w:r>
          </w:p>
        </w:tc>
      </w:tr>
      <w:tr>
        <w:trPr>
          <w:trHeight w:val="290"/>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60" w:type="dxa"/>
            <w:vAlign w:val="bottom"/>
          </w:tcPr>
          <w:p>
            <w:pPr>
              <w:ind w:left="260"/>
              <w:spacing w:after="0"/>
              <w:rPr>
                <w:sz w:val="20"/>
                <w:szCs w:val="20"/>
                <w:color w:val="auto"/>
              </w:rPr>
            </w:pPr>
            <w:r>
              <w:rPr>
                <w:rFonts w:ascii="Segoe UI" w:cs="Segoe UI" w:eastAsia="Segoe UI" w:hAnsi="Segoe UI"/>
                <w:sz w:val="14"/>
                <w:szCs w:val="14"/>
                <w:color w:val="auto"/>
              </w:rPr>
              <w:t>շ</w:t>
            </w:r>
          </w:p>
        </w:tc>
        <w:tc>
          <w:tcPr>
            <w:tcW w:w="462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rPr>
                <w:sz w:val="20"/>
                <w:szCs w:val="20"/>
                <w:color w:val="auto"/>
              </w:rPr>
            </w:pPr>
            <w:r>
              <w:rPr>
                <w:rFonts w:ascii="Segoe UI" w:cs="Segoe UI" w:eastAsia="Segoe UI" w:hAnsi="Segoe UI"/>
                <w:sz w:val="14"/>
                <w:szCs w:val="14"/>
                <w:color w:val="auto"/>
              </w:rPr>
              <w:t>շ</w:t>
            </w:r>
          </w:p>
        </w:tc>
      </w:tr>
      <w:tr>
        <w:trPr>
          <w:trHeight w:val="260"/>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160" w:type="dxa"/>
            <w:vAlign w:val="bottom"/>
          </w:tcPr>
          <w:p>
            <w:pPr>
              <w:ind w:left="260"/>
              <w:spacing w:after="0"/>
              <w:rPr>
                <w:sz w:val="20"/>
                <w:szCs w:val="20"/>
                <w:color w:val="auto"/>
              </w:rPr>
            </w:pPr>
            <w:r>
              <w:rPr>
                <w:rFonts w:ascii="Segoe UI" w:cs="Segoe UI" w:eastAsia="Segoe UI" w:hAnsi="Segoe UI"/>
                <w:sz w:val="14"/>
                <w:szCs w:val="14"/>
                <w:color w:val="auto"/>
              </w:rPr>
              <w:t>շ</w:t>
            </w:r>
          </w:p>
        </w:tc>
        <w:tc>
          <w:tcPr>
            <w:tcW w:w="462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30"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4"/>
          <w:szCs w:val="14"/>
          <w:color w:val="auto"/>
        </w:rPr>
        <w:t>ն</w:t>
      </w:r>
    </w:p>
    <w:p>
      <w:pPr>
        <w:spacing w:after="0" w:line="1" w:lineRule="exact"/>
        <w:rPr>
          <w:sz w:val="24"/>
          <w:szCs w:val="24"/>
          <w:color w:val="auto"/>
        </w:rPr>
      </w:pPr>
    </w:p>
    <w:p>
      <w:pPr>
        <w:ind w:right="540"/>
        <w:spacing w:after="0" w:line="28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4"/>
          <w:szCs w:val="14"/>
          <w:color w:val="auto"/>
        </w:rPr>
        <w:t>ն</w:t>
      </w:r>
    </w:p>
    <w:p>
      <w:pPr>
        <w:spacing w:after="0" w:line="1"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4"/>
          <w:szCs w:val="14"/>
          <w:color w:val="auto"/>
        </w:rPr>
        <w:t>ն</w:t>
      </w:r>
    </w:p>
    <w:p>
      <w:pPr>
        <w:spacing w:after="0" w:line="1" w:lineRule="exact"/>
        <w:rPr>
          <w:sz w:val="24"/>
          <w:szCs w:val="24"/>
          <w:color w:val="auto"/>
        </w:rPr>
      </w:pPr>
    </w:p>
    <w:p>
      <w:pPr>
        <w:ind w:right="640"/>
        <w:spacing w:after="0" w:line="280"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4"/>
          <w:szCs w:val="14"/>
          <w:color w:val="auto"/>
        </w:rPr>
        <w:t>ն</w:t>
      </w: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Segoe UI" w:cs="Segoe UI" w:eastAsia="Segoe UI" w:hAnsi="Segoe UI"/>
          <w:sz w:val="14"/>
          <w:szCs w:val="14"/>
          <w:color w:val="auto"/>
        </w:rPr>
        <w:t>ն</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շ</w:t>
      </w:r>
    </w:p>
    <w:p>
      <w:pPr>
        <w:spacing w:after="0" w:line="62" w:lineRule="exact"/>
        <w:rPr>
          <w:sz w:val="24"/>
          <w:szCs w:val="24"/>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The aggregate market value of the voting equity held by non-affiliates of the Registrant, based on the closing price of the shares of common stock on the Nasdaq Global Select Market on June 30, 2025, was $93,614,787.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18, 2026 was 72,299,440.</w:t>
      </w:r>
    </w:p>
    <w:p>
      <w:pPr>
        <w:spacing w:after="0" w:line="8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60" w:lineRule="exact"/>
        <w:rPr>
          <w:sz w:val="24"/>
          <w:szCs w:val="24"/>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with the Securities and Exchange Commission, or SEC, on or before the date 120 days after the conclusion of the Registrant’s fiscal year ended December 31, 2025 pursuant to Regulation 14A in connection with the Registrant’s 2026 Annual Meeting of Stockholders are incorporated by reference into Part III of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74930</wp:posOffset>
                </wp:positionV>
                <wp:extent cx="6400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pt" to="504pt,5.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93980</wp:posOffset>
                </wp:positionV>
                <wp:extent cx="6400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pt" to="504pt,7.4pt" o:allowincell="f" strokecolor="#000000" strokeweight="0.75pt"/>
            </w:pict>
          </mc:Fallback>
        </mc:AlternateContent>
      </w:r>
    </w:p>
    <w:p>
      <w:pPr>
        <w:sectPr>
          <w:pgSz w:w="12240" w:h="15840" w:orient="portrait"/>
          <w:cols w:equalWidth="0" w:num="1">
            <w:col w:w="10080"/>
          </w:cols>
          <w:pgMar w:left="1080" w:top="1038" w:right="108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160" w:type="dxa"/>
            <w:vAlign w:val="bottom"/>
            <w:gridSpan w:val="9"/>
          </w:tcPr>
          <w:p>
            <w:pPr>
              <w:ind w:left="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100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4C4C4C"/>
              </w:rPr>
              <w:t>PART I</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8"/>
        </w:trPr>
        <w:tc>
          <w:tcPr>
            <w:tcW w:w="1000" w:type="dxa"/>
            <w:vAlign w:val="bottom"/>
            <w:gridSpan w:val="5"/>
            <w:vMerge w:val="continue"/>
          </w:tcPr>
          <w:p>
            <w:pPr>
              <w:spacing w:after="0"/>
              <w:rPr>
                <w:sz w:val="18"/>
                <w:szCs w:val="18"/>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4C4C4C"/>
                <w:w w:val="98"/>
              </w:rPr>
              <w:t>Business</w:t>
            </w:r>
          </w:p>
        </w:tc>
        <w:tc>
          <w:tcPr>
            <w:tcW w:w="7660" w:type="dxa"/>
            <w:vAlign w:val="bottom"/>
            <w:gridSpan w:val="22"/>
            <w:vMerge w:val="restart"/>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25"/>
        </w:trPr>
        <w:tc>
          <w:tcPr>
            <w:tcW w:w="680" w:type="dxa"/>
            <w:vAlign w:val="bottom"/>
            <w:tcBorders>
              <w:top w:val="single" w:sz="8" w:color="4C4C4C"/>
            </w:tcBorders>
          </w:tcPr>
          <w:p>
            <w:pPr>
              <w:ind w:left="140"/>
              <w:spacing w:after="0" w:line="221" w:lineRule="exact"/>
              <w:rPr>
                <w:sz w:val="20"/>
                <w:szCs w:val="20"/>
                <w:color w:val="auto"/>
              </w:rPr>
            </w:pPr>
            <w:r>
              <w:rPr>
                <w:rFonts w:ascii="Times New Roman" w:cs="Times New Roman" w:eastAsia="Times New Roman" w:hAnsi="Times New Roman"/>
                <w:sz w:val="20"/>
                <w:szCs w:val="20"/>
                <w:color w:val="auto"/>
                <w:w w:val="91"/>
              </w:rPr>
              <w:t>Item 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4C4C4C"/>
            </w:tcBorders>
            <w:vMerge w:val="continue"/>
          </w:tcPr>
          <w:p>
            <w:pPr>
              <w:spacing w:after="0"/>
              <w:rPr>
                <w:sz w:val="19"/>
                <w:szCs w:val="19"/>
                <w:color w:val="auto"/>
              </w:rPr>
            </w:pPr>
          </w:p>
        </w:tc>
        <w:tc>
          <w:tcPr>
            <w:tcW w:w="7660" w:type="dxa"/>
            <w:vAlign w:val="bottom"/>
            <w:gridSpan w:val="2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1A.</w:t>
            </w:r>
          </w:p>
        </w:tc>
        <w:tc>
          <w:tcPr>
            <w:tcW w:w="1020" w:type="dxa"/>
            <w:vAlign w:val="bottom"/>
            <w:tcBorders>
              <w:bottom w:val="single" w:sz="8" w:color="4C4C4C"/>
            </w:tcBorders>
            <w:gridSpan w:val="4"/>
          </w:tcPr>
          <w:p>
            <w:pPr>
              <w:spacing w:after="0" w:line="225" w:lineRule="exact"/>
              <w:rPr>
                <w:sz w:val="20"/>
                <w:szCs w:val="20"/>
                <w:color w:val="auto"/>
              </w:rPr>
            </w:pPr>
            <w:r>
              <w:rPr>
                <w:rFonts w:ascii="Times New Roman" w:cs="Times New Roman" w:eastAsia="Times New Roman" w:hAnsi="Times New Roman"/>
                <w:sz w:val="20"/>
                <w:szCs w:val="20"/>
                <w:color w:val="4C4C4C"/>
                <w:w w:val="99"/>
              </w:rPr>
              <w:t>Risk Factors</w:t>
            </w:r>
          </w:p>
        </w:tc>
        <w:tc>
          <w:tcPr>
            <w:tcW w:w="7360" w:type="dxa"/>
            <w:vAlign w:val="bottom"/>
            <w:gridSpan w:val="19"/>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1B.</w:t>
            </w:r>
          </w:p>
        </w:tc>
        <w:tc>
          <w:tcPr>
            <w:tcW w:w="8380" w:type="dxa"/>
            <w:vAlign w:val="bottom"/>
            <w:gridSpan w:val="23"/>
          </w:tcPr>
          <w:p>
            <w:pPr>
              <w:spacing w:after="0" w:line="225" w:lineRule="exact"/>
              <w:rPr>
                <w:sz w:val="20"/>
                <w:szCs w:val="20"/>
                <w:color w:val="auto"/>
              </w:rPr>
            </w:pPr>
            <w:r>
              <w:rPr>
                <w:rFonts w:ascii="Times New Roman" w:cs="Times New Roman" w:eastAsia="Times New Roman" w:hAnsi="Times New Roman"/>
                <w:sz w:val="20"/>
                <w:szCs w:val="20"/>
                <w:color w:val="4C4C4C"/>
              </w:rPr>
              <w:t>Unresolved Staff Comments</w:t>
            </w: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1C.</w:t>
            </w:r>
          </w:p>
        </w:tc>
        <w:tc>
          <w:tcPr>
            <w:tcW w:w="2280" w:type="dxa"/>
            <w:vAlign w:val="bottom"/>
            <w:tcBorders>
              <w:top w:val="single" w:sz="8" w:color="4C4C4C"/>
            </w:tcBorders>
            <w:gridSpan w:val="12"/>
          </w:tcPr>
          <w:p>
            <w:pPr>
              <w:spacing w:after="0" w:line="225" w:lineRule="exact"/>
              <w:rPr>
                <w:sz w:val="20"/>
                <w:szCs w:val="20"/>
                <w:color w:val="auto"/>
              </w:rPr>
            </w:pPr>
            <w:r>
              <w:rPr>
                <w:rFonts w:ascii="Times New Roman" w:cs="Times New Roman" w:eastAsia="Times New Roman" w:hAnsi="Times New Roman"/>
                <w:sz w:val="20"/>
                <w:szCs w:val="20"/>
                <w:color w:val="4C4C4C"/>
              </w:rPr>
              <w:t>Cybersecurity</w:t>
            </w:r>
          </w:p>
        </w:tc>
        <w:tc>
          <w:tcPr>
            <w:tcW w:w="6100" w:type="dxa"/>
            <w:vAlign w:val="bottom"/>
            <w:gridSpan w:val="11"/>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2.</w:t>
            </w:r>
          </w:p>
        </w:tc>
        <w:tc>
          <w:tcPr>
            <w:tcW w:w="820" w:type="dxa"/>
            <w:vAlign w:val="bottom"/>
            <w:tcBorders>
              <w:top w:val="single" w:sz="8" w:color="4C4C4C"/>
              <w:bottom w:val="single" w:sz="8" w:color="4C4C4C"/>
            </w:tcBorders>
            <w:gridSpan w:val="3"/>
          </w:tcPr>
          <w:p>
            <w:pPr>
              <w:spacing w:after="0" w:line="225" w:lineRule="exact"/>
              <w:rPr>
                <w:sz w:val="20"/>
                <w:szCs w:val="20"/>
                <w:color w:val="auto"/>
              </w:rPr>
            </w:pPr>
            <w:r>
              <w:rPr>
                <w:rFonts w:ascii="Times New Roman" w:cs="Times New Roman" w:eastAsia="Times New Roman" w:hAnsi="Times New Roman"/>
                <w:sz w:val="20"/>
                <w:szCs w:val="20"/>
                <w:color w:val="4C4C4C"/>
                <w:w w:val="98"/>
              </w:rPr>
              <w:t>Properties</w:t>
            </w:r>
          </w:p>
        </w:tc>
        <w:tc>
          <w:tcPr>
            <w:tcW w:w="300" w:type="dxa"/>
            <w:vAlign w:val="bottom"/>
            <w:tcBorders>
              <w:top w:val="single" w:sz="8" w:color="4C4C4C"/>
            </w:tcBorders>
            <w:gridSpan w:val="2"/>
          </w:tcPr>
          <w:p>
            <w:pPr>
              <w:spacing w:after="0"/>
              <w:rPr>
                <w:sz w:val="19"/>
                <w:szCs w:val="19"/>
                <w:color w:val="auto"/>
              </w:rPr>
            </w:pPr>
          </w:p>
        </w:tc>
        <w:tc>
          <w:tcPr>
            <w:tcW w:w="7260" w:type="dxa"/>
            <w:vAlign w:val="bottom"/>
            <w:gridSpan w:val="18"/>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3.</w:t>
            </w:r>
          </w:p>
        </w:tc>
        <w:tc>
          <w:tcPr>
            <w:tcW w:w="1500" w:type="dxa"/>
            <w:vAlign w:val="bottom"/>
            <w:tcBorders>
              <w:bottom w:val="single" w:sz="8" w:color="4C4C4C"/>
            </w:tcBorders>
            <w:gridSpan w:val="7"/>
          </w:tcPr>
          <w:p>
            <w:pPr>
              <w:spacing w:after="0" w:line="225" w:lineRule="exact"/>
              <w:rPr>
                <w:sz w:val="20"/>
                <w:szCs w:val="20"/>
                <w:color w:val="auto"/>
              </w:rPr>
            </w:pPr>
            <w:r>
              <w:rPr>
                <w:rFonts w:ascii="Times New Roman" w:cs="Times New Roman" w:eastAsia="Times New Roman" w:hAnsi="Times New Roman"/>
                <w:sz w:val="20"/>
                <w:szCs w:val="20"/>
                <w:color w:val="4C4C4C"/>
                <w:w w:val="99"/>
              </w:rPr>
              <w:t>Legal Proceedings</w:t>
            </w:r>
          </w:p>
        </w:tc>
        <w:tc>
          <w:tcPr>
            <w:tcW w:w="6880" w:type="dxa"/>
            <w:vAlign w:val="bottom"/>
            <w:gridSpan w:val="16"/>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4.</w:t>
            </w:r>
          </w:p>
        </w:tc>
        <w:tc>
          <w:tcPr>
            <w:tcW w:w="1980" w:type="dxa"/>
            <w:vAlign w:val="bottom"/>
            <w:tcBorders>
              <w:bottom w:val="single" w:sz="8" w:color="4C4C4C"/>
            </w:tcBorders>
            <w:gridSpan w:val="10"/>
          </w:tcPr>
          <w:p>
            <w:pPr>
              <w:spacing w:after="0" w:line="225" w:lineRule="exact"/>
              <w:rPr>
                <w:sz w:val="20"/>
                <w:szCs w:val="20"/>
                <w:color w:val="auto"/>
              </w:rPr>
            </w:pPr>
            <w:r>
              <w:rPr>
                <w:rFonts w:ascii="Times New Roman" w:cs="Times New Roman" w:eastAsia="Times New Roman" w:hAnsi="Times New Roman"/>
                <w:sz w:val="20"/>
                <w:szCs w:val="20"/>
                <w:color w:val="4C4C4C"/>
                <w:w w:val="99"/>
              </w:rPr>
              <w:t>Mine Safety Disclosures</w:t>
            </w:r>
          </w:p>
        </w:tc>
        <w:tc>
          <w:tcPr>
            <w:tcW w:w="6400" w:type="dxa"/>
            <w:vAlign w:val="bottom"/>
            <w:gridSpan w:val="13"/>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475"/>
        </w:trPr>
        <w:tc>
          <w:tcPr>
            <w:tcW w:w="100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4C4C4C"/>
              </w:rPr>
              <w:t>PART II</w:t>
            </w:r>
          </w:p>
        </w:tc>
        <w:tc>
          <w:tcPr>
            <w:tcW w:w="8380" w:type="dxa"/>
            <w:vAlign w:val="bottom"/>
            <w:gridSpan w:val="23"/>
            <w:vMerge w:val="restart"/>
          </w:tcPr>
          <w:p>
            <w:pPr>
              <w:spacing w:after="0"/>
              <w:rPr>
                <w:sz w:val="20"/>
                <w:szCs w:val="20"/>
                <w:color w:val="auto"/>
              </w:rPr>
            </w:pPr>
            <w:r>
              <w:rPr>
                <w:rFonts w:ascii="Times New Roman" w:cs="Times New Roman" w:eastAsia="Times New Roman" w:hAnsi="Times New Roman"/>
                <w:sz w:val="20"/>
                <w:szCs w:val="20"/>
                <w:color w:val="4C4C4C"/>
              </w:rPr>
              <w:t>Market for Registrant’s Common Equity, Related Stockholder Matters and Issuer Purchases of Equity</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0" w:type="dxa"/>
            <w:vAlign w:val="bottom"/>
            <w:tcBorders>
              <w:top w:val="single" w:sz="8" w:color="4C4C4C"/>
            </w:tcBorders>
            <w:gridSpan w:val="2"/>
          </w:tcPr>
          <w:p>
            <w:pPr>
              <w:ind w:left="140"/>
              <w:spacing w:after="0" w:line="221" w:lineRule="exact"/>
              <w:rPr>
                <w:sz w:val="20"/>
                <w:szCs w:val="20"/>
                <w:color w:val="auto"/>
              </w:rPr>
            </w:pPr>
            <w:r>
              <w:rPr>
                <w:rFonts w:ascii="Times New Roman" w:cs="Times New Roman" w:eastAsia="Times New Roman" w:hAnsi="Times New Roman"/>
                <w:sz w:val="20"/>
                <w:szCs w:val="20"/>
                <w:color w:val="auto"/>
              </w:rPr>
              <w:t>Item 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380" w:type="dxa"/>
            <w:vAlign w:val="bottom"/>
            <w:gridSpan w:val="23"/>
            <w:vMerge w:val="continue"/>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4C4C4C"/>
              <w:bottom w:val="single" w:sz="8" w:color="4C4C4C"/>
            </w:tcBorders>
            <w:gridSpan w:val="2"/>
          </w:tcPr>
          <w:p>
            <w:pPr>
              <w:spacing w:after="0" w:line="210" w:lineRule="exact"/>
              <w:rPr>
                <w:sz w:val="20"/>
                <w:szCs w:val="20"/>
                <w:color w:val="auto"/>
              </w:rPr>
            </w:pPr>
            <w:r>
              <w:rPr>
                <w:rFonts w:ascii="Times New Roman" w:cs="Times New Roman" w:eastAsia="Times New Roman" w:hAnsi="Times New Roman"/>
                <w:sz w:val="20"/>
                <w:szCs w:val="20"/>
                <w:color w:val="4C4C4C"/>
                <w:w w:val="98"/>
              </w:rPr>
              <w:t>Securities</w:t>
            </w:r>
          </w:p>
        </w:tc>
        <w:tc>
          <w:tcPr>
            <w:tcW w:w="7360" w:type="dxa"/>
            <w:vAlign w:val="bottom"/>
            <w:tcBorders>
              <w:top w:val="single" w:sz="8" w:color="4C4C4C"/>
            </w:tcBorders>
            <w:gridSpan w:val="20"/>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6.</w:t>
            </w:r>
          </w:p>
        </w:tc>
        <w:tc>
          <w:tcPr>
            <w:tcW w:w="8380" w:type="dxa"/>
            <w:vAlign w:val="bottom"/>
            <w:gridSpan w:val="23"/>
          </w:tcPr>
          <w:p>
            <w:pPr>
              <w:spacing w:after="0" w:line="225" w:lineRule="exact"/>
              <w:rPr>
                <w:sz w:val="20"/>
                <w:szCs w:val="20"/>
                <w:color w:val="auto"/>
              </w:rPr>
            </w:pPr>
            <w:r>
              <w:rPr>
                <w:rFonts w:ascii="Times New Roman" w:cs="Times New Roman" w:eastAsia="Times New Roman" w:hAnsi="Times New Roman"/>
                <w:sz w:val="20"/>
                <w:szCs w:val="20"/>
                <w:color w:val="4C4C4C"/>
              </w:rPr>
              <w:t>Selected Financial Data</w:t>
            </w: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0"/>
        </w:trPr>
        <w:tc>
          <w:tcPr>
            <w:tcW w:w="1000" w:type="dxa"/>
            <w:vAlign w:val="bottom"/>
            <w:gridSpan w:val="5"/>
            <w:vMerge w:val="restart"/>
          </w:tcPr>
          <w:p>
            <w:pPr>
              <w:ind w:left="140"/>
              <w:spacing w:after="0"/>
              <w:rPr>
                <w:sz w:val="20"/>
                <w:szCs w:val="20"/>
                <w:color w:val="auto"/>
              </w:rPr>
            </w:pPr>
            <w:r>
              <w:rPr>
                <w:rFonts w:ascii="Times New Roman" w:cs="Times New Roman" w:eastAsia="Times New Roman" w:hAnsi="Times New Roman"/>
                <w:sz w:val="20"/>
                <w:szCs w:val="20"/>
                <w:color w:val="auto"/>
              </w:rPr>
              <w:t>Item 7.</w:t>
            </w:r>
          </w:p>
        </w:tc>
        <w:tc>
          <w:tcPr>
            <w:tcW w:w="1460" w:type="dxa"/>
            <w:vAlign w:val="bottom"/>
            <w:gridSpan w:val="6"/>
            <w:shd w:val="clear" w:color="auto" w:fill="4C4C4C"/>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160" w:type="dxa"/>
            <w:vAlign w:val="bottom"/>
            <w:shd w:val="clear" w:color="auto" w:fill="4C4C4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line="20" w:lineRule="exact"/>
              <w:rPr>
                <w:sz w:val="1"/>
                <w:szCs w:val="1"/>
                <w:color w:val="auto"/>
              </w:rPr>
            </w:pPr>
          </w:p>
        </w:tc>
      </w:tr>
      <w:tr>
        <w:trPr>
          <w:trHeight w:val="225"/>
        </w:trPr>
        <w:tc>
          <w:tcPr>
            <w:tcW w:w="1000" w:type="dxa"/>
            <w:vAlign w:val="bottom"/>
            <w:gridSpan w:val="5"/>
            <w:vMerge w:val="continue"/>
          </w:tcPr>
          <w:p>
            <w:pPr>
              <w:spacing w:after="0"/>
              <w:rPr>
                <w:sz w:val="19"/>
                <w:szCs w:val="19"/>
                <w:color w:val="auto"/>
              </w:rPr>
            </w:pPr>
          </w:p>
        </w:tc>
        <w:tc>
          <w:tcPr>
            <w:tcW w:w="7200" w:type="dxa"/>
            <w:vAlign w:val="bottom"/>
            <w:tcBorders>
              <w:bottom w:val="single" w:sz="8" w:color="4C4C4C"/>
            </w:tcBorders>
            <w:gridSpan w:val="20"/>
          </w:tcPr>
          <w:p>
            <w:pPr>
              <w:spacing w:after="0" w:line="225" w:lineRule="exact"/>
              <w:rPr>
                <w:sz w:val="20"/>
                <w:szCs w:val="20"/>
                <w:color w:val="auto"/>
              </w:rPr>
            </w:pPr>
            <w:r>
              <w:rPr>
                <w:rFonts w:ascii="Times New Roman" w:cs="Times New Roman" w:eastAsia="Times New Roman" w:hAnsi="Times New Roman"/>
                <w:sz w:val="20"/>
                <w:szCs w:val="20"/>
                <w:color w:val="4C4C4C"/>
                <w:w w:val="99"/>
              </w:rPr>
              <w:t>Management’s Discussion and Analysis of Financial Condition and Results of Operations</w:t>
            </w:r>
          </w:p>
        </w:tc>
        <w:tc>
          <w:tcPr>
            <w:tcW w:w="1180" w:type="dxa"/>
            <w:vAlign w:val="bottom"/>
            <w:gridSpan w:val="3"/>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7A.</w:t>
            </w:r>
          </w:p>
        </w:tc>
        <w:tc>
          <w:tcPr>
            <w:tcW w:w="4860" w:type="dxa"/>
            <w:vAlign w:val="bottom"/>
            <w:tcBorders>
              <w:bottom w:val="single" w:sz="8" w:color="4C4C4C"/>
            </w:tcBorders>
            <w:gridSpan w:val="17"/>
          </w:tcPr>
          <w:p>
            <w:pPr>
              <w:spacing w:after="0" w:line="225" w:lineRule="exact"/>
              <w:rPr>
                <w:sz w:val="20"/>
                <w:szCs w:val="20"/>
                <w:color w:val="auto"/>
              </w:rPr>
            </w:pPr>
            <w:r>
              <w:rPr>
                <w:rFonts w:ascii="Times New Roman" w:cs="Times New Roman" w:eastAsia="Times New Roman" w:hAnsi="Times New Roman"/>
                <w:sz w:val="20"/>
                <w:szCs w:val="20"/>
                <w:color w:val="4C4C4C"/>
                <w:w w:val="99"/>
              </w:rPr>
              <w:t>Quantitative and Qualitative Disclosures About Market Risk</w:t>
            </w:r>
          </w:p>
        </w:tc>
        <w:tc>
          <w:tcPr>
            <w:tcW w:w="3520" w:type="dxa"/>
            <w:vAlign w:val="bottom"/>
            <w:gridSpan w:val="6"/>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8.</w:t>
            </w:r>
          </w:p>
        </w:tc>
        <w:tc>
          <w:tcPr>
            <w:tcW w:w="8380" w:type="dxa"/>
            <w:vAlign w:val="bottom"/>
            <w:gridSpan w:val="23"/>
          </w:tcPr>
          <w:p>
            <w:pPr>
              <w:spacing w:after="0" w:line="225" w:lineRule="exact"/>
              <w:rPr>
                <w:sz w:val="20"/>
                <w:szCs w:val="20"/>
                <w:color w:val="auto"/>
              </w:rPr>
            </w:pPr>
            <w:r>
              <w:rPr>
                <w:rFonts w:ascii="Times New Roman" w:cs="Times New Roman" w:eastAsia="Times New Roman" w:hAnsi="Times New Roman"/>
                <w:sz w:val="20"/>
                <w:szCs w:val="20"/>
                <w:color w:val="4C4C4C"/>
              </w:rPr>
              <w:t>Financial Statements and Supplementary Data</w:t>
            </w: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0"/>
        </w:trPr>
        <w:tc>
          <w:tcPr>
            <w:tcW w:w="1000" w:type="dxa"/>
            <w:vAlign w:val="bottom"/>
            <w:gridSpan w:val="5"/>
            <w:vMerge w:val="restart"/>
          </w:tcPr>
          <w:p>
            <w:pPr>
              <w:ind w:left="140"/>
              <w:spacing w:after="0"/>
              <w:rPr>
                <w:sz w:val="20"/>
                <w:szCs w:val="20"/>
                <w:color w:val="auto"/>
              </w:rPr>
            </w:pPr>
            <w:r>
              <w:rPr>
                <w:rFonts w:ascii="Times New Roman" w:cs="Times New Roman" w:eastAsia="Times New Roman" w:hAnsi="Times New Roman"/>
                <w:sz w:val="20"/>
                <w:szCs w:val="20"/>
                <w:color w:val="auto"/>
              </w:rPr>
              <w:t>Item 9.</w:t>
            </w:r>
          </w:p>
        </w:tc>
        <w:tc>
          <w:tcPr>
            <w:tcW w:w="1460" w:type="dxa"/>
            <w:vAlign w:val="bottom"/>
            <w:gridSpan w:val="6"/>
            <w:shd w:val="clear" w:color="auto" w:fill="4C4C4C"/>
          </w:tcPr>
          <w:p>
            <w:pPr>
              <w:spacing w:after="0" w:line="20" w:lineRule="exact"/>
              <w:rPr>
                <w:sz w:val="1"/>
                <w:szCs w:val="1"/>
                <w:color w:val="auto"/>
              </w:rPr>
            </w:pPr>
          </w:p>
        </w:tc>
        <w:tc>
          <w:tcPr>
            <w:tcW w:w="280" w:type="dxa"/>
            <w:vAlign w:val="bottom"/>
            <w:gridSpan w:val="2"/>
            <w:shd w:val="clear" w:color="auto" w:fill="4C4C4C"/>
          </w:tcPr>
          <w:p>
            <w:pPr>
              <w:spacing w:after="0" w:line="20" w:lineRule="exact"/>
              <w:rPr>
                <w:sz w:val="1"/>
                <w:szCs w:val="1"/>
                <w:color w:val="auto"/>
              </w:rPr>
            </w:pPr>
          </w:p>
        </w:tc>
        <w:tc>
          <w:tcPr>
            <w:tcW w:w="240" w:type="dxa"/>
            <w:vAlign w:val="bottom"/>
            <w:gridSpan w:val="2"/>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1160" w:type="dxa"/>
            <w:vAlign w:val="bottom"/>
            <w:gridSpan w:val="2"/>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480" w:type="dxa"/>
            <w:vAlign w:val="bottom"/>
            <w:shd w:val="clear" w:color="auto" w:fill="4C4C4C"/>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line="20" w:lineRule="exact"/>
              <w:rPr>
                <w:sz w:val="1"/>
                <w:szCs w:val="1"/>
                <w:color w:val="auto"/>
              </w:rPr>
            </w:pPr>
          </w:p>
        </w:tc>
      </w:tr>
      <w:tr>
        <w:trPr>
          <w:trHeight w:val="225"/>
        </w:trPr>
        <w:tc>
          <w:tcPr>
            <w:tcW w:w="1000" w:type="dxa"/>
            <w:vAlign w:val="bottom"/>
            <w:gridSpan w:val="5"/>
            <w:vMerge w:val="continue"/>
          </w:tcPr>
          <w:p>
            <w:pPr>
              <w:spacing w:after="0"/>
              <w:rPr>
                <w:sz w:val="19"/>
                <w:szCs w:val="19"/>
                <w:color w:val="auto"/>
              </w:rPr>
            </w:pPr>
          </w:p>
        </w:tc>
        <w:tc>
          <w:tcPr>
            <w:tcW w:w="8380" w:type="dxa"/>
            <w:vAlign w:val="bottom"/>
            <w:gridSpan w:val="23"/>
          </w:tcPr>
          <w:p>
            <w:pPr>
              <w:spacing w:after="0" w:line="225" w:lineRule="exact"/>
              <w:rPr>
                <w:sz w:val="20"/>
                <w:szCs w:val="20"/>
                <w:color w:val="auto"/>
              </w:rPr>
            </w:pPr>
            <w:r>
              <w:rPr>
                <w:rFonts w:ascii="Times New Roman" w:cs="Times New Roman" w:eastAsia="Times New Roman" w:hAnsi="Times New Roman"/>
                <w:sz w:val="20"/>
                <w:szCs w:val="20"/>
                <w:color w:val="4C4C4C"/>
              </w:rPr>
              <w:t>Changes in and Disagreements with Accountants on Accounting and Financial Disclosure</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9A.</w:t>
            </w:r>
          </w:p>
        </w:tc>
        <w:tc>
          <w:tcPr>
            <w:tcW w:w="1980" w:type="dxa"/>
            <w:vAlign w:val="bottom"/>
            <w:tcBorders>
              <w:top w:val="single" w:sz="8" w:color="4C4C4C"/>
              <w:bottom w:val="single" w:sz="8" w:color="4C4C4C"/>
            </w:tcBorders>
            <w:gridSpan w:val="10"/>
          </w:tcPr>
          <w:p>
            <w:pPr>
              <w:spacing w:after="0" w:line="225" w:lineRule="exact"/>
              <w:rPr>
                <w:sz w:val="20"/>
                <w:szCs w:val="20"/>
                <w:color w:val="auto"/>
              </w:rPr>
            </w:pPr>
            <w:r>
              <w:rPr>
                <w:rFonts w:ascii="Times New Roman" w:cs="Times New Roman" w:eastAsia="Times New Roman" w:hAnsi="Times New Roman"/>
                <w:sz w:val="20"/>
                <w:szCs w:val="20"/>
                <w:color w:val="4C4C4C"/>
                <w:w w:val="99"/>
              </w:rPr>
              <w:t>Controls and Procedures</w:t>
            </w:r>
          </w:p>
        </w:tc>
        <w:tc>
          <w:tcPr>
            <w:tcW w:w="5220" w:type="dxa"/>
            <w:vAlign w:val="bottom"/>
            <w:tcBorders>
              <w:top w:val="single" w:sz="8" w:color="4C4C4C"/>
            </w:tcBorders>
            <w:gridSpan w:val="10"/>
          </w:tcPr>
          <w:p>
            <w:pPr>
              <w:spacing w:after="0"/>
              <w:rPr>
                <w:sz w:val="19"/>
                <w:szCs w:val="19"/>
                <w:color w:val="auto"/>
              </w:rPr>
            </w:pPr>
          </w:p>
        </w:tc>
        <w:tc>
          <w:tcPr>
            <w:tcW w:w="1180" w:type="dxa"/>
            <w:vAlign w:val="bottom"/>
            <w:gridSpan w:val="3"/>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9B.</w:t>
            </w:r>
          </w:p>
        </w:tc>
        <w:tc>
          <w:tcPr>
            <w:tcW w:w="8380" w:type="dxa"/>
            <w:vAlign w:val="bottom"/>
            <w:gridSpan w:val="23"/>
          </w:tcPr>
          <w:p>
            <w:pPr>
              <w:spacing w:after="0" w:line="225" w:lineRule="exact"/>
              <w:rPr>
                <w:sz w:val="20"/>
                <w:szCs w:val="20"/>
                <w:color w:val="auto"/>
              </w:rPr>
            </w:pPr>
            <w:r>
              <w:rPr>
                <w:rFonts w:ascii="Times New Roman" w:cs="Times New Roman" w:eastAsia="Times New Roman" w:hAnsi="Times New Roman"/>
                <w:sz w:val="20"/>
                <w:szCs w:val="20"/>
                <w:color w:val="4C4C4C"/>
              </w:rPr>
              <w:t>Other Information</w:t>
            </w: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0"/>
        </w:trPr>
        <w:tc>
          <w:tcPr>
            <w:tcW w:w="1000" w:type="dxa"/>
            <w:vAlign w:val="bottom"/>
            <w:gridSpan w:val="5"/>
            <w:vMerge w:val="restart"/>
          </w:tcPr>
          <w:p>
            <w:pPr>
              <w:ind w:left="140"/>
              <w:spacing w:after="0"/>
              <w:rPr>
                <w:sz w:val="20"/>
                <w:szCs w:val="20"/>
                <w:color w:val="auto"/>
              </w:rPr>
            </w:pPr>
            <w:r>
              <w:rPr>
                <w:rFonts w:ascii="Times New Roman" w:cs="Times New Roman" w:eastAsia="Times New Roman" w:hAnsi="Times New Roman"/>
                <w:sz w:val="20"/>
                <w:szCs w:val="20"/>
                <w:color w:val="auto"/>
              </w:rPr>
              <w:t>Item 9C.</w:t>
            </w:r>
          </w:p>
        </w:tc>
        <w:tc>
          <w:tcPr>
            <w:tcW w:w="1460" w:type="dxa"/>
            <w:vAlign w:val="bottom"/>
            <w:gridSpan w:val="6"/>
            <w:shd w:val="clear" w:color="auto" w:fill="4C4C4C"/>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line="20" w:lineRule="exact"/>
              <w:rPr>
                <w:sz w:val="1"/>
                <w:szCs w:val="1"/>
                <w:color w:val="auto"/>
              </w:rPr>
            </w:pPr>
          </w:p>
        </w:tc>
      </w:tr>
      <w:tr>
        <w:trPr>
          <w:trHeight w:val="225"/>
        </w:trPr>
        <w:tc>
          <w:tcPr>
            <w:tcW w:w="1000" w:type="dxa"/>
            <w:vAlign w:val="bottom"/>
            <w:gridSpan w:val="5"/>
            <w:vMerge w:val="continue"/>
          </w:tcPr>
          <w:p>
            <w:pPr>
              <w:spacing w:after="0"/>
              <w:rPr>
                <w:sz w:val="19"/>
                <w:szCs w:val="19"/>
                <w:color w:val="auto"/>
              </w:rPr>
            </w:pPr>
          </w:p>
        </w:tc>
        <w:tc>
          <w:tcPr>
            <w:tcW w:w="5460" w:type="dxa"/>
            <w:vAlign w:val="bottom"/>
            <w:tcBorders>
              <w:bottom w:val="single" w:sz="8" w:color="4C4C4C"/>
            </w:tcBorders>
            <w:gridSpan w:val="18"/>
          </w:tcPr>
          <w:p>
            <w:pPr>
              <w:spacing w:after="0" w:line="225" w:lineRule="exact"/>
              <w:rPr>
                <w:sz w:val="20"/>
                <w:szCs w:val="20"/>
                <w:color w:val="auto"/>
              </w:rPr>
            </w:pPr>
            <w:r>
              <w:rPr>
                <w:rFonts w:ascii="Times New Roman" w:cs="Times New Roman" w:eastAsia="Times New Roman" w:hAnsi="Times New Roman"/>
                <w:sz w:val="20"/>
                <w:szCs w:val="20"/>
                <w:color w:val="4C4C4C"/>
                <w:w w:val="99"/>
              </w:rPr>
              <w:t>Disclosure Regarding Foreign Jurisdictions that Prevent Inspections</w:t>
            </w:r>
          </w:p>
        </w:tc>
        <w:tc>
          <w:tcPr>
            <w:tcW w:w="2920" w:type="dxa"/>
            <w:vAlign w:val="bottom"/>
            <w:gridSpan w:val="5"/>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100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4C4C4C"/>
              </w:rPr>
              <w:t>PART III</w:t>
            </w:r>
          </w:p>
        </w:tc>
        <w:tc>
          <w:tcPr>
            <w:tcW w:w="8380" w:type="dxa"/>
            <w:vAlign w:val="bottom"/>
            <w:gridSpan w:val="23"/>
            <w:vMerge w:val="restart"/>
          </w:tcPr>
          <w:p>
            <w:pPr>
              <w:spacing w:after="0"/>
              <w:rPr>
                <w:sz w:val="20"/>
                <w:szCs w:val="20"/>
                <w:color w:val="auto"/>
              </w:rPr>
            </w:pPr>
            <w:r>
              <w:rPr>
                <w:rFonts w:ascii="Times New Roman" w:cs="Times New Roman" w:eastAsia="Times New Roman" w:hAnsi="Times New Roman"/>
                <w:sz w:val="20"/>
                <w:szCs w:val="20"/>
                <w:color w:val="4C4C4C"/>
              </w:rPr>
              <w:t>Directors, Executive Officers and Corporate Governance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20"/>
        </w:trPr>
        <w:tc>
          <w:tcPr>
            <w:tcW w:w="840" w:type="dxa"/>
            <w:vAlign w:val="bottom"/>
            <w:tcBorders>
              <w:top w:val="single" w:sz="8" w:color="4C4C4C"/>
            </w:tcBorders>
            <w:gridSpan w:val="4"/>
          </w:tcPr>
          <w:p>
            <w:pPr>
              <w:ind w:left="140"/>
              <w:spacing w:after="0" w:line="221" w:lineRule="exact"/>
              <w:rPr>
                <w:sz w:val="20"/>
                <w:szCs w:val="20"/>
                <w:color w:val="auto"/>
              </w:rPr>
            </w:pPr>
            <w:r>
              <w:rPr>
                <w:rFonts w:ascii="Times New Roman" w:cs="Times New Roman" w:eastAsia="Times New Roman" w:hAnsi="Times New Roman"/>
                <w:sz w:val="20"/>
                <w:szCs w:val="20"/>
                <w:color w:val="auto"/>
              </w:rPr>
              <w:t>Item 10.</w:t>
            </w:r>
          </w:p>
        </w:tc>
        <w:tc>
          <w:tcPr>
            <w:tcW w:w="160" w:type="dxa"/>
            <w:vAlign w:val="bottom"/>
          </w:tcPr>
          <w:p>
            <w:pPr>
              <w:spacing w:after="0"/>
              <w:rPr>
                <w:sz w:val="19"/>
                <w:szCs w:val="19"/>
                <w:color w:val="auto"/>
              </w:rPr>
            </w:pPr>
          </w:p>
        </w:tc>
        <w:tc>
          <w:tcPr>
            <w:tcW w:w="8380" w:type="dxa"/>
            <w:vAlign w:val="bottom"/>
            <w:gridSpan w:val="23"/>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11.</w:t>
            </w:r>
          </w:p>
        </w:tc>
        <w:tc>
          <w:tcPr>
            <w:tcW w:w="2020" w:type="dxa"/>
            <w:vAlign w:val="bottom"/>
            <w:tcBorders>
              <w:top w:val="single" w:sz="8" w:color="4C4C4C"/>
              <w:bottom w:val="single" w:sz="8" w:color="4C4C4C"/>
            </w:tcBorders>
            <w:gridSpan w:val="11"/>
          </w:tcPr>
          <w:p>
            <w:pPr>
              <w:spacing w:after="0" w:line="225" w:lineRule="exact"/>
              <w:rPr>
                <w:sz w:val="20"/>
                <w:szCs w:val="20"/>
                <w:color w:val="auto"/>
              </w:rPr>
            </w:pPr>
            <w:r>
              <w:rPr>
                <w:rFonts w:ascii="Times New Roman" w:cs="Times New Roman" w:eastAsia="Times New Roman" w:hAnsi="Times New Roman"/>
                <w:sz w:val="20"/>
                <w:szCs w:val="20"/>
                <w:color w:val="4C4C4C"/>
                <w:w w:val="99"/>
              </w:rPr>
              <w:t>Executive Compensation</w:t>
            </w:r>
          </w:p>
        </w:tc>
        <w:tc>
          <w:tcPr>
            <w:tcW w:w="2540" w:type="dxa"/>
            <w:vAlign w:val="bottom"/>
            <w:tcBorders>
              <w:top w:val="single" w:sz="8" w:color="4C4C4C"/>
            </w:tcBorders>
            <w:gridSpan w:val="5"/>
          </w:tcPr>
          <w:p>
            <w:pPr>
              <w:spacing w:after="0"/>
              <w:rPr>
                <w:sz w:val="19"/>
                <w:szCs w:val="19"/>
                <w:color w:val="auto"/>
              </w:rPr>
            </w:pPr>
          </w:p>
        </w:tc>
        <w:tc>
          <w:tcPr>
            <w:tcW w:w="3820" w:type="dxa"/>
            <w:vAlign w:val="bottom"/>
            <w:gridSpan w:val="7"/>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12.</w:t>
            </w:r>
          </w:p>
        </w:tc>
        <w:tc>
          <w:tcPr>
            <w:tcW w:w="8120" w:type="dxa"/>
            <w:vAlign w:val="bottom"/>
            <w:tcBorders>
              <w:bottom w:val="single" w:sz="8" w:color="4C4C4C"/>
            </w:tcBorders>
            <w:gridSpan w:val="21"/>
          </w:tcPr>
          <w:p>
            <w:pPr>
              <w:spacing w:after="0" w:line="225" w:lineRule="exact"/>
              <w:rPr>
                <w:sz w:val="20"/>
                <w:szCs w:val="20"/>
                <w:color w:val="auto"/>
              </w:rPr>
            </w:pPr>
            <w:r>
              <w:rPr>
                <w:rFonts w:ascii="Times New Roman" w:cs="Times New Roman" w:eastAsia="Times New Roman" w:hAnsi="Times New Roman"/>
                <w:sz w:val="20"/>
                <w:szCs w:val="20"/>
                <w:color w:val="4C4C4C"/>
                <w:w w:val="99"/>
              </w:rPr>
              <w:t>Security Ownership of Certain Beneficial Owners and Management and Related Stockholder Matters</w:t>
            </w:r>
          </w:p>
        </w:tc>
        <w:tc>
          <w:tcPr>
            <w:tcW w:w="260" w:type="dxa"/>
            <w:vAlign w:val="bottom"/>
            <w:gridSpan w:val="2"/>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13.</w:t>
            </w:r>
          </w:p>
        </w:tc>
        <w:tc>
          <w:tcPr>
            <w:tcW w:w="6080" w:type="dxa"/>
            <w:vAlign w:val="bottom"/>
            <w:tcBorders>
              <w:bottom w:val="single" w:sz="8" w:color="4C4C4C"/>
            </w:tcBorders>
            <w:gridSpan w:val="19"/>
          </w:tcPr>
          <w:p>
            <w:pPr>
              <w:spacing w:after="0" w:line="225" w:lineRule="exact"/>
              <w:rPr>
                <w:sz w:val="20"/>
                <w:szCs w:val="20"/>
                <w:color w:val="auto"/>
              </w:rPr>
            </w:pPr>
            <w:r>
              <w:rPr>
                <w:rFonts w:ascii="Times New Roman" w:cs="Times New Roman" w:eastAsia="Times New Roman" w:hAnsi="Times New Roman"/>
                <w:sz w:val="20"/>
                <w:szCs w:val="20"/>
                <w:color w:val="4C4C4C"/>
                <w:w w:val="99"/>
              </w:rPr>
              <w:t>Certain Relationships and Related Transactions, and Director Independence</w:t>
            </w:r>
          </w:p>
        </w:tc>
        <w:tc>
          <w:tcPr>
            <w:tcW w:w="2300" w:type="dxa"/>
            <w:vAlign w:val="bottom"/>
            <w:gridSpan w:val="4"/>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14.</w:t>
            </w:r>
          </w:p>
        </w:tc>
        <w:tc>
          <w:tcPr>
            <w:tcW w:w="8380" w:type="dxa"/>
            <w:vAlign w:val="bottom"/>
            <w:gridSpan w:val="23"/>
          </w:tcPr>
          <w:p>
            <w:pPr>
              <w:spacing w:after="0" w:line="225" w:lineRule="exact"/>
              <w:rPr>
                <w:sz w:val="20"/>
                <w:szCs w:val="20"/>
                <w:color w:val="auto"/>
              </w:rPr>
            </w:pPr>
            <w:r>
              <w:rPr>
                <w:rFonts w:ascii="Times New Roman" w:cs="Times New Roman" w:eastAsia="Times New Roman" w:hAnsi="Times New Roman"/>
                <w:sz w:val="20"/>
                <w:szCs w:val="20"/>
                <w:color w:val="4C4C4C"/>
              </w:rPr>
              <w:t>Principal Accountant Fees and Services</w:t>
            </w: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0"/>
        </w:trPr>
        <w:tc>
          <w:tcPr>
            <w:tcW w:w="100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4C4C4C"/>
              </w:rPr>
              <w:t>PART IV</w:t>
            </w:r>
          </w:p>
        </w:tc>
        <w:tc>
          <w:tcPr>
            <w:tcW w:w="720" w:type="dxa"/>
            <w:vAlign w:val="bottom"/>
            <w:shd w:val="clear" w:color="auto" w:fill="4C4C4C"/>
          </w:tcPr>
          <w:p>
            <w:pPr>
              <w:spacing w:after="0" w:line="20" w:lineRule="exact"/>
              <w:rPr>
                <w:sz w:val="1"/>
                <w:szCs w:val="1"/>
                <w:color w:val="auto"/>
              </w:rPr>
            </w:pPr>
          </w:p>
        </w:tc>
        <w:tc>
          <w:tcPr>
            <w:tcW w:w="80" w:type="dxa"/>
            <w:vAlign w:val="bottom"/>
            <w:shd w:val="clear" w:color="auto" w:fill="4C4C4C"/>
          </w:tcPr>
          <w:p>
            <w:pPr>
              <w:spacing w:after="0" w:line="20" w:lineRule="exact"/>
              <w:rPr>
                <w:sz w:val="1"/>
                <w:szCs w:val="1"/>
                <w:color w:val="auto"/>
              </w:rPr>
            </w:pPr>
          </w:p>
        </w:tc>
        <w:tc>
          <w:tcPr>
            <w:tcW w:w="20" w:type="dxa"/>
            <w:vAlign w:val="bottom"/>
            <w:shd w:val="clear" w:color="auto" w:fill="4C4C4C"/>
          </w:tcPr>
          <w:p>
            <w:pPr>
              <w:spacing w:after="0" w:line="20" w:lineRule="exact"/>
              <w:rPr>
                <w:sz w:val="1"/>
                <w:szCs w:val="1"/>
                <w:color w:val="auto"/>
              </w:rPr>
            </w:pPr>
          </w:p>
        </w:tc>
        <w:tc>
          <w:tcPr>
            <w:tcW w:w="200" w:type="dxa"/>
            <w:vAlign w:val="bottom"/>
            <w:shd w:val="clear" w:color="auto" w:fill="4C4C4C"/>
          </w:tcPr>
          <w:p>
            <w:pPr>
              <w:spacing w:after="0" w:line="20" w:lineRule="exact"/>
              <w:rPr>
                <w:sz w:val="1"/>
                <w:szCs w:val="1"/>
                <w:color w:val="auto"/>
              </w:rPr>
            </w:pPr>
          </w:p>
        </w:tc>
        <w:tc>
          <w:tcPr>
            <w:tcW w:w="100" w:type="dxa"/>
            <w:vAlign w:val="bottom"/>
            <w:shd w:val="clear" w:color="auto" w:fill="4C4C4C"/>
          </w:tcPr>
          <w:p>
            <w:pPr>
              <w:spacing w:after="0" w:line="20" w:lineRule="exact"/>
              <w:rPr>
                <w:sz w:val="1"/>
                <w:szCs w:val="1"/>
                <w:color w:val="auto"/>
              </w:rPr>
            </w:pPr>
          </w:p>
        </w:tc>
        <w:tc>
          <w:tcPr>
            <w:tcW w:w="34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240" w:type="dxa"/>
            <w:vAlign w:val="bottom"/>
            <w:shd w:val="clear" w:color="auto" w:fill="4C4C4C"/>
          </w:tcPr>
          <w:p>
            <w:pPr>
              <w:spacing w:after="0" w:line="20" w:lineRule="exact"/>
              <w:rPr>
                <w:sz w:val="1"/>
                <w:szCs w:val="1"/>
                <w:color w:val="auto"/>
              </w:rPr>
            </w:pPr>
          </w:p>
        </w:tc>
        <w:tc>
          <w:tcPr>
            <w:tcW w:w="160" w:type="dxa"/>
            <w:vAlign w:val="bottom"/>
            <w:shd w:val="clear" w:color="auto" w:fill="4C4C4C"/>
          </w:tcPr>
          <w:p>
            <w:pPr>
              <w:spacing w:after="0" w:line="20" w:lineRule="exact"/>
              <w:rPr>
                <w:sz w:val="1"/>
                <w:szCs w:val="1"/>
                <w:color w:val="auto"/>
              </w:rPr>
            </w:pPr>
          </w:p>
        </w:tc>
        <w:tc>
          <w:tcPr>
            <w:tcW w:w="8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260" w:type="dxa"/>
            <w:vAlign w:val="bottom"/>
            <w:shd w:val="clear" w:color="auto" w:fill="4C4C4C"/>
          </w:tcPr>
          <w:p>
            <w:pPr>
              <w:spacing w:after="0" w:line="20" w:lineRule="exact"/>
              <w:rPr>
                <w:sz w:val="1"/>
                <w:szCs w:val="1"/>
                <w:color w:val="auto"/>
              </w:rPr>
            </w:pPr>
          </w:p>
        </w:tc>
        <w:tc>
          <w:tcPr>
            <w:tcW w:w="900" w:type="dxa"/>
            <w:vAlign w:val="bottom"/>
            <w:shd w:val="clear" w:color="auto" w:fill="4C4C4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1000" w:type="dxa"/>
            <w:vAlign w:val="bottom"/>
            <w:gridSpan w:val="5"/>
            <w:vMerge w:val="continue"/>
          </w:tcPr>
          <w:p>
            <w:pPr>
              <w:spacing w:after="0"/>
              <w:rPr>
                <w:sz w:val="24"/>
                <w:szCs w:val="24"/>
                <w:color w:val="auto"/>
              </w:rPr>
            </w:pPr>
          </w:p>
        </w:tc>
        <w:tc>
          <w:tcPr>
            <w:tcW w:w="8380" w:type="dxa"/>
            <w:vAlign w:val="bottom"/>
            <w:gridSpan w:val="23"/>
            <w:vMerge w:val="restart"/>
          </w:tcPr>
          <w:p>
            <w:pPr>
              <w:spacing w:after="0"/>
              <w:rPr>
                <w:sz w:val="20"/>
                <w:szCs w:val="20"/>
                <w:color w:val="auto"/>
              </w:rPr>
            </w:pPr>
            <w:r>
              <w:rPr>
                <w:rFonts w:ascii="Times New Roman" w:cs="Times New Roman" w:eastAsia="Times New Roman" w:hAnsi="Times New Roman"/>
                <w:sz w:val="20"/>
                <w:szCs w:val="20"/>
                <w:color w:val="4C4C4C"/>
              </w:rPr>
              <w:t>Exhibits, Financial Statement Schedules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20"/>
        </w:trPr>
        <w:tc>
          <w:tcPr>
            <w:tcW w:w="820" w:type="dxa"/>
            <w:vAlign w:val="bottom"/>
            <w:tcBorders>
              <w:top w:val="single" w:sz="8" w:color="4C4C4C"/>
            </w:tcBorders>
            <w:gridSpan w:val="3"/>
          </w:tcPr>
          <w:p>
            <w:pPr>
              <w:ind w:left="140"/>
              <w:spacing w:after="0" w:line="221" w:lineRule="exact"/>
              <w:rPr>
                <w:sz w:val="20"/>
                <w:szCs w:val="20"/>
                <w:color w:val="auto"/>
              </w:rPr>
            </w:pPr>
            <w:r>
              <w:rPr>
                <w:rFonts w:ascii="Times New Roman" w:cs="Times New Roman" w:eastAsia="Times New Roman" w:hAnsi="Times New Roman"/>
                <w:sz w:val="20"/>
                <w:szCs w:val="20"/>
                <w:color w:val="auto"/>
                <w:w w:val="98"/>
              </w:rPr>
              <w:t>Item 15.</w:t>
            </w:r>
          </w:p>
        </w:tc>
        <w:tc>
          <w:tcPr>
            <w:tcW w:w="180" w:type="dxa"/>
            <w:vAlign w:val="bottom"/>
            <w:gridSpan w:val="2"/>
          </w:tcPr>
          <w:p>
            <w:pPr>
              <w:spacing w:after="0"/>
              <w:rPr>
                <w:sz w:val="19"/>
                <w:szCs w:val="19"/>
                <w:color w:val="auto"/>
              </w:rPr>
            </w:pPr>
          </w:p>
        </w:tc>
        <w:tc>
          <w:tcPr>
            <w:tcW w:w="8380" w:type="dxa"/>
            <w:vAlign w:val="bottom"/>
            <w:gridSpan w:val="23"/>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16</w:t>
            </w:r>
          </w:p>
        </w:tc>
        <w:tc>
          <w:tcPr>
            <w:tcW w:w="1740" w:type="dxa"/>
            <w:vAlign w:val="bottom"/>
            <w:tcBorders>
              <w:top w:val="single" w:sz="8" w:color="4C4C4C"/>
              <w:bottom w:val="single" w:sz="8" w:color="4C4C4C"/>
            </w:tcBorders>
            <w:gridSpan w:val="8"/>
          </w:tcPr>
          <w:p>
            <w:pPr>
              <w:spacing w:after="0" w:line="225" w:lineRule="exact"/>
              <w:rPr>
                <w:sz w:val="20"/>
                <w:szCs w:val="20"/>
                <w:color w:val="auto"/>
              </w:rPr>
            </w:pPr>
            <w:r>
              <w:rPr>
                <w:rFonts w:ascii="Times New Roman" w:cs="Times New Roman" w:eastAsia="Times New Roman" w:hAnsi="Times New Roman"/>
                <w:sz w:val="20"/>
                <w:szCs w:val="20"/>
                <w:color w:val="4C4C4C"/>
                <w:w w:val="99"/>
              </w:rPr>
              <w:t>Form 10-K Summary</w:t>
            </w:r>
          </w:p>
        </w:tc>
        <w:tc>
          <w:tcPr>
            <w:tcW w:w="1480" w:type="dxa"/>
            <w:vAlign w:val="bottom"/>
            <w:tcBorders>
              <w:top w:val="single" w:sz="8" w:color="4C4C4C"/>
            </w:tcBorders>
            <w:gridSpan w:val="6"/>
          </w:tcPr>
          <w:p>
            <w:pPr>
              <w:spacing w:after="0"/>
              <w:rPr>
                <w:sz w:val="19"/>
                <w:szCs w:val="19"/>
                <w:color w:val="auto"/>
              </w:rPr>
            </w:pPr>
          </w:p>
        </w:tc>
        <w:tc>
          <w:tcPr>
            <w:tcW w:w="5160" w:type="dxa"/>
            <w:vAlign w:val="bottom"/>
            <w:gridSpan w:val="9"/>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-4652645</wp:posOffset>
            </wp:positionV>
            <wp:extent cx="6400800" cy="4657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extLst>
                    </a:blip>
                    <a:srcRect/>
                    <a:stretch>
                      <a:fillRect/>
                    </a:stretch>
                  </pic:blipFill>
                  <pic:spPr bwMode="auto">
                    <a:xfrm>
                      <a:off x="0" y="0"/>
                      <a:ext cx="6400800" cy="4657725"/>
                    </a:xfrm>
                    <a:prstGeom prst="rect">
                      <a:avLst/>
                    </a:prstGeom>
                    <a:noFill/>
                  </pic:spPr>
                </pic:pic>
              </a:graphicData>
            </a:graphic>
          </wp:anchor>
        </w:drawing>
      </w:r>
    </w:p>
    <w:p>
      <w:pPr>
        <w:sectPr>
          <w:pgSz w:w="12240" w:h="15840" w:orient="portrait"/>
          <w:cols w:equalWidth="0" w:num="1">
            <w:col w:w="10080"/>
          </w:cols>
          <w:pgMar w:left="1080" w:top="1056" w:right="108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080"/>
          </w:cols>
          <w:pgMar w:left="1080" w:top="1056" w:right="1080" w:bottom="244"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Special Note Regarding Forward Looking Statements</w:t>
      </w:r>
    </w:p>
    <w:p>
      <w:pPr>
        <w:spacing w:after="0" w:line="12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performance;</w:t>
      </w:r>
    </w:p>
    <w:p>
      <w:pPr>
        <w:spacing w:after="0" w:line="133" w:lineRule="exact"/>
        <w:rPr>
          <w:rFonts w:ascii="Arial" w:cs="Arial" w:eastAsia="Arial" w:hAnsi="Arial"/>
          <w:sz w:val="20"/>
          <w:szCs w:val="20"/>
          <w:color w:val="auto"/>
        </w:rPr>
      </w:pPr>
    </w:p>
    <w:p>
      <w:pPr>
        <w:ind w:left="280" w:right="80" w:hanging="280"/>
        <w:spacing w:after="0" w:line="276" w:lineRule="auto"/>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sufficiency of our existing cash, cash equivalents and restricted cash to fund our future operating expenses and capital expenditure requirements;</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regarding expenses, future revenue, capital requirements and needs for additional financing;</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anticipated use of our existing cash, cash equivalents and restricted cash;</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implementation of our strategic plans for our business and product candidates;</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size of the market opportunity for our product candidates and our ability to maximize those opportunities;</w:t>
      </w:r>
    </w:p>
    <w:p>
      <w:pPr>
        <w:spacing w:after="0" w:line="133" w:lineRule="exact"/>
        <w:rPr>
          <w:rFonts w:ascii="Arial" w:cs="Arial" w:eastAsia="Arial" w:hAnsi="Arial"/>
          <w:sz w:val="20"/>
          <w:szCs w:val="20"/>
          <w:color w:val="auto"/>
        </w:rPr>
      </w:pPr>
    </w:p>
    <w:p>
      <w:pPr>
        <w:ind w:left="280" w:right="320" w:hanging="280"/>
        <w:spacing w:after="0" w:line="276" w:lineRule="auto"/>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initiation, timing, progress and results of our research and development programs, preclinical studies, clinical trials and investigational new drug applications (IND) and other regulatory submissions;</w:t>
      </w:r>
    </w:p>
    <w:p>
      <w:pPr>
        <w:spacing w:after="0" w:line="64" w:lineRule="exact"/>
        <w:rPr>
          <w:rFonts w:ascii="Arial" w:cs="Arial" w:eastAsia="Arial" w:hAnsi="Arial"/>
          <w:sz w:val="20"/>
          <w:szCs w:val="20"/>
          <w:color w:val="auto"/>
        </w:rPr>
      </w:pPr>
    </w:p>
    <w:p>
      <w:pPr>
        <w:ind w:left="280" w:right="280" w:hanging="280"/>
        <w:spacing w:after="0" w:line="276" w:lineRule="auto"/>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develop our product candidates for the treatment of type 1 and type 2 diabetes mellitus or other metabolic diseases;</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progress and focus of our ongoing and future clinical trials, and the reporting of data from those trials;</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clinical trials to demonstrate safety and efficacy of our product candidates, and other favorable results;</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relating to the clinical development of our product candidates, including the disease areas to be evaluated;</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regulatory approval of our product candidates;</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relating to commercializing our product candidates, if approved;</w:t>
      </w:r>
    </w:p>
    <w:p>
      <w:pPr>
        <w:spacing w:after="0" w:line="133" w:lineRule="exact"/>
        <w:rPr>
          <w:rFonts w:ascii="Arial" w:cs="Arial" w:eastAsia="Arial" w:hAnsi="Arial"/>
          <w:sz w:val="20"/>
          <w:szCs w:val="20"/>
          <w:color w:val="auto"/>
        </w:rPr>
      </w:pPr>
    </w:p>
    <w:p>
      <w:pPr>
        <w:ind w:left="280" w:right="980" w:hanging="280"/>
        <w:spacing w:after="0" w:line="276" w:lineRule="auto"/>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of the patient populations addressable by our product candidates, if approved, and the number of participants that will enroll in our ongoing and planned clinical trials;</w:t>
      </w:r>
    </w:p>
    <w:p>
      <w:pPr>
        <w:spacing w:after="0" w:line="64" w:lineRule="exact"/>
        <w:rPr>
          <w:rFonts w:ascii="Arial" w:cs="Arial" w:eastAsia="Arial" w:hAnsi="Arial"/>
          <w:sz w:val="20"/>
          <w:szCs w:val="20"/>
          <w:color w:val="auto"/>
        </w:rPr>
      </w:pPr>
    </w:p>
    <w:p>
      <w:pPr>
        <w:ind w:left="280" w:right="220" w:hanging="280"/>
        <w:spacing w:after="0" w:line="276" w:lineRule="auto"/>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expected benefits of potential future strategic collaborations with third parties and our ability to attract collaborators with development, regulatory and commercialization expertise;</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competing therapies that are or may become available;</w:t>
      </w:r>
    </w:p>
    <w:p>
      <w:pPr>
        <w:spacing w:after="0" w:line="133" w:lineRule="exact"/>
        <w:rPr>
          <w:rFonts w:ascii="Arial" w:cs="Arial" w:eastAsia="Arial" w:hAnsi="Arial"/>
          <w:sz w:val="20"/>
          <w:szCs w:val="20"/>
          <w:color w:val="auto"/>
        </w:rPr>
      </w:pPr>
    </w:p>
    <w:p>
      <w:pPr>
        <w:ind w:left="280" w:hanging="280"/>
        <w:spacing w:after="0" w:line="276" w:lineRule="auto"/>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or likelihood of regulatory filings and approvals, including our expectation to seek special designations, such as orphan drug designation, for our product candidates;</w:t>
      </w:r>
    </w:p>
    <w:p>
      <w:pPr>
        <w:spacing w:after="0" w:line="64" w:lineRule="exact"/>
        <w:rPr>
          <w:rFonts w:ascii="Arial" w:cs="Arial" w:eastAsia="Arial" w:hAnsi="Arial"/>
          <w:sz w:val="20"/>
          <w:szCs w:val="20"/>
          <w:color w:val="auto"/>
        </w:rPr>
      </w:pPr>
    </w:p>
    <w:p>
      <w:pPr>
        <w:ind w:left="280" w:right="600" w:hanging="280"/>
        <w:spacing w:after="0" w:line="276" w:lineRule="auto"/>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relating to the further development and manufacturing of our product candidates, including for additional indications that we may pursue;</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existing regulations and regulatory developments in the United States and other jurisdictions;</w:t>
      </w:r>
    </w:p>
    <w:p>
      <w:pPr>
        <w:spacing w:after="0" w:line="133" w:lineRule="exact"/>
        <w:rPr>
          <w:rFonts w:ascii="Arial" w:cs="Arial" w:eastAsia="Arial" w:hAnsi="Arial"/>
          <w:sz w:val="20"/>
          <w:szCs w:val="20"/>
          <w:color w:val="auto"/>
        </w:rPr>
      </w:pPr>
    </w:p>
    <w:p>
      <w:pPr>
        <w:ind w:left="280" w:right="200" w:hanging="280"/>
        <w:spacing w:after="0" w:line="276" w:lineRule="auto"/>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and ability to obtain or protect intellectual property rights, including extensions of existing patent terms where available;</w:t>
      </w:r>
    </w:p>
    <w:p>
      <w:pPr>
        <w:spacing w:after="0" w:line="64" w:lineRule="exact"/>
        <w:rPr>
          <w:rFonts w:ascii="Arial" w:cs="Arial" w:eastAsia="Arial" w:hAnsi="Arial"/>
          <w:sz w:val="20"/>
          <w:szCs w:val="20"/>
          <w:color w:val="auto"/>
        </w:rPr>
      </w:pPr>
    </w:p>
    <w:p>
      <w:pPr>
        <w:ind w:left="280" w:right="120" w:hanging="280"/>
        <w:spacing w:after="0" w:line="276" w:lineRule="auto"/>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sufficient funding or enter into strategic collaborations for the advancement of certain of our product candidate programs, such as for BMF-500;</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 to rely on third parties to conduct and support preclinical and clinical development;</w:t>
      </w:r>
    </w:p>
    <w:p>
      <w:pPr>
        <w:spacing w:after="0" w:line="133" w:lineRule="exact"/>
        <w:rPr>
          <w:rFonts w:ascii="Arial" w:cs="Arial" w:eastAsia="Arial" w:hAnsi="Arial"/>
          <w:sz w:val="20"/>
          <w:szCs w:val="20"/>
          <w:color w:val="auto"/>
        </w:rPr>
      </w:pPr>
    </w:p>
    <w:p>
      <w:pPr>
        <w:ind w:left="280" w:right="340" w:hanging="280"/>
        <w:spacing w:after="0" w:line="276" w:lineRule="auto"/>
        <w:tabs>
          <w:tab w:leader="none" w:pos="2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retain the continued service of our key personnel and to identify, hire and then retain additional qualified personnel;</w:t>
      </w:r>
    </w:p>
    <w:p>
      <w:pPr>
        <w:sectPr>
          <w:pgSz w:w="12240" w:h="15840" w:orient="portrait"/>
          <w:cols w:equalWidth="0" w:num="1">
            <w:col w:w="10080"/>
          </w:cols>
          <w:pgMar w:left="1080" w:top="1176" w:right="1080" w:bottom="175"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080"/>
          </w:cols>
          <w:pgMar w:left="1080" w:top="1176" w:right="1080" w:bottom="175" w:gutter="0" w:footer="0" w:header="0"/>
          <w:type w:val="continuous"/>
        </w:sectPr>
      </w:pPr>
    </w:p>
    <w:bookmarkStart w:id="3" w:name="page4"/>
    <w:bookmarkEnd w:id="3"/>
    <w:p>
      <w:pPr>
        <w:ind w:left="280" w:hanging="280"/>
        <w:spacing w:after="0"/>
        <w:tabs>
          <w:tab w:leader="none" w:pos="2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any global health emergencies or other related disruptions on our business;</w:t>
      </w:r>
    </w:p>
    <w:p>
      <w:pPr>
        <w:spacing w:after="0" w:line="133" w:lineRule="exact"/>
        <w:rPr>
          <w:rFonts w:ascii="Arial" w:cs="Arial" w:eastAsia="Arial" w:hAnsi="Arial"/>
          <w:sz w:val="20"/>
          <w:szCs w:val="20"/>
          <w:color w:val="auto"/>
        </w:rPr>
      </w:pPr>
    </w:p>
    <w:p>
      <w:pPr>
        <w:ind w:left="280" w:hanging="280"/>
        <w:spacing w:after="0" w:line="276" w:lineRule="auto"/>
        <w:tabs>
          <w:tab w:leader="none" w:pos="2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new laws and regulations, amendments to existing laws and regulations, or changes in government agencies, in the United States and foreign countries;</w:t>
      </w:r>
    </w:p>
    <w:p>
      <w:pPr>
        <w:spacing w:after="0" w:line="64" w:lineRule="exact"/>
        <w:rPr>
          <w:rFonts w:ascii="Arial" w:cs="Arial" w:eastAsia="Arial" w:hAnsi="Arial"/>
          <w:sz w:val="20"/>
          <w:szCs w:val="20"/>
          <w:color w:val="auto"/>
        </w:rPr>
      </w:pPr>
    </w:p>
    <w:p>
      <w:pPr>
        <w:ind w:left="280" w:right="180" w:hanging="280"/>
        <w:spacing w:after="0" w:line="252" w:lineRule="auto"/>
        <w:tabs>
          <w:tab w:leader="none" w:pos="2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unfavorable macroeconomic conditions or market volatility resulting from global economic conditions or geopolitical developments, including supply chain issues, inflationary pressures, market volatility, international tariffs, trade protection measures, economic sanctions, economic slowdowns or recessions, acts of war, and civil and political unrest; and</w:t>
      </w:r>
    </w:p>
    <w:p>
      <w:pPr>
        <w:spacing w:after="0" w:line="87" w:lineRule="exact"/>
        <w:rPr>
          <w:rFonts w:ascii="Arial" w:cs="Arial" w:eastAsia="Arial" w:hAnsi="Arial"/>
          <w:sz w:val="20"/>
          <w:szCs w:val="20"/>
          <w:color w:val="auto"/>
        </w:rPr>
      </w:pPr>
    </w:p>
    <w:p>
      <w:pPr>
        <w:ind w:left="280" w:right="140" w:hanging="280"/>
        <w:spacing w:after="0" w:line="276" w:lineRule="auto"/>
        <w:tabs>
          <w:tab w:leader="none" w:pos="2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regarding the period during which we will qualify as an emerging growth company under the Jumpstart Our Business Startups Act of 2012, as amended (JOBS Act).</w:t>
      </w:r>
    </w:p>
    <w:p>
      <w:pPr>
        <w:spacing w:after="0" w:line="5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We qualify all of the forward-looking statements in this Annual Report on Form 10-K by these cautionary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12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is a summary of the principal factors that make an investment in our common stock speculative or risky. This summary does not address every aspect of our risk factors, all of the risks that we face, or other factors not presently known to us or that we currently believe are immaterial. Additional discussion of the risks summarized in these summary risk factors, and other risks that we face, can be found under the heading “Risk Factors” in this Annual Report on Form 10-K and should be carefully considered, together with other information in this Annual Report on Form 10-K and our other filings with the U.S. Securities and Exchange Commission (SEC), before making investment decisions regarding our common stock.</w:t>
      </w:r>
    </w:p>
    <w:p>
      <w:pPr>
        <w:spacing w:after="0" w:line="83" w:lineRule="exact"/>
        <w:rPr>
          <w:sz w:val="20"/>
          <w:szCs w:val="20"/>
          <w:color w:val="auto"/>
        </w:rPr>
      </w:pPr>
    </w:p>
    <w:p>
      <w:pPr>
        <w:jc w:val="both"/>
        <w:ind w:left="280" w:right="440" w:hanging="280"/>
        <w:spacing w:after="0" w:line="258" w:lineRule="auto"/>
        <w:tabs>
          <w:tab w:leader="none" w:pos="28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We have a limited operating history, limited experience in conducting clinical trials, have not completed the clinical development of any product candidates, have no products approved for commercial sale, and have not generated any revenue, which may make it difficult for you to evaluate our current business and likelihood of success and viability.</w:t>
      </w:r>
    </w:p>
    <w:p>
      <w:pPr>
        <w:spacing w:after="0" w:line="63" w:lineRule="exact"/>
        <w:rPr>
          <w:rFonts w:ascii="Arial" w:cs="Arial" w:eastAsia="Arial" w:hAnsi="Arial"/>
          <w:sz w:val="19"/>
          <w:szCs w:val="19"/>
          <w:color w:val="auto"/>
        </w:rPr>
      </w:pPr>
    </w:p>
    <w:p>
      <w:pPr>
        <w:ind w:left="280" w:right="500" w:hanging="280"/>
        <w:spacing w:after="0" w:line="239" w:lineRule="auto"/>
        <w:tabs>
          <w:tab w:leader="none" w:pos="2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81" w:lineRule="exact"/>
        <w:rPr>
          <w:rFonts w:ascii="Arial" w:cs="Arial" w:eastAsia="Arial" w:hAnsi="Arial"/>
          <w:sz w:val="20"/>
          <w:szCs w:val="20"/>
          <w:color w:val="auto"/>
        </w:rPr>
      </w:pPr>
    </w:p>
    <w:p>
      <w:pPr>
        <w:ind w:left="280" w:right="380" w:hanging="280"/>
        <w:spacing w:after="0" w:line="239" w:lineRule="auto"/>
        <w:tabs>
          <w:tab w:leader="none" w:pos="2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discovery and development activities are focused on the development of novel small molecule therapies to treat patients with diabetes and obesity, and the approach we are taking to discover and develop such product candidates is novel, may never lead to marketable products and may not ultimately represent a significant or viable market.</w:t>
      </w:r>
    </w:p>
    <w:p>
      <w:pPr>
        <w:spacing w:after="0" w:line="81" w:lineRule="exact"/>
        <w:rPr>
          <w:rFonts w:ascii="Arial" w:cs="Arial" w:eastAsia="Arial" w:hAnsi="Arial"/>
          <w:sz w:val="20"/>
          <w:szCs w:val="20"/>
          <w:color w:val="auto"/>
        </w:rPr>
      </w:pPr>
    </w:p>
    <w:p>
      <w:pPr>
        <w:ind w:left="280" w:right="40" w:hanging="280"/>
        <w:spacing w:after="0" w:line="232" w:lineRule="auto"/>
        <w:tabs>
          <w:tab w:leader="none" w:pos="2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early in our development efforts and are substantially dependent on our product candidates, icovamenib (formerly BMF-219) and BMF-650. If we are unable to advance icovamenib, BMF-650 or any of our future product candidates through clinical development, obtain regulatory approval and ultimately commercialize icovamenib, BMF-650 or any of our future product candidates, or experience significant delays in doing so, our business, financial condition and results of operations will be materially adversely affected.</w:t>
      </w:r>
    </w:p>
    <w:p>
      <w:pPr>
        <w:spacing w:after="0" w:line="79" w:lineRule="exact"/>
        <w:rPr>
          <w:rFonts w:ascii="Arial" w:cs="Arial" w:eastAsia="Arial" w:hAnsi="Arial"/>
          <w:sz w:val="20"/>
          <w:szCs w:val="20"/>
          <w:color w:val="auto"/>
        </w:rPr>
      </w:pPr>
    </w:p>
    <w:p>
      <w:pPr>
        <w:ind w:left="280" w:right="100" w:hanging="280"/>
        <w:spacing w:after="0" w:line="235" w:lineRule="auto"/>
        <w:tabs>
          <w:tab w:leader="none" w:pos="2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and clinical drug development is a lengthy and expensive process, with an uncertain outcome. Our preclinical and clinical programs may experience delays or may never be initiated or completed, which would adversely affect our ability to obtain regulatory approvals or commercialize our product candidates on a timely basis or at all, which could have an adverse effect on our business.</w:t>
      </w:r>
    </w:p>
    <w:p>
      <w:pPr>
        <w:sectPr>
          <w:pgSz w:w="12240" w:h="15840" w:orient="portrait"/>
          <w:cols w:equalWidth="0" w:num="1">
            <w:col w:w="10060"/>
          </w:cols>
          <w:pgMar w:left="1080" w:top="1074"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60"/>
          </w:cols>
          <w:pgMar w:left="1080" w:top="1074" w:right="1100" w:bottom="175" w:gutter="0" w:footer="0" w:header="0"/>
          <w:type w:val="continuous"/>
        </w:sectPr>
      </w:pPr>
    </w:p>
    <w:bookmarkStart w:id="4" w:name="page5"/>
    <w:bookmarkEnd w:id="4"/>
    <w:p>
      <w:pPr>
        <w:ind w:left="280" w:hanging="280"/>
        <w:spacing w:after="0" w:line="235" w:lineRule="auto"/>
        <w:tabs>
          <w:tab w:leader="none" w:pos="2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preclinical testing and early clinical trials may not be predictive of the success of later clinical trials, and the results of our clinical trials may not satisfy the requirements of the U.S. Food and Drug Administration (FDA) or other comparable foreign regulatory authorities. Successful preclinical studies and clinical trials cannot provide assurance of successful commercialization.</w:t>
      </w:r>
    </w:p>
    <w:p>
      <w:pPr>
        <w:spacing w:after="0" w:line="79" w:lineRule="exact"/>
        <w:rPr>
          <w:rFonts w:ascii="Arial" w:cs="Arial" w:eastAsia="Arial" w:hAnsi="Arial"/>
          <w:sz w:val="20"/>
          <w:szCs w:val="20"/>
          <w:color w:val="auto"/>
        </w:rPr>
      </w:pPr>
    </w:p>
    <w:p>
      <w:pPr>
        <w:ind w:left="280" w:right="520" w:hanging="280"/>
        <w:spacing w:after="0" w:line="235" w:lineRule="auto"/>
        <w:tabs>
          <w:tab w:leader="none" w:pos="2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79" w:lineRule="exact"/>
        <w:rPr>
          <w:rFonts w:ascii="Arial" w:cs="Arial" w:eastAsia="Arial" w:hAnsi="Arial"/>
          <w:sz w:val="20"/>
          <w:szCs w:val="20"/>
          <w:color w:val="auto"/>
        </w:rPr>
      </w:pPr>
    </w:p>
    <w:p>
      <w:pPr>
        <w:ind w:left="280" w:right="80" w:hanging="280"/>
        <w:spacing w:after="0" w:line="239" w:lineRule="auto"/>
        <w:tabs>
          <w:tab w:leader="none" w:pos="2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Adverse global economic conditions, including supply chain issues, tariffs and inflationary pressures, could materially adversely impact our business, results of operations, and financial condition, including our preclinical studies and clinical trials.</w:t>
      </w:r>
    </w:p>
    <w:p>
      <w:pPr>
        <w:spacing w:after="0" w:line="81" w:lineRule="exact"/>
        <w:rPr>
          <w:rFonts w:ascii="Arial" w:cs="Arial" w:eastAsia="Arial" w:hAnsi="Arial"/>
          <w:sz w:val="20"/>
          <w:szCs w:val="20"/>
          <w:color w:val="auto"/>
        </w:rPr>
      </w:pPr>
    </w:p>
    <w:p>
      <w:pPr>
        <w:ind w:left="280" w:right="400" w:hanging="280"/>
        <w:spacing w:after="0" w:line="258" w:lineRule="auto"/>
        <w:tabs>
          <w:tab w:leader="none" w:pos="2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price of our stock has been and is likely to continue to be volatile, and you may not be able to resell shares of our common stock at or above the price you paid.</w:t>
      </w:r>
    </w:p>
    <w:p>
      <w:pPr>
        <w:spacing w:after="0" w:line="62" w:lineRule="exact"/>
        <w:rPr>
          <w:rFonts w:ascii="Arial" w:cs="Arial" w:eastAsia="Arial" w:hAnsi="Arial"/>
          <w:sz w:val="20"/>
          <w:szCs w:val="20"/>
          <w:color w:val="auto"/>
        </w:rPr>
      </w:pPr>
    </w:p>
    <w:p>
      <w:pPr>
        <w:ind w:left="280" w:right="160" w:hanging="280"/>
        <w:spacing w:after="0" w:line="239" w:lineRule="auto"/>
        <w:tabs>
          <w:tab w:leader="none" w:pos="2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stockholders have experienced, and may continue to experience, substantial dilution from future sales and issuances of our capital stock, including upon the exercise of outstanding warrants issued in our underwritten public offerings completed in June 2025 and October 2025.</w:t>
      </w:r>
    </w:p>
    <w:p>
      <w:pPr>
        <w:sectPr>
          <w:pgSz w:w="12240" w:h="15840" w:orient="portrait"/>
          <w:cols w:equalWidth="0" w:num="1">
            <w:col w:w="10080"/>
          </w:cols>
          <w:pgMar w:left="1080" w:top="1058"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1058" w:right="1080" w:bottom="175"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9"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20"/>
          <w:szCs w:val="20"/>
          <w:color w:val="auto"/>
        </w:rPr>
        <w:t>We are a clinical</w:t>
      </w:r>
      <w:r>
        <w:rPr>
          <w:rFonts w:ascii="Arial" w:cs="Arial" w:eastAsia="Arial" w:hAnsi="Arial"/>
          <w:sz w:val="20"/>
          <w:szCs w:val="20"/>
          <w:color w:val="auto"/>
        </w:rPr>
        <w:t>̻</w:t>
      </w:r>
      <w:r>
        <w:rPr>
          <w:rFonts w:ascii="Times New Roman" w:cs="Times New Roman" w:eastAsia="Times New Roman" w:hAnsi="Times New Roman"/>
          <w:sz w:val="20"/>
          <w:szCs w:val="20"/>
          <w:color w:val="auto"/>
        </w:rPr>
        <w:t>stage diabetes and obesity medicines company focused on the discovery and development of oral, small molecule drugs to treat and improve the lives of patients with diabetes, obesity, and other metabolic diseases.</w:t>
      </w:r>
    </w:p>
    <w:p>
      <w:pPr>
        <w:spacing w:after="0" w:line="3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company was founded in 2017 with the goal of creating targeted treatments built through expertise in chemistry and a deep understanding of metabolic biology. Following the strategic realignment announced in 2025, we now operate as an organization centered on two of our core drug candidate development programs: (i) icovamenib, our lead clinical program’s drug candidate, currently being developed as an orally bioavailable, and selective, covalent inhibitor of menin in two clinical and multiple preclinical studies, investigating icovamenib’s potential in type 1 and type 2 diabetes, as well as its impact in obesity, and (ii) BMF-650, our investigational, next-generation oral glucagon-like peptide-1 GLP-1 receptor agonist (GLP-1 RA) in development for the treatment of obesity.</w:t>
      </w:r>
    </w:p>
    <w:p>
      <w:pPr>
        <w:spacing w:after="0" w:line="8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auto"/>
        </w:rPr>
        <w:t>Today, we have approximately 40 employees and a streamlined operating structure that we believe emphasizes capital efficiency, scientific discipline and focused execution. Our research and development functions are supported by integrated clinical development, clinical operations, clinical pharmacology, regulatory affairs, pharmacovigilance and quality functions.</w:t>
      </w:r>
    </w:p>
    <w:p>
      <w:pPr>
        <w:spacing w:after="0" w:line="5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Members of our leadership and scientific teams have held roles at leading biotechnology and pharmaceutical companies such as Gilead Sciences, Inc. (Nasdaq: GILD), Genentech, Inc., Pharmacyclics, AbbVie Inc. (NYSE: ABBV), Johnson and Johnson, Inc. (NYSE: JNJ), and others. The team includes individuals who contributed to the invention or advancement of several approved medicines including imbruvica, remdesivir, and Harvoni. Our board of directors and scientific advisory board include experts in diabetes, obesity, metabolic disease, and drug development.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mission is to deliver transformative treatments that restore metabolic health. We aim to cure.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400800" cy="3019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extLst>
                    </a:blip>
                    <a:srcRect/>
                    <a:stretch>
                      <a:fillRect/>
                    </a:stretch>
                  </pic:blipFill>
                  <pic:spPr bwMode="auto">
                    <a:xfrm>
                      <a:off x="0" y="0"/>
                      <a:ext cx="6400800" cy="301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Our current pipeline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INITIAL FOCUS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Menin and Beta Cell Biology in Diabetes and Other Metabolic Diseases</w:t>
      </w:r>
    </w:p>
    <w:p>
      <w:pPr>
        <w:spacing w:after="0" w:line="23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Diabetes is a chronic metabolic disease that affects the body’s ability to regulate blood sugar levels, leading to elevated glucose in the bloodstream. Over time, uncontrolled blood sugar can result in serious complications, including cardiovascular disease, kidney failure, nerve damage, and vision impairment. People with diabetes often have a reduced life expectancy</w:t>
      </w:r>
    </w:p>
    <w:p>
      <w:pPr>
        <w:sectPr>
          <w:pgSz w:w="12240" w:h="15840" w:orient="portrait"/>
          <w:cols w:equalWidth="0" w:num="1">
            <w:col w:w="10040"/>
          </w:cols>
          <w:pgMar w:left="1080" w:top="1056" w:right="1120" w:bottom="175" w:gutter="0" w:footer="0" w:header="0"/>
        </w:sect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40"/>
          </w:cols>
          <w:pgMar w:left="1080" w:top="1056" w:right="1120" w:bottom="175" w:gutter="0" w:footer="0" w:header="0"/>
          <w:type w:val="continuous"/>
        </w:sectPr>
      </w:pPr>
    </w:p>
    <w:bookmarkStart w:id="6" w:name="page7"/>
    <w:bookmarkEnd w:id="6"/>
    <w:p>
      <w:pPr>
        <w:ind w:right="100"/>
        <w:spacing w:after="0" w:line="246" w:lineRule="auto"/>
        <w:rPr>
          <w:sz w:val="20"/>
          <w:szCs w:val="20"/>
          <w:color w:val="auto"/>
        </w:rPr>
      </w:pPr>
      <w:r>
        <w:rPr>
          <w:rFonts w:ascii="Times New Roman" w:cs="Times New Roman" w:eastAsia="Times New Roman" w:hAnsi="Times New Roman"/>
          <w:sz w:val="20"/>
          <w:szCs w:val="20"/>
          <w:color w:val="auto"/>
        </w:rPr>
        <w:t>compared to those without this disease. Diabetes is also a significant economic burden on the U.S. health care system, ranking as the 7th leading cause of death in the U.S. and accounting for approximately one out of every four dollars spent on healthcare in the country. According to a study published in The Lancet, worldwide over 800 million adults are estimated to live with diabetes. The CDC estimates about two in five of the adult population in the U.S. are now expected to develop diabetes during their lifetime. More than 38.4 million people of all ages (about 11% of the U.S. population) have diabetes today, while an additional 97.6 million adults (more than one in three) have pre-diabetes, blood sugars that are higher than normal but not high enough to be classified as diabetes.</w:t>
      </w:r>
    </w:p>
    <w:p>
      <w:pPr>
        <w:spacing w:after="0" w:line="8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Despite the availability of numerous treatment options, there remains a critical need for improved therapies that can modify disease progression rather than simply managing symptoms. The American Diabetes Association (ADA) categorizes diabetes based on etiology and onset. Type 1 diabetes is caused by an autoimmune attack on pancreatic beta cells leading to absolute insulin deficiency, including latent autoimmune diabetes of adulthood. Type 2 diabetes is characterized by progressive beta cell dysfunction and insulin resistance. The primary treatment objective, based on the ADA guidelines, is to achieve glycemic</w:t>
      </w:r>
    </w:p>
    <w:p>
      <w:pPr>
        <w:jc w:val="both"/>
        <w:ind w:right="120"/>
        <w:spacing w:after="0" w:line="248" w:lineRule="auto"/>
        <w:rPr>
          <w:sz w:val="20"/>
          <w:szCs w:val="20"/>
          <w:color w:val="auto"/>
        </w:rPr>
      </w:pPr>
      <w:r>
        <w:rPr>
          <w:rFonts w:ascii="Times New Roman" w:cs="Times New Roman" w:eastAsia="Times New Roman" w:hAnsi="Times New Roman"/>
          <w:sz w:val="20"/>
          <w:szCs w:val="20"/>
          <w:color w:val="auto"/>
        </w:rPr>
        <w:t xml:space="preserve">control, typically measured by reductions in HbA1c </w:t>
      </w:r>
      <w:r>
        <w:rPr>
          <w:rFonts w:ascii="Segoe UI" w:cs="Segoe UI" w:eastAsia="Segoe UI" w:hAnsi="Segoe UI"/>
          <w:sz w:val="20"/>
          <w:szCs w:val="20"/>
          <w:color w:val="auto"/>
        </w:rPr>
        <w:t>(</w:t>
      </w:r>
      <w:r>
        <w:rPr>
          <w:rFonts w:ascii="Times New Roman" w:cs="Times New Roman" w:eastAsia="Times New Roman" w:hAnsi="Times New Roman"/>
          <w:sz w:val="20"/>
          <w:szCs w:val="20"/>
          <w:color w:val="auto"/>
        </w:rPr>
        <w:t>glycated hemoglobin), a marker indicating average blood glucose over the past two to three months, to 6.5% or lower. Effective glycemic control is critical in preventing or delaying complications such as kidney disease, heart disease and nerve damage.</w:t>
      </w:r>
    </w:p>
    <w:p>
      <w:pPr>
        <w:spacing w:after="0" w:line="76"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9"/>
          <w:szCs w:val="19"/>
          <w:color w:val="auto"/>
        </w:rPr>
        <w:t>The loss of functional beta cell mass is a fundamental driver of disease progression in both type 1 diabetes and type 2 diabetes. Beta cells, located in the pancreas, are responsible for producing and secreting insulin, a hormone essential for glucose metabolism and regulation. In diabetes, beta cell dysfunction and depletion lead to impaired insulin secretion, resulting in hyperglycemia. Researchers suggest that menin, a regulatory protein, plays a key role in beta cell proliferation. Inhibiting menin may remove this restriction, allowing for the regeneration and restoration of functional beta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391275" cy="3248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6391275" cy="324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i w:val="1"/>
          <w:iCs w:val="1"/>
          <w:color w:val="auto"/>
        </w:rPr>
        <w:t>Diabetes progression of type 1 and type 2 driven by beta cell loss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Icovamenib – Our Oral Menin Inhibitor</w:t>
      </w:r>
    </w:p>
    <w:p>
      <w:pPr>
        <w:spacing w:after="0" w:line="23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Icovamenib is an orally bioavailable, and selective, covalent inhibitor of menin being developed in two clinical and multiple preclinical studies, investigating icovamenib’s potential in type 1 and type 2 diabetes, as well as its impact in obesity. Menin is a transcriptional regulator implicated in beta-cell dysfunction, and has been observed to induce transient reductions in menin protein levels in pancreatic islets, thereby modulating pathways associated with insulin secretion and glycemic control. As a potential short course therapy, we believe icovamenib could become an important addition to the diabetes treatment landscape particularly addressing those patients who failed their standard of care therapies.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Dual Potential Mechanism of Action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1060" w:right="1080" w:bottom="175" w:gutter="0" w:footer="0" w:header="0"/>
          <w:type w:val="continuous"/>
        </w:sectPr>
      </w:pPr>
    </w:p>
    <w:bookmarkStart w:id="7" w:name="page8"/>
    <w:bookmarkEnd w:id="7"/>
    <w:p>
      <w:pPr>
        <w:ind w:right="40"/>
        <w:spacing w:after="0" w:line="252" w:lineRule="auto"/>
        <w:rPr>
          <w:sz w:val="20"/>
          <w:szCs w:val="20"/>
          <w:color w:val="auto"/>
        </w:rPr>
      </w:pPr>
      <w:r>
        <w:rPr>
          <w:rFonts w:ascii="Times New Roman" w:cs="Times New Roman" w:eastAsia="Times New Roman" w:hAnsi="Times New Roman"/>
          <w:sz w:val="20"/>
          <w:szCs w:val="20"/>
          <w:color w:val="auto"/>
        </w:rPr>
        <w:t>Icovamenib has demonstrated a generally well-tolerated safety profile in preclinical and early-stage clinical studies. Mechanistic studies support two potential modes of action: (i) increasing beta cell mass and function, thereby enhancing insulin synthesis and secretion, and (ii) upregulating GLP-1 receptor expression, which may contribute to improved glycemic control and metabolic benefits.</w:t>
      </w:r>
    </w:p>
    <w:p>
      <w:pPr>
        <w:spacing w:after="0" w:line="74" w:lineRule="exact"/>
        <w:rPr>
          <w:sz w:val="20"/>
          <w:szCs w:val="20"/>
          <w:color w:val="auto"/>
        </w:rPr>
      </w:pPr>
    </w:p>
    <w:p>
      <w:pPr>
        <w:ind w:left="980" w:hanging="680"/>
        <w:spacing w:after="0"/>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Restoration of Beta Cell Quantity and Function</w:t>
      </w:r>
    </w:p>
    <w:p>
      <w:pPr>
        <w:spacing w:after="0" w:line="120" w:lineRule="exact"/>
        <w:rPr>
          <w:sz w:val="20"/>
          <w:szCs w:val="20"/>
          <w:color w:val="auto"/>
        </w:rPr>
      </w:pPr>
    </w:p>
    <w:p>
      <w:pPr>
        <w:ind w:left="1000" w:right="300"/>
        <w:spacing w:after="0" w:line="247" w:lineRule="auto"/>
        <w:rPr>
          <w:sz w:val="20"/>
          <w:szCs w:val="20"/>
          <w:color w:val="auto"/>
        </w:rPr>
      </w:pPr>
      <w:r>
        <w:rPr>
          <w:rFonts w:ascii="Times New Roman" w:cs="Times New Roman" w:eastAsia="Times New Roman" w:hAnsi="Times New Roman"/>
          <w:sz w:val="20"/>
          <w:szCs w:val="20"/>
          <w:color w:val="auto"/>
        </w:rPr>
        <w:t>Icovamenib has been observed in preclinical and early-stage clinical studies to increase beta cell quantity and function, addressing a fundamental deficiency in patients with diabetes. Through its proposed mechanism of action, icovamenib has been observed in non-clinical and early-stage clinical studies to promote glucose-regulated beta cell proliferation and enhance insulin synthesis and secretion. Through this targeted restoration of endogenous beta cell quantity and function, icovamenib has the potential to reestablish healthy insulin production and deliver a durable glycemic benefit beyond the treatment period.</w:t>
      </w:r>
    </w:p>
    <w:p>
      <w:pPr>
        <w:spacing w:after="0" w:line="80" w:lineRule="exact"/>
        <w:rPr>
          <w:sz w:val="20"/>
          <w:szCs w:val="20"/>
          <w:color w:val="auto"/>
        </w:rPr>
      </w:pPr>
    </w:p>
    <w:p>
      <w:pPr>
        <w:ind w:left="980" w:hanging="735"/>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GLP-1 Receptor Expression</w:t>
      </w:r>
    </w:p>
    <w:p>
      <w:pPr>
        <w:spacing w:after="0" w:line="120" w:lineRule="exact"/>
        <w:rPr>
          <w:sz w:val="20"/>
          <w:szCs w:val="20"/>
          <w:color w:val="auto"/>
        </w:rPr>
      </w:pPr>
    </w:p>
    <w:p>
      <w:pPr>
        <w:ind w:left="1000" w:right="300"/>
        <w:spacing w:after="0" w:line="243" w:lineRule="auto"/>
        <w:rPr>
          <w:sz w:val="20"/>
          <w:szCs w:val="20"/>
          <w:color w:val="auto"/>
        </w:rPr>
      </w:pPr>
      <w:r>
        <w:rPr>
          <w:rFonts w:ascii="Times New Roman" w:cs="Times New Roman" w:eastAsia="Times New Roman" w:hAnsi="Times New Roman"/>
          <w:sz w:val="20"/>
          <w:szCs w:val="20"/>
          <w:color w:val="auto"/>
        </w:rPr>
        <w:t>In addition to its observed effects on beta cell mass and function, icovamenib has been shown in preclinical studies to increase expression of the GLP-1 receptor, which may enhance incretin signaling and responsiveness to incretin-based therapies, thereby improving glucose metabolism. The findings from COVALENT-111 are consistent with the proposed mechanism, where patients already receiving a GLP-1 receptor-based therapy and remaining above glycemic targets experienced a reduction in HbA1c following a limited course of icovamenib. Icovamenib was also observed to increase the expression of GLP-1 in enterocyte cells cultured in vitro, suggesting the potential for additional incretin-based mechanisms in regulating blood glucose levels, enhancing appetite suppression and reducing body weight. In preclinical combination studies, icovamenib and a low dose of semaglutide together produced superior glycemic control, greater body weight reduction driven by selective fat loss, and preservation of lean mass compared to semaglutide alone. These findings support the potential for icovamenib to improve GLP-1 receptor activity in both preclinical and clinical settings and may provide benefit to patients who are not achieving treatment goals on GLP-1 therapy alone.</w:t>
      </w:r>
    </w:p>
    <w:p>
      <w:pPr>
        <w:spacing w:after="0" w:line="8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Due to the long half-life of beta cells, icovamenib is not intended as a chronic therapy for insulin deficient diabetes, but rather as a 12-week treatment produced lasting effects beyond the active dosing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Icovamenib - Proposed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400800" cy="3371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6400800" cy="337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20"/>
          <w:szCs w:val="20"/>
          <w:color w:val="auto"/>
        </w:rPr>
        <w:t>We are currently investigating icovamenib in type 1 and type 2 diabetes through several clinical trials, as described more fully below. Through these trials, we are advancing icovamenib as a potential therapy for diabetes based on its observed ability to improve beta cell health and function. Loss of functional beta cell mass is a core characteristic in both type 1</w:t>
      </w:r>
    </w:p>
    <w:p>
      <w:pPr>
        <w:sectPr>
          <w:pgSz w:w="12240" w:h="15840" w:orient="portrait"/>
          <w:cols w:equalWidth="0" w:num="1">
            <w:col w:w="10080"/>
          </w:cols>
          <w:pgMar w:left="1080" w:top="1060" w:right="1080" w:bottom="175"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1060" w:right="1080" w:bottom="175" w:gutter="0" w:footer="0" w:header="0"/>
          <w:type w:val="continuous"/>
        </w:sectPr>
      </w:pPr>
    </w:p>
    <w:bookmarkStart w:id="8" w:name="page9"/>
    <w:bookmarkEnd w:id="8"/>
    <w:p>
      <w:pPr>
        <w:ind w:right="40"/>
        <w:spacing w:after="0" w:line="247" w:lineRule="auto"/>
        <w:rPr>
          <w:sz w:val="20"/>
          <w:szCs w:val="20"/>
          <w:color w:val="auto"/>
        </w:rPr>
      </w:pPr>
      <w:r>
        <w:rPr>
          <w:rFonts w:ascii="Times New Roman" w:cs="Times New Roman" w:eastAsia="Times New Roman" w:hAnsi="Times New Roman"/>
          <w:sz w:val="20"/>
          <w:szCs w:val="20"/>
          <w:color w:val="auto"/>
        </w:rPr>
        <w:t>diabetes and type 2 diabetes. In type 1 diabetes, autoimmune destruction leads to nearly complete loss of insulin producing beta cells. In type 2 diabetes, progressive metabolic dysfunction and beta cell exhaustion results in declining insulin secretion over time. Beta cells release insulin, a hormone which is required for glucose regulation, and the decline in beta cell mass leads directly to chronic hyperglycemia and its complications. Menin is understood to regulate beta cell turnover and growth. Controlled inhibition of menin has the potential to restore healthy beta cell populations. Icovamenib is being developed to potentially address this underlying driver of diabetes rather than only managing symptoms.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Icovamenib - Phase II COVALENT-111 Clinical Results</w:t>
      </w:r>
    </w:p>
    <w:p>
      <w:pPr>
        <w:spacing w:after="0" w:line="12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We have completed the Phase II COVALENT-111 trial evaluating icovamenib in adults with type 2 diabetes. The full 52-week data showed durable and clinically meaningful improvements in glycemic control following a limited twelve-week dosing period. In the severe insulin deficient diabetes population receiving one or more antihyperglycemic agents at baseline, icovamenib achieved a sustained placebo adjusted HbA1c reduction of 1.5% at week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6400800" cy="2838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640080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Severe insulin-deficient diabetes patients - 12 weeks of icovamenib dosing</w:t>
      </w:r>
    </w:p>
    <w:p>
      <w:pPr>
        <w:spacing w:after="0" w:line="23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also plan to evaluate icovamenib in the potential treatment of patients with type 2 diabetes who are not achieving glycemic target while receiving GLP-1 RA-based therapy. Data from the COVALENT-111 trial suggest that icovamenib may provide additional glycemic benefit in such patients. In the trial, patients receiving a GLP-1 receptor-based therapy at baseline who remained above glycemic targets achieved additional, clinically meaningful HbA1c improvement following a limited twelve-week course of icovamenib. At week 52, a post-hoc analysis of data from this population demonstrated a placebo adjusted mean HbA1c reduction of 1.8%. These findings are consistent with the mechanistic effects observed in non-clinical combination studies.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1060" w:right="1080" w:bottom="175"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685800</wp:posOffset>
            </wp:positionV>
            <wp:extent cx="6400800" cy="285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6400800" cy="285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Post-hoc analysis of patients on a GLP-1 RA-based therapy not achieving target HbA1c &lt;7% at enrollment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Icovamenib - COVALENT-111 Safety Results</w:t>
      </w:r>
    </w:p>
    <w:p>
      <w:pPr>
        <w:spacing w:after="0" w:line="124"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auto"/>
        </w:rPr>
        <w:t>Icovamenib was generally well-tolerated across all dosing arms through the 52-week observation period. No treatment-related serious adverse events were reported, and no participants discontinued treatment due to adverse events.</w:t>
      </w:r>
    </w:p>
    <w:p>
      <w:pPr>
        <w:spacing w:after="0" w:line="49"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In addition, we successfully completed chronic toxicology studies in two species for icovamenib, further strengthening the program’s safety foundation. These studies demonstrated a favorable safety profile consistent with previously reported preclinical and clinical data. To date, more than 400 subjects have been dosed with icovamenib, with results indicating that the compound has been generally well-tolerated.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Icovamenib - COVALENT-121 Food Effect Study</w:t>
      </w:r>
    </w:p>
    <w:p>
      <w:pPr>
        <w:spacing w:after="0" w:line="124"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During the fourth quarter of 2025, we completed the COVALENT-121 food-effect study in 60 participants. The study demonstrated that icovamenib achieved optimal pharmacokinetic exposure and maintained a safety profile consistent with prior clinical experience, when administered within 30 minutes after a meal. The results from this study informed dosing instructions intended to support consistent drug exposure in subsequent Phase II clinical studies, including our recently initiated studies, COVALENT-211 and COVALENT-212.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Icovamenib – COVALENT-211 and COVALENT-212 Clinical Studies</w:t>
      </w:r>
    </w:p>
    <w:p>
      <w:pPr>
        <w:spacing w:after="0" w:line="1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During the fourth quarter of 2025, the Company initiated two Phase II clinical studies to evaluate icovamenib in patients with type 2 diabetes. We expect to conduct a readout of the 26-week primary endpoint data in the fourth quarter of 2026.</w:t>
      </w:r>
    </w:p>
    <w:p>
      <w:pPr>
        <w:spacing w:after="0" w:line="4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COVALENT-211 is a Phase II, randomized, double-blind, placebo-controlled clinical trial assessing the efficacy and safety of icovamenib in participants with type 2 diabetes who are not achieving glycemic targets despite antihyperglycemic medications. The trial is expected to enroll approximately 60 patients. Participants are dosed with icovamenib 100 mg once daily for 12 weeks. The primary endpoint is mean change in HbA1c from baseline at week 26. Secondary endpoints include mean change in HbA1c from baseline at weeks 12 and 52, mean change in fasting plasma glucose from baseline at week 26 and safety.</w:t>
      </w:r>
    </w:p>
    <w:p>
      <w:pPr>
        <w:spacing w:after="0" w:line="8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COVALENT-212 is a Phase II, randomized, double-blind, placebo-controlled clinical trial assessing the efficacy and safety of icovamenib in participants with type 2 diabetes not achieving glycemic targets despite being on a GLP-1 RA-based therapy. The trial design, dosing regimen, and endpoints are similar in structure to COVALENT-211 and are intended to evaluate the efficacy and safety of icovamenib only in this patient population.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Icovamenib - COVALENT-112 Type 1 Diabetes</w:t>
      </w:r>
    </w:p>
    <w:p>
      <w:pPr>
        <w:spacing w:after="0" w:line="12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COVALENT-112 is a multi-site, randomized, double-blind, placebo-controlled Phase II trial evaluating icovamenib in healthy adults and adults with type 1 diabetes. The trial’s primary endpoint assesses the mean change from baseline in stimulated C-peptide AUC at Week 26. The former clinical hold imposed in June 2024 and lifted in September 2024, had a profound impact on the COVALENT-112 trial in type 1 diabetes, where over 90% of the targeted patient population was not</w:t>
      </w:r>
    </w:p>
    <w:p>
      <w:pPr>
        <w:sectPr>
          <w:pgSz w:w="12240" w:h="15840" w:orient="portrait"/>
          <w:cols w:equalWidth="0" w:num="1">
            <w:col w:w="10040"/>
          </w:cols>
          <w:pgMar w:left="1080" w:top="1440" w:right="1120" w:bottom="175" w:gutter="0" w:footer="0" w:header="0"/>
        </w:sect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40"/>
          </w:cols>
          <w:pgMar w:left="1080" w:top="1440" w:right="1120" w:bottom="175" w:gutter="0" w:footer="0" w:header="0"/>
          <w:type w:val="continuous"/>
        </w:sectPr>
      </w:pPr>
    </w:p>
    <w:bookmarkStart w:id="10" w:name="page11"/>
    <w:bookmarkEnd w:id="10"/>
    <w:p>
      <w:pPr>
        <w:jc w:val="both"/>
        <w:ind w:right="360"/>
        <w:spacing w:after="0" w:line="258" w:lineRule="auto"/>
        <w:rPr>
          <w:sz w:val="20"/>
          <w:szCs w:val="20"/>
          <w:color w:val="auto"/>
        </w:rPr>
      </w:pPr>
      <w:r>
        <w:rPr>
          <w:rFonts w:ascii="Times New Roman" w:cs="Times New Roman" w:eastAsia="Times New Roman" w:hAnsi="Times New Roman"/>
          <w:sz w:val="20"/>
          <w:szCs w:val="20"/>
          <w:color w:val="auto"/>
        </w:rPr>
        <w:t>able to complete dosing due to the clinical hold. We plan to conduct an analysis of patients who completed treatment, the results of which will inform future development decisions for icovamenib in type 1 diabetes, subject to the availability of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BMF-650 – Our Oral, Next-Generation GLP-1 RA</w:t>
      </w:r>
    </w:p>
    <w:p>
      <w:pPr>
        <w:spacing w:after="0" w:line="1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other product candidate, BMF-650, is an investigational next-generation, oral, small molecule GLP-1 RA, for the treatment of obesity. GLP-1 is a naturally occurring incretin hormone that plays a vital role in glucose homeostasis and appetite regulation. GLP-1 RAs are a class of medications that bind to and activate GLP-1 receptors, mimicking the effects of native GLP-1. These agents have demonstrated robust clinical efficacy in improving glycemic control, promoting weight loss, and enhancing insulin sensitivity in individuals with type 2 diabetes and obesity.</w:t>
      </w:r>
    </w:p>
    <w:p>
      <w:pPr>
        <w:spacing w:after="0" w:line="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BMF-650 demonstrated positive early preclinical activity, including improved glucose-stimulated insulin secretion, reduction in blood glucose concentration, and appetite suppression in cynomolgus monkeys. Comparative preclinical studies evaluating BMF-650 against a leading oral GLP-1 RA showed that BMF-650 exhibited higher oral bioavailability and a less variable pharmacokinetic profile, which may translate to improved tolerability and support successful dose escalation in clinical development.</w:t>
      </w:r>
    </w:p>
    <w:p>
      <w:pPr>
        <w:spacing w:after="0" w:line="7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In cynomolgus monkey studies, BMF-650 showed robust effects on metabolic function, including significant improvements in glucose control and glucose-stimulated insulin secretion consistent with findings from human donor islet experiments. Appetite suppression studies demonstrated that once daily oral administration of BMF-650 resulted in a clear, dose-dependent reduction in daily food intake and continuous, progressive weight loss over a 28-day treatment period. BMF-650 was well tolerated and maintained a favorable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6400800" cy="3124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6400800" cy="312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These findings support the potential of BMF-650 as an oral, next-generation GLP-1 RA designed to provide meaningful metabolic benefit while supporting long-term adherence for patients with obesity. Our development strategy with BMF-650 is centered on achieving enhanced oral bioavailability, reduced pharmacokinetic variability, and increased drug exposure overtime to support the development of a potential best-in-class, oral, small molecule GLP-1 RA.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BMF-650 - Phase I Trial GLP-131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BMF-650 is currently being evaluated in an ongoing Phase I GLP-131 clinical trial.</w:t>
      </w:r>
    </w:p>
    <w:p>
      <w:pPr>
        <w:spacing w:after="0" w:line="12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GLP-131 is a Phase I, randomized, double-blind, placebo-controlled, single and multiple ascending dose clinical trial designed to evaluate the safety, tolerability, pharmacokinetics, and pharmacodynamics of BMF-650 in otherwise healthy overweight or obese participants. We expect to announce the initial 28-day weight loss clinical data in the second quarter of 2026. Additional information regarding the trial is available on ClinicalTrials.gov under identifier NCT07223216.</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60"/>
          </w:cols>
          <w:pgMar w:left="1080" w:top="1060" w:right="1100" w:bottom="17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Focused Execution to Advance to Late-Stage Development</w:t>
      </w:r>
    </w:p>
    <w:p>
      <w:pPr>
        <w:spacing w:after="0" w:line="12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We are committed to continue the development of our innovative therapies toward late-stage readiness. We believe we have the operational team in place to clinically advance each of our programs forward into late stage trials.</w:t>
      </w:r>
    </w:p>
    <w:p>
      <w:pPr>
        <w:spacing w:after="0" w:line="4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With our strategic focus to become a diabetes and medicines company, as announced in January 2025, we are concluding our studies exploring icovamenib’s potential in oncology and plan to explore partnerships to further advance our oncology assets (i.e. BMF-500), while concentrating internal resources on metabolic disorders.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Strategic Priorities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Execute Phase II Development of Icovamenib in Type 2 Diabetes:</w:t>
      </w:r>
    </w:p>
    <w:p>
      <w:pPr>
        <w:spacing w:after="0" w:line="124"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20"/>
          <w:szCs w:val="20"/>
          <w:color w:val="auto"/>
        </w:rPr>
        <w:t>Icovamenib, a potentially first-in-class oral, selective, covalent inhibitor of menin, has demonstrated the potential to restore beta cell function and mass, to improve glycemic control. We are prioritizing the development of icovamenib initially in two key patient populations with significant unmet medical need:</w:t>
      </w:r>
    </w:p>
    <w:p>
      <w:pPr>
        <w:spacing w:after="0" w:line="78" w:lineRule="exact"/>
        <w:rPr>
          <w:sz w:val="20"/>
          <w:szCs w:val="20"/>
          <w:color w:val="auto"/>
        </w:rPr>
      </w:pPr>
    </w:p>
    <w:p>
      <w:pPr>
        <w:ind w:left="1440" w:right="60" w:hanging="360"/>
        <w:spacing w:after="0" w:line="246" w:lineRule="auto"/>
        <w:tabs>
          <w:tab w:leader="none" w:pos="1440" w:val="left"/>
        </w:tabs>
        <w:numPr>
          <w:ilvl w:val="2"/>
          <w:numId w:val="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Severe Insulin Deficient Diabetes Patients: </w:t>
      </w:r>
      <w:r>
        <w:rPr>
          <w:rFonts w:ascii="Times New Roman" w:cs="Times New Roman" w:eastAsia="Times New Roman" w:hAnsi="Times New Roman"/>
          <w:sz w:val="20"/>
          <w:szCs w:val="20"/>
          <w:color w:val="auto"/>
        </w:rPr>
        <w:t>This population is estimated to include approximately 14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of type 2 diabetes patients across the United States and European Union (EU), and more than 50 million patients in Asian countries. This population of patients exhibit the highest unmet medical need, experiencing high treatment failure rates, rapid progression to insulin-dependency, and poor cardiovascular outcomes. We are initiating a Phase II randomized, double, placebo-controlled clinical trial (COVALENT-211) assessing the efficacy and safety of icovamenib in participants with type 2 diabetes who are not achieving glycemic targets despite antihyperglycemic medications.</w:t>
      </w:r>
    </w:p>
    <w:p>
      <w:pPr>
        <w:spacing w:after="0" w:line="203" w:lineRule="exact"/>
        <w:rPr>
          <w:rFonts w:ascii="Arial" w:cs="Arial" w:eastAsia="Arial" w:hAnsi="Arial"/>
          <w:sz w:val="20"/>
          <w:szCs w:val="20"/>
          <w:color w:val="auto"/>
        </w:rPr>
      </w:pPr>
    </w:p>
    <w:p>
      <w:pPr>
        <w:ind w:left="1440" w:right="20" w:hanging="360"/>
        <w:spacing w:after="0" w:line="266" w:lineRule="auto"/>
        <w:tabs>
          <w:tab w:leader="none" w:pos="1440" w:val="left"/>
        </w:tabs>
        <w:numPr>
          <w:ilvl w:val="2"/>
          <w:numId w:val="9"/>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Patients not Achieving Glycemic Targets on GLP-1 RA-Based Therapies: </w:t>
      </w:r>
      <w:r>
        <w:rPr>
          <w:rFonts w:ascii="Times New Roman" w:cs="Times New Roman" w:eastAsia="Times New Roman" w:hAnsi="Times New Roman"/>
          <w:sz w:val="19"/>
          <w:szCs w:val="19"/>
          <w:color w:val="auto"/>
        </w:rPr>
        <w:t>Clinical and preclinical data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support the potential of icovamenib to enhance the activity of GLP-1 RA-based therapies, leading to enhanced insulin production and superior glucose control. We are initiating a Phase II, randomized, double-blind, placebo-controlled clinical trial (COVALENT-212) assessing the efficacy and safety of icovamenib in participants with type 2 diabetes not achieving glycemic targets despite GLP-1 RA-based therapy.</w:t>
      </w:r>
    </w:p>
    <w:p>
      <w:pPr>
        <w:spacing w:after="0" w:line="288" w:lineRule="exact"/>
        <w:rPr>
          <w:rFonts w:ascii="Arial" w:cs="Arial" w:eastAsia="Arial" w:hAnsi="Arial"/>
          <w:sz w:val="19"/>
          <w:szCs w:val="19"/>
          <w:color w:val="auto"/>
        </w:rPr>
      </w:pPr>
    </w:p>
    <w:p>
      <w:pPr>
        <w:ind w:left="1000" w:right="120"/>
        <w:spacing w:after="0" w:line="250" w:lineRule="auto"/>
        <w:rPr>
          <w:rFonts w:ascii="Arial" w:cs="Arial" w:eastAsia="Arial" w:hAnsi="Arial"/>
          <w:sz w:val="19"/>
          <w:szCs w:val="19"/>
          <w:color w:val="auto"/>
        </w:rPr>
      </w:pPr>
      <w:r>
        <w:rPr>
          <w:rFonts w:ascii="Times New Roman" w:cs="Times New Roman" w:eastAsia="Times New Roman" w:hAnsi="Times New Roman"/>
          <w:sz w:val="20"/>
          <w:szCs w:val="20"/>
          <w:b w:val="1"/>
          <w:bCs w:val="1"/>
          <w:color w:val="auto"/>
        </w:rPr>
        <w:t xml:space="preserve">Conclude the Phase I Trial of BMF-650 in Obesity and Advance BMF-650 within the Metabolic Pipeline: </w:t>
      </w:r>
      <w:r>
        <w:rPr>
          <w:rFonts w:ascii="Times New Roman" w:cs="Times New Roman" w:eastAsia="Times New Roman" w:hAnsi="Times New Roman"/>
          <w:sz w:val="20"/>
          <w:szCs w:val="20"/>
          <w:color w:val="auto"/>
        </w:rPr>
        <w:t>BMF-650, our next-generation oral GLP-1 RA candidate, is currently being evaluated in a Phase I trial. With its unique pharmacokinetic properties and encouraging preclinical efficacy profile, BMF-650 has the potential to provide a differentiated oral GLP-1 RA option for obesity and metabolic disease. We expect to announce initial Phase I data in the second quarter of 2026.</w:t>
      </w:r>
    </w:p>
    <w:p>
      <w:pPr>
        <w:spacing w:after="0" w:line="72" w:lineRule="exact"/>
        <w:rPr>
          <w:rFonts w:ascii="Arial" w:cs="Arial" w:eastAsia="Arial" w:hAnsi="Arial"/>
          <w:sz w:val="19"/>
          <w:szCs w:val="19"/>
          <w:color w:val="auto"/>
        </w:rPr>
      </w:pPr>
    </w:p>
    <w:p>
      <w:pPr>
        <w:ind w:left="980" w:right="20"/>
        <w:spacing w:after="0" w:line="250" w:lineRule="auto"/>
        <w:rPr>
          <w:rFonts w:ascii="Arial" w:cs="Arial" w:eastAsia="Arial" w:hAnsi="Arial"/>
          <w:sz w:val="19"/>
          <w:szCs w:val="19"/>
          <w:color w:val="auto"/>
        </w:rPr>
      </w:pPr>
      <w:r>
        <w:rPr>
          <w:rFonts w:ascii="Times New Roman" w:cs="Times New Roman" w:eastAsia="Times New Roman" w:hAnsi="Times New Roman"/>
          <w:sz w:val="20"/>
          <w:szCs w:val="20"/>
          <w:b w:val="1"/>
          <w:bCs w:val="1"/>
          <w:color w:val="auto"/>
        </w:rPr>
        <w:t xml:space="preserve">Evaluate Opportunities to Enhance the Potential of our Programs in Collaboration with Third Parties: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retain full worldwide development and commercialization rights to each of our product candidates. In the future, we may selectively enter into collaborations where we believe there is an opportunity to accelerate clinical development or enhance the potential of our product candidates. We intend to commercialize our product candidates in key markets either alone or with partners to maximize the value of our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In addition, we believe we are currently the only company in the United States clinically developing irreversible covalent binders specifically against menin. We define ourselves as targeted drug developers focused on irreversible covalent drugs and as such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w:t>
      </w:r>
    </w:p>
    <w:p>
      <w:pPr>
        <w:spacing w:after="0" w:line="8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These companies may be or may become interested in discovery and development of irreversible covalent binders that may compete with us against menin or related targets at scale and in an integrated way. Even if they do not advance programs with the same mechanism of action as ours, these companies could develop products or product candidates that are competitive with ours or that have a superior product profile and may do so at a rapid pace. These competitors also compete with us in</w:t>
      </w:r>
    </w:p>
    <w:p>
      <w:pPr>
        <w:sectPr>
          <w:pgSz w:w="12240" w:h="15840" w:orient="portrait"/>
          <w:cols w:equalWidth="0" w:num="1">
            <w:col w:w="10080"/>
          </w:cols>
          <w:pgMar w:left="1080" w:top="1056" w:right="1080" w:bottom="175"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056" w:right="1080" w:bottom="175" w:gutter="0" w:footer="0" w:header="0"/>
          <w:type w:val="continuous"/>
        </w:sectPr>
      </w:pPr>
    </w:p>
    <w:bookmarkStart w:id="12" w:name="page13"/>
    <w:bookmarkEnd w:id="12"/>
    <w:p>
      <w:pPr>
        <w:spacing w:after="0" w:line="249" w:lineRule="auto"/>
        <w:rPr>
          <w:sz w:val="20"/>
          <w:szCs w:val="20"/>
          <w:color w:val="auto"/>
        </w:rPr>
      </w:pPr>
      <w:r>
        <w:rPr>
          <w:rFonts w:ascii="Times New Roman" w:cs="Times New Roman" w:eastAsia="Times New Roman" w:hAnsi="Times New Roman"/>
          <w:sz w:val="20"/>
          <w:szCs w:val="20"/>
          <w:color w:val="auto"/>
        </w:rPr>
        <w:t>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 We face competition from segments of the pharmaceutical, biotechnology and other related markets that pursue the development of therapies that target irreversible covalent binding against protein targets of interest to us.</w:t>
      </w:r>
    </w:p>
    <w:p>
      <w:pPr>
        <w:spacing w:after="0" w:line="7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To our knowledge, there are no clinical-stage programs that aim to specifically regenerate insulin-producing beta cells in the islets by targeting menin for diabetes. There are over 60 approved agents and therapies being utilized to address diabetes. Such approved agents and therapies are intended to provide specific benefits to patients; however, we are not aware of any successfully addressing the root cause of diabetes, a depleted pool of functional beta cells. Several programs are targeting beta cell proliferation, including DYRK1A inhibitors. However, in addition to specific safety challenges, studies have shown that this approach may not only proliferate beta cells but also other pancreatic cells, which would not necessarily improve the ratio of alpha to beta cells in the pancreas.</w:t>
      </w:r>
    </w:p>
    <w:p>
      <w:pPr>
        <w:spacing w:after="0" w:line="8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Our competitors also include companies that are or will be developing other targeted therapies, including small molecule, antibody, or protein degraders for the same indications that we are targeting. For example, the Wegovy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pill was approved in December 2025 and is indicated with a reduced calorie diet and increased physical activity for adults with obesity, or with overweight who also have weight-related medical problems, to help them lose weight and keep it off. 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potency, selectivity, inactivation of the target, therapeutic window, safety, convenience, price, the level of generic competition, our ability to market and commercialize the product candidate, and the availability of reimbursement from government and other third-party payors.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We seek to protect the intellectual property and proprietary technology that we consider important to our business, including by pursuing patent applications that cover our product candidates and methods of using the same, as well as other relevant inventions and improvements that we believe to be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 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provisional and Patent Cooperation Treaty (PCT) applications, and any patent applications that we might in the future file or license from third parties, may not result in the issuance of patents and any issued patents we may obtain do not guarantee us the right to practice our technology or commercialize our product candidates. The PCT is a treaty with more than 150 contracting states that makes it possible to seek patent protection across multiple states by filing a single “international” application. We also cannot predict the breadth of claims that may be allowed or enforced in any patents we may own or in-license in the future. Any issued patents that we may own or in-license in the future may be challenged, invalidated, circumvented or have the scope of their claims narrowed.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w:t>
      </w:r>
    </w:p>
    <w:p>
      <w:pPr>
        <w:spacing w:after="0" w:line="9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United States Patent and Trademark Office (USPTO) in examining and granting a patent, or may be shortened if a patent is terminally disclaimed over an earlier filed patent. The term of a patent claiming a new drug product may also be eligible for a limited patent term extension when FDA approval of the new drug product is granted, provided statutory and regulatory requirements are met. The extension period granted on a patent covering a product is typically one-half the time between the effective date of a</w:t>
      </w:r>
    </w:p>
    <w:p>
      <w:pPr>
        <w:sectPr>
          <w:pgSz w:w="12240" w:h="15840" w:orient="portrait"/>
          <w:cols w:equalWidth="0" w:num="1">
            <w:col w:w="10080"/>
          </w:cols>
          <w:pgMar w:left="1080" w:top="1060" w:right="1080" w:bottom="175"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1060" w:right="1080" w:bottom="175" w:gutter="0" w:footer="0" w:header="0"/>
          <w:type w:val="continuous"/>
        </w:sectPr>
      </w:pPr>
    </w:p>
    <w:bookmarkStart w:id="13" w:name="page14"/>
    <w:bookmarkEnd w:id="13"/>
    <w:p>
      <w:pPr>
        <w:spacing w:after="0" w:line="243" w:lineRule="auto"/>
        <w:rPr>
          <w:sz w:val="20"/>
          <w:szCs w:val="20"/>
          <w:color w:val="auto"/>
        </w:rPr>
      </w:pPr>
      <w:r>
        <w:rPr>
          <w:rFonts w:ascii="Times New Roman" w:cs="Times New Roman" w:eastAsia="Times New Roman" w:hAnsi="Times New Roman"/>
          <w:sz w:val="20"/>
          <w:szCs w:val="20"/>
          <w:color w:val="auto"/>
        </w:rPr>
        <w:t>clinical investigation involving human beings began and the submission date of a new drug application (NDA), plus the time between the submission date of a NDA and the ultimate approval date. The extension period cannot be longer than five years and the total patent term, including the extension period, must not exceed 14 years following the date of FDA approval. Only one patent applicable to an approved product is eligible for the extension, and only those claims covering the approved product, a method for using it, or a method for manufacturing it may be extended. A patent that covers multiple products for which extension is sought can be extended only in connection with one of the approvals. The USPTO reviews the application for any patent term extension or restoration in consultation with the FDA. In the future, if any of our product candidates receive approval by the FDA, we expect to apply for a patent term extension on issued patents covering the product, method of using it, or method for manufacturing it, depending upon the length of the clinical studies for the product and other factors. Outside the U.S., similar applications for patent term extensions or supplementary protection certificates are available in a limited number of countries. We expect to apply for such coverage where available.</w:t>
      </w:r>
    </w:p>
    <w:p>
      <w:pPr>
        <w:spacing w:after="0" w:line="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There can be no assurance that the USPTO or any other patent office outside the U.S. will approve any of our applications for patent term extensions or supplementary protection certificates. There can be no assurance that patents will issue from our current or future pending patent applications,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A patent term may be inadequate to protect our competitive position on our products, if approved, for an adequate amount of time.</w:t>
      </w:r>
    </w:p>
    <w:p>
      <w:pPr>
        <w:spacing w:after="0" w:line="8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As of December 31, 2025, we owned seven issued U.S. patents, more than 100 U.S. and outside U.S. pending patent applications, directed to compositions of matter, methods of treatment, and methods of making with respect to our product candidates, including icovamenib, BMF-500 and BMF-650.</w:t>
      </w:r>
    </w:p>
    <w:p>
      <w:pPr>
        <w:spacing w:after="0" w:line="6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Patent prosecution is a lengthy process, during which the scope of the claims initially submitted for examination by the USPTO or other foreign jurisdiction are often significantly narrowed by the time they issue, if they issue at all. None of our pending PCT patent applications are eligible to become issued patents until, among other things, we file national stage patent applications within 30 months in the countries in which we seek patent protection. If we do not timely file a national stage patent applications, we may lose our priority date in that country with respect to that PCT patent application and any patent protection on the inventions disclosed in such PCT patent application. Our provisional patent applications might never result in issued patents and are not eligible to become issued patents until, among other things, we file a non-provisional and/or PCT patent application within 12 months of filing the related provisional patent application. If we do not timely file non-provisional or PCT patent applications, we may lose our priority date with respect to our provisional patent applications and any patent protection on the inventions disclosed in our provisional patent applications. While we intend to timely file non-provisional and PCT patent applications relating to our provisional patent applications, and we intend to timely file national stage patent applications relating to our PCT patent applications, we cannot predict whether any of our current or future patent applications related to icovamenib, or any of our other product candidates, will issue as patents. If we do not successfully obtain patent protection, or, even if we do obtain patent protection, if the scope of the patent protection we obtain for our product candidates or technology is not sufficiently broad, we will be unable to prevent others from using our technology or from developing or commercializing technology and products similar or identical to ours or other competing products and technologies. Additionally, even if any of our patent applications issue as patents, the patents covering our proprietary technologies and our product candidates would be expected to expire between 2039 and 2045.</w:t>
      </w:r>
    </w:p>
    <w:p>
      <w:pPr>
        <w:spacing w:after="0" w:line="8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addition to patent applications, we rely on unpatented trade secrets, know-how and continuing technological innovation to develop and maintain our competitive position. However, trade secrets and confidential know-how are difficult to protect. In particular, we consider various aspects of our irreversible binder discovery platform to constitute our trade secrets and know-how. We seek to protect our proprietary information, in part, by executing confidentiality agreements with our collaborators and scientific advisors and non-competition, non-solicitation, confidentiality and invention assignment agreements with our employees and consultants. We cannot guarantee that we have, or that we will have executed such agreements with all applicable employees and contractors, or that these agreements will afford us adequate protection of our intellectual property and proprietary information rights. In addition, our trade secrets and/or confidential know-how may become known or be independently developed by a third party or misused by any person to whom we disclose such information. These agreements may also be breached, and we may not have an adequate remedy for any such breach. Despite any measures taken to protect our intellectual property, unauthorized parties may attempt to copy aspects of our products or to obtain or use information that we regard as proprietary. Although we take steps to protect our product candidates and any future proprietary information, third parties may independently develop the same or similar proprietary information or may otherwise gain access to our proprietary information. As a result, we might be unable to meaningfully protect our trade secrets and proprietary information.</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60"/>
          </w:cols>
          <w:pgMar w:left="1080" w:top="1060" w:right="1100" w:bottom="175" w:gutter="0" w:footer="0" w:header="0"/>
          <w:type w:val="continuous"/>
        </w:sectPr>
      </w:pPr>
    </w:p>
    <w:bookmarkStart w:id="14" w:name="page15"/>
    <w:bookmarkEnd w:id="14"/>
    <w:p>
      <w:pPr>
        <w:ind w:right="200"/>
        <w:spacing w:after="0" w:line="277" w:lineRule="auto"/>
        <w:rPr>
          <w:sz w:val="20"/>
          <w:szCs w:val="20"/>
          <w:color w:val="auto"/>
        </w:rPr>
      </w:pPr>
      <w:r>
        <w:rPr>
          <w:rFonts w:ascii="Times New Roman" w:cs="Times New Roman" w:eastAsia="Times New Roman" w:hAnsi="Times New Roman"/>
          <w:sz w:val="20"/>
          <w:szCs w:val="20"/>
          <w:color w:val="auto"/>
        </w:rPr>
        <w:t>For more information regarding the risks related to our intellectual property, please see “Risk Factors—Risks related to our intellectual property.”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License and Partnership Agreements</w:t>
      </w:r>
    </w:p>
    <w:p>
      <w:pPr>
        <w:spacing w:after="0" w:line="124"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As of December 31, 2025, we did not have any license or partnership agreements related to any of our programs. As these programs and our business evolve, we may consider entering into a potential license or partnership and may explore partnerships to further advance our oncology assets while concentrating our internal resources on metabolic disorders. A potential partnership could provide non-dilutive funding and access to additional capabilities and expertise that a partner could provide to enhance the overall probability of program success.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2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do not have any manufacturing facilities or personnel. We currently rely, and expect to continue to rely, on third parties for the manufacture of our product candidates undergoing preclinical studies, as well as for our clinical trials. This arrangement is also expected for commercial manufacturing if our product candidates receive marketing approval. Certain of our suppliers of ingredients, raw materials, components and materials are single source suppliers. All of our product candidates are small molecules and are manufactured in synthetic processes from available starting materials. We expect to continue to develop product candidates that can be produced cost-effectively at contract manufacturing facilities.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12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Subject to receiving marketing approvals, we expect to commence commercialization activities by building a focused sales and marketing organization in the United States to sell our products. We believe that such an organization will be able to address the community of endocrinologists who are the key specialists in treating the patient populations for which our product candidates are being developed. Outside the United States, we expect to enter into distribution and other marketing arrangements with third parties for any of our product candidates that obtain marketing approval. 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2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requires the expenditure of substantial time and financial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Drug Development Process</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the United States, the FDA regulates drugs under the Federal Food, Drug, and Cosmetic Act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91" w:lineRule="exact"/>
        <w:rPr>
          <w:sz w:val="20"/>
          <w:szCs w:val="20"/>
          <w:color w:val="auto"/>
        </w:rPr>
      </w:pPr>
    </w:p>
    <w:p>
      <w:pPr>
        <w:ind w:left="280" w:right="200" w:hanging="280"/>
        <w:spacing w:after="0" w:line="276" w:lineRule="auto"/>
        <w:tabs>
          <w:tab w:leader="none" w:pos="2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preclinical laboratory studies, animal studies and formulation studies in accordance with the FDA’s good laboratory practice (GLP) requirements and other applicable regulations;</w:t>
      </w:r>
    </w:p>
    <w:p>
      <w:pPr>
        <w:spacing w:after="0" w:line="64" w:lineRule="exact"/>
        <w:rPr>
          <w:rFonts w:ascii="Arial" w:cs="Arial" w:eastAsia="Arial" w:hAnsi="Arial"/>
          <w:sz w:val="20"/>
          <w:szCs w:val="20"/>
          <w:color w:val="auto"/>
        </w:rPr>
      </w:pPr>
    </w:p>
    <w:p>
      <w:pPr>
        <w:ind w:left="280" w:right="480" w:hanging="280"/>
        <w:spacing w:after="0" w:line="276" w:lineRule="auto"/>
        <w:tabs>
          <w:tab w:leader="none" w:pos="2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 and must be updated annually or when certain changes are made;</w:t>
      </w:r>
    </w:p>
    <w:p>
      <w:pPr>
        <w:spacing w:after="0" w:line="64" w:lineRule="exact"/>
        <w:rPr>
          <w:rFonts w:ascii="Arial" w:cs="Arial" w:eastAsia="Arial" w:hAnsi="Arial"/>
          <w:sz w:val="20"/>
          <w:szCs w:val="20"/>
          <w:color w:val="auto"/>
        </w:rPr>
      </w:pPr>
    </w:p>
    <w:p>
      <w:pPr>
        <w:ind w:left="280" w:right="240" w:hanging="280"/>
        <w:spacing w:after="0" w:line="276" w:lineRule="auto"/>
        <w:tabs>
          <w:tab w:leader="none" w:pos="2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independent Institutional Review Board (IRB), or ethics committee at each clinical site before each trial may be initiated;</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60"/>
          </w:cols>
          <w:pgMar w:left="1080" w:top="1060" w:right="1100" w:bottom="175" w:gutter="0" w:footer="0" w:header="0"/>
          <w:type w:val="continuous"/>
        </w:sectPr>
      </w:pPr>
    </w:p>
    <w:bookmarkStart w:id="15" w:name="page16"/>
    <w:bookmarkEnd w:id="15"/>
    <w:p>
      <w:pPr>
        <w:ind w:left="280" w:right="140" w:hanging="280"/>
        <w:spacing w:after="0" w:line="258" w:lineRule="auto"/>
        <w:tabs>
          <w:tab w:leader="none" w:pos="2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applicable IND regulations, good clinical practices (GCPs), and other clinical-trial regulations, to establish the safety and efficacy of the proposed drug for its intended use;</w:t>
      </w:r>
    </w:p>
    <w:p>
      <w:pPr>
        <w:spacing w:after="0" w:line="81" w:lineRule="exact"/>
        <w:rPr>
          <w:rFonts w:ascii="Arial" w:cs="Arial" w:eastAsia="Arial" w:hAnsi="Arial"/>
          <w:sz w:val="20"/>
          <w:szCs w:val="20"/>
          <w:color w:val="auto"/>
        </w:rPr>
      </w:pPr>
    </w:p>
    <w:p>
      <w:pPr>
        <w:ind w:left="280" w:hanging="280"/>
        <w:spacing w:after="0"/>
        <w:tabs>
          <w:tab w:leader="none" w:pos="2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preparation of and submission to the FDA of an NDA after completion of all pivotal trials;</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 determination by the FDA within 60 days of its receipt of an NDA to file the application for review</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133" w:lineRule="exact"/>
        <w:rPr>
          <w:rFonts w:ascii="Arial" w:cs="Arial" w:eastAsia="Arial" w:hAnsi="Arial"/>
          <w:sz w:val="20"/>
          <w:szCs w:val="20"/>
          <w:color w:val="auto"/>
        </w:rPr>
      </w:pPr>
    </w:p>
    <w:p>
      <w:pPr>
        <w:ind w:left="280" w:right="260" w:hanging="280"/>
        <w:spacing w:after="0" w:line="276" w:lineRule="auto"/>
        <w:tabs>
          <w:tab w:leader="none" w:pos="2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audit of the preclinical and/or clinical trial sites that generated the data in support of the NDA;</w:t>
      </w:r>
    </w:p>
    <w:p>
      <w:pPr>
        <w:spacing w:after="0" w:line="64" w:lineRule="exact"/>
        <w:rPr>
          <w:rFonts w:ascii="Arial" w:cs="Arial" w:eastAsia="Arial" w:hAnsi="Arial"/>
          <w:sz w:val="20"/>
          <w:szCs w:val="20"/>
          <w:color w:val="auto"/>
        </w:rPr>
      </w:pPr>
    </w:p>
    <w:p>
      <w:pPr>
        <w:ind w:left="280" w:right="360" w:hanging="280"/>
        <w:spacing w:after="0" w:line="252" w:lineRule="auto"/>
        <w:tabs>
          <w:tab w:leader="none" w:pos="2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inspection of the manufacturing facilities at which the drug is produced to assess compliance with current good manufacturing practice (cGMP) requirements to ensure that the facilities, methods and controls are adequate to preserve the drug’s identity, strength, quality and purity, and of selected clinical investigation sites to assess compliance with GCPs; and</w:t>
      </w:r>
    </w:p>
    <w:p>
      <w:pPr>
        <w:spacing w:after="0" w:line="87" w:lineRule="exact"/>
        <w:rPr>
          <w:rFonts w:ascii="Arial" w:cs="Arial" w:eastAsia="Arial" w:hAnsi="Arial"/>
          <w:sz w:val="20"/>
          <w:szCs w:val="20"/>
          <w:color w:val="auto"/>
        </w:rPr>
      </w:pPr>
    </w:p>
    <w:p>
      <w:pPr>
        <w:ind w:left="280" w:right="80" w:hanging="280"/>
        <w:spacing w:after="0" w:line="276" w:lineRule="auto"/>
        <w:tabs>
          <w:tab w:leader="none" w:pos="2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of the NDA to permit commercial marketing of the product for particular indications for use in the United States.</w:t>
      </w:r>
    </w:p>
    <w:p>
      <w:pPr>
        <w:spacing w:after="0" w:line="5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Prior to beginning the first clinical trial with a product candidate in the United States, a sponsor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or imposes a full or partial clinical hold on the IND within that 30-day time period. In such a case, the IND sponsor and the FDA must resolve any outstanding concerns or questions before the clinical trial can begin. Submission of an IND therefore may or may not result in FDA authorization to begin a clinical trial.</w:t>
      </w:r>
    </w:p>
    <w:p>
      <w:pPr>
        <w:spacing w:after="0" w:line="8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participants are being exposed to an unacceptable health risk.</w:t>
      </w:r>
    </w:p>
    <w:p>
      <w:pPr>
        <w:spacing w:after="0" w:line="92"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20"/>
          <w:szCs w:val="20"/>
          <w:color w:val="auto"/>
        </w:rPr>
        <w:t>Similarly, an IRB can suspend or terminate approval of a clinical trial at its institution if the clinical trial is not being conducted in accordance with the IRB’s requirements or if the drug has been associated with unexpected serious harm to participants. There are also requirements governing the reporting of ongoing clinical studies and clinical study results to public registries.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Human clinical trials are typically conducted in three sequential phases that may overlap or be combined:</w:t>
      </w:r>
    </w:p>
    <w:p>
      <w:pPr>
        <w:spacing w:after="0" w:line="134" w:lineRule="exact"/>
        <w:rPr>
          <w:sz w:val="20"/>
          <w:szCs w:val="20"/>
          <w:color w:val="auto"/>
        </w:rPr>
      </w:pPr>
    </w:p>
    <w:p>
      <w:pPr>
        <w:ind w:left="280" w:right="20" w:hanging="280"/>
        <w:spacing w:after="0" w:line="252" w:lineRule="auto"/>
        <w:tabs>
          <w:tab w:leader="none" w:pos="2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Phase I: The product candidate is initially introduced into healthy human subjects or participants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87" w:lineRule="exact"/>
        <w:rPr>
          <w:rFonts w:ascii="Arial" w:cs="Arial" w:eastAsia="Arial" w:hAnsi="Arial"/>
          <w:sz w:val="20"/>
          <w:szCs w:val="20"/>
          <w:color w:val="auto"/>
        </w:rPr>
      </w:pPr>
    </w:p>
    <w:p>
      <w:pPr>
        <w:ind w:left="280" w:right="40" w:hanging="280"/>
        <w:spacing w:after="0" w:line="276" w:lineRule="auto"/>
        <w:tabs>
          <w:tab w:leader="none" w:pos="2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Phase II: The product candidate is administered to a limited participant population with a specified disease or condition to evaluate the preliminary efficacy, optimal dosages and dosing schedule and to identify possible adverse side effects and</w:t>
      </w:r>
    </w:p>
    <w:p>
      <w:pPr>
        <w:sectPr>
          <w:pgSz w:w="12240" w:h="15840" w:orient="portrait"/>
          <w:cols w:equalWidth="0" w:num="1">
            <w:col w:w="10080"/>
          </w:cols>
          <w:pgMar w:left="1080" w:top="1074" w:right="1080" w:bottom="175"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80"/>
          </w:cols>
          <w:pgMar w:left="1080" w:top="1074" w:right="1080" w:bottom="175" w:gutter="0" w:footer="0" w:header="0"/>
          <w:type w:val="continuous"/>
        </w:sectPr>
      </w:pPr>
    </w:p>
    <w:bookmarkStart w:id="16" w:name="page17"/>
    <w:bookmarkEnd w:id="16"/>
    <w:p>
      <w:pPr>
        <w:ind w:left="280" w:right="260"/>
        <w:spacing w:after="0" w:line="277" w:lineRule="auto"/>
        <w:rPr>
          <w:sz w:val="20"/>
          <w:szCs w:val="20"/>
          <w:color w:val="auto"/>
        </w:rPr>
      </w:pPr>
      <w:r>
        <w:rPr>
          <w:rFonts w:ascii="Times New Roman" w:cs="Times New Roman" w:eastAsia="Times New Roman" w:hAnsi="Times New Roman"/>
          <w:sz w:val="20"/>
          <w:szCs w:val="20"/>
          <w:color w:val="auto"/>
        </w:rPr>
        <w:t>safety risks. Multiple Phase II clinical trials may be conducted to obtain information prior to beginning larger and more expensive Phase III clinical trials.</w:t>
      </w:r>
    </w:p>
    <w:p>
      <w:pPr>
        <w:spacing w:after="0" w:line="64" w:lineRule="exact"/>
        <w:rPr>
          <w:sz w:val="20"/>
          <w:szCs w:val="20"/>
          <w:color w:val="auto"/>
        </w:rPr>
      </w:pPr>
    </w:p>
    <w:p>
      <w:pPr>
        <w:ind w:left="280" w:right="240" w:hanging="280"/>
        <w:spacing w:after="0" w:line="252" w:lineRule="auto"/>
        <w:tabs>
          <w:tab w:leader="none" w:pos="2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Phase III: The product candidate is administered to an expanded participant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7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some cases, the FDA may require, or sponsors may voluntarily pursue, additional clinical trials after a product is approved to gain more information about the product. These so-called Phase IV studies may be conducted after initial marketing approval, and may be used to gain additional experience from the treatment of participants in the intended therapeutic indication. In certain instances, such as for drugs granted accelerated approval, the FDA may mandate the performance of Phase IV clinical trials as a condition of approval of an NDA.</w:t>
      </w:r>
    </w:p>
    <w:p>
      <w:pPr>
        <w:spacing w:after="0" w:line="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There also are requirements governing the registration and reporting of ongoing and completed clinical trials to public registries. For example, information about certain clinical trials must be submitted within specific timeframes for publication on </w:t>
      </w:r>
      <w:r>
        <w:rPr>
          <w:rFonts w:ascii="Times New Roman" w:cs="Times New Roman" w:eastAsia="Times New Roman" w:hAnsi="Times New Roman"/>
          <w:sz w:val="20"/>
          <w:szCs w:val="20"/>
          <w:i w:val="1"/>
          <w:iCs w:val="1"/>
          <w:color w:val="auto"/>
        </w:rPr>
        <w:t>www.ClinicalTrials.gov</w:t>
      </w:r>
      <w:r>
        <w:rPr>
          <w:rFonts w:ascii="Times New Roman" w:cs="Times New Roman" w:eastAsia="Times New Roman" w:hAnsi="Times New Roman"/>
          <w:sz w:val="20"/>
          <w:szCs w:val="20"/>
          <w:color w:val="auto"/>
        </w:rPr>
        <w:t>, a clinical trials database maintained by the National Institutes of Health. Sponsors are also obligated to disclose the results of their clinical trials after completion. Disclosure of the results of these trials can be delayed until the new product or new indication being studied has been approved. Competitors and patients may use this publicly available information to gain knowledge regarding the progress of development programs. Failure to timely register a covered clinical study or to submit study results as provided for in the law can give rise to public notifications of noncompliance, civil monetary penalties, and also prevent the non-compliant party from receiving future grant funds from the federal government.</w:t>
      </w:r>
    </w:p>
    <w:p>
      <w:pPr>
        <w:spacing w:after="0" w:line="8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80"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8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 addition, during the development of a new drug, sponsors are given opportunities to meet with the FDA at certain points. These points may be prior to submission of an IND, at the end of Phase II,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II trial to discuss Phase II clinical results and present plans for the pivotal Phase III clinical trials that they believe will support approval of the new drug.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Review and Approval Process</w:t>
      </w:r>
    </w:p>
    <w:p>
      <w:pPr>
        <w:spacing w:after="0" w:line="12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86"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9"/>
          <w:szCs w:val="19"/>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w:t>
      </w:r>
    </w:p>
    <w:p>
      <w:pPr>
        <w:sectPr>
          <w:pgSz w:w="12240" w:h="15840" w:orient="portrait"/>
          <w:cols w:equalWidth="0" w:num="1">
            <w:col w:w="10080"/>
          </w:cols>
          <w:pgMar w:left="1080" w:top="1060" w:right="1080" w:bottom="175"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080" w:top="1060" w:right="1080" w:bottom="175" w:gutter="0" w:footer="0" w:header="0"/>
          <w:type w:val="continuous"/>
        </w:sectPr>
      </w:pPr>
    </w:p>
    <w:bookmarkStart w:id="17" w:name="page18"/>
    <w:bookmarkEnd w:id="17"/>
    <w:p>
      <w:pPr>
        <w:ind w:right="180"/>
        <w:spacing w:after="0" w:line="247" w:lineRule="auto"/>
        <w:rPr>
          <w:sz w:val="20"/>
          <w:szCs w:val="20"/>
          <w:color w:val="auto"/>
        </w:rPr>
      </w:pPr>
      <w:r>
        <w:rPr>
          <w:rFonts w:ascii="Times New Roman" w:cs="Times New Roman" w:eastAsia="Times New Roman" w:hAnsi="Times New Roman"/>
          <w:sz w:val="20"/>
          <w:szCs w:val="20"/>
          <w:color w:val="auto"/>
        </w:rPr>
        <w:t>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w:t>
      </w:r>
    </w:p>
    <w:p>
      <w:pPr>
        <w:spacing w:after="0" w:line="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8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spacing w:after="0" w:line="8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(ETASU), such as restricted distribution methods, patient registries, and other risk minimization tools. If the FDA concludes a REMS is needed, the sponsor of the NDA must submit a proposed REMS; the FDA will not approve the NDA without a REMS, if required. The FDA also may condition approval on, among other things, changes to proposed labeling or the development of adequate controls and specifications. The FDA may also require one or more Phase IV post -market studies and surveillance to further assess and monitor the product’s safety and effectiveness after commercialization, and may limit further marketing of the product based on the results of these post-marketing studies.</w:t>
      </w:r>
    </w:p>
    <w:p>
      <w:pPr>
        <w:spacing w:after="0" w:line="8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fails to keep a deferral current or fails to submit a request for approval of a pediatric formulation.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preclinical or clinical data demonstrate the potential to address unmet</w:t>
      </w:r>
    </w:p>
    <w:p>
      <w:pPr>
        <w:sectPr>
          <w:pgSz w:w="12240" w:h="15840" w:orient="portrait"/>
          <w:cols w:equalWidth="0" w:num="1">
            <w:col w:w="10080"/>
          </w:cols>
          <w:pgMar w:left="1080" w:top="1060" w:right="1080" w:bottom="175"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80"/>
          </w:cols>
          <w:pgMar w:left="1080" w:top="1060" w:right="1080" w:bottom="175" w:gutter="0" w:footer="0" w:header="0"/>
          <w:type w:val="continuous"/>
        </w:sectPr>
      </w:pPr>
    </w:p>
    <w:bookmarkStart w:id="18" w:name="page19"/>
    <w:bookmarkEnd w:id="18"/>
    <w:p>
      <w:pPr>
        <w:ind w:right="100"/>
        <w:spacing w:after="0" w:line="245" w:lineRule="auto"/>
        <w:rPr>
          <w:sz w:val="20"/>
          <w:szCs w:val="20"/>
          <w:color w:val="auto"/>
        </w:rPr>
      </w:pPr>
      <w:r>
        <w:rPr>
          <w:rFonts w:ascii="Times New Roman" w:cs="Times New Roman" w:eastAsia="Times New Roman" w:hAnsi="Times New Roman"/>
          <w:sz w:val="20"/>
          <w:szCs w:val="20"/>
          <w:color w:val="auto"/>
        </w:rPr>
        <w:t>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an NDA is submitted, the product candidate may be eligible for priority review. A Fast Track product may also be eligible for rolling review, where the FDA may consider for review portions of the NDA on a rolling basis before the complete application is submitted, if the sponsor provides a schedule for the submission of the portions of the NDA, the FDA agrees to accept portions of the NDA and determines that the schedule is acceptable, and the sponsor pays any required user fees upon submission of the first portions of the NDA.</w:t>
      </w:r>
    </w:p>
    <w:p>
      <w:pPr>
        <w:spacing w:after="0" w:line="8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available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I and an organizational commitment to expedite the development and review of the product candidate, including involvement of senior managers.</w:t>
      </w:r>
    </w:p>
    <w:p>
      <w:pPr>
        <w:spacing w:after="0" w:line="8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rolling review,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w:t>
      </w:r>
    </w:p>
    <w:p>
      <w:pPr>
        <w:spacing w:after="0" w:line="8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Under the Food and Drug Omnibus Reform Act of 2022 (FDORA), the FDA is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Under FDORA, the FDA is empowered to take action, such as issuing fines, against companies that fail to conduct with due diligence any post-approval confirmatory study or submit timely reports to the agency on their progress.</w:t>
      </w:r>
    </w:p>
    <w:p>
      <w:pPr>
        <w:spacing w:after="0" w:line="8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12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of 200,000 or more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If a product that has orphan drug designation subsequently receives the first FDA approval for the approved used or indication for which it has such designation, the product is entitled to orphan product exclusivity, which means that the FDA may not approve any other applications, including a full NDA, to market the same drug for the same approved used or</w:t>
      </w:r>
    </w:p>
    <w:p>
      <w:pPr>
        <w:sectPr>
          <w:pgSz w:w="12240" w:h="15840" w:orient="portrait"/>
          <w:cols w:equalWidth="0" w:num="1">
            <w:col w:w="10060"/>
          </w:cols>
          <w:pgMar w:left="1080" w:top="1060" w:right="1100" w:bottom="175"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60"/>
          </w:cols>
          <w:pgMar w:left="1080" w:top="1060" w:right="1100" w:bottom="175" w:gutter="0" w:footer="0" w:header="0"/>
          <w:type w:val="continuous"/>
        </w:sectPr>
      </w:pPr>
    </w:p>
    <w:bookmarkStart w:id="19" w:name="page20"/>
    <w:bookmarkEnd w:id="19"/>
    <w:p>
      <w:pPr>
        <w:spacing w:after="0" w:line="249" w:lineRule="auto"/>
        <w:rPr>
          <w:sz w:val="20"/>
          <w:szCs w:val="20"/>
          <w:color w:val="auto"/>
        </w:rPr>
      </w:pPr>
      <w:r>
        <w:rPr>
          <w:rFonts w:ascii="Times New Roman" w:cs="Times New Roman" w:eastAsia="Times New Roman" w:hAnsi="Times New Roman"/>
          <w:sz w:val="20"/>
          <w:szCs w:val="20"/>
          <w:color w:val="auto"/>
        </w:rPr>
        <w:t>indication for seven years, except in limited circumstances, such as a showing of clinical superiority to the product with orphan drug exclusivity or in instances of drug supply issues. Orphan drug exclusivity does not prevent the FDA from approving a different drug for the same disease or condition, or the same drug for a different disease or condition. Among the other potential benefits of orphan drug designation are tax credits for certain research and a waiver of the NDA application user fee.</w:t>
      </w:r>
    </w:p>
    <w:p>
      <w:pPr>
        <w:spacing w:after="0" w:line="7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1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and those supplying products, ingredients, and components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w:t>
      </w:r>
    </w:p>
    <w:p>
      <w:pPr>
        <w:spacing w:after="0" w:line="9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280" w:right="360" w:hanging="280"/>
        <w:spacing w:after="0" w:line="276" w:lineRule="auto"/>
        <w:tabs>
          <w:tab w:leader="none" w:pos="2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fines, FDA Form 483s, warning letters, or untitled letters;</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clinical holds on clinical studies;</w:t>
      </w:r>
    </w:p>
    <w:p>
      <w:pPr>
        <w:spacing w:after="0" w:line="133" w:lineRule="exact"/>
        <w:rPr>
          <w:rFonts w:ascii="Arial" w:cs="Arial" w:eastAsia="Arial" w:hAnsi="Arial"/>
          <w:sz w:val="20"/>
          <w:szCs w:val="20"/>
          <w:color w:val="auto"/>
        </w:rPr>
      </w:pPr>
    </w:p>
    <w:p>
      <w:pPr>
        <w:ind w:left="280" w:right="60" w:hanging="280"/>
        <w:spacing w:after="0" w:line="276" w:lineRule="auto"/>
        <w:tabs>
          <w:tab w:leader="none" w:pos="2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approvals;</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133" w:lineRule="exact"/>
        <w:rPr>
          <w:rFonts w:ascii="Arial" w:cs="Arial" w:eastAsia="Arial" w:hAnsi="Arial"/>
          <w:sz w:val="20"/>
          <w:szCs w:val="20"/>
          <w:color w:val="auto"/>
        </w:rPr>
      </w:pPr>
    </w:p>
    <w:p>
      <w:pPr>
        <w:ind w:left="280" w:hanging="280"/>
        <w:spacing w:after="0"/>
        <w:tabs>
          <w:tab w:leader="none" w:pos="2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w:t>
      </w:r>
    </w:p>
    <w:p>
      <w:pPr>
        <w:spacing w:after="0" w:line="133" w:lineRule="exact"/>
        <w:rPr>
          <w:rFonts w:ascii="Arial" w:cs="Arial" w:eastAsia="Arial" w:hAnsi="Arial"/>
          <w:sz w:val="20"/>
          <w:szCs w:val="20"/>
          <w:color w:val="auto"/>
        </w:rPr>
      </w:pPr>
    </w:p>
    <w:p>
      <w:pPr>
        <w:ind w:left="280" w:right="620" w:hanging="280"/>
        <w:spacing w:after="0" w:line="276" w:lineRule="auto"/>
        <w:tabs>
          <w:tab w:leader="none" w:pos="2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safety alerts, Dear Healthcare Provider letters, press releases and other communications containing warnings or other safety information about the product; or</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1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w:t>
      </w:r>
    </w:p>
    <w:p>
      <w:pPr>
        <w:sectPr>
          <w:pgSz w:w="12240" w:h="15840" w:orient="portrait"/>
          <w:cols w:equalWidth="0" w:num="1">
            <w:col w:w="10040"/>
          </w:cols>
          <w:pgMar w:left="1080" w:top="1060" w:right="1120" w:bottom="175"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40"/>
          </w:cols>
          <w:pgMar w:left="1080" w:top="1060" w:right="1120" w:bottom="175" w:gutter="0" w:footer="0" w:header="0"/>
          <w:type w:val="continuous"/>
        </w:sectPr>
      </w:pPr>
    </w:p>
    <w:bookmarkStart w:id="20" w:name="page21"/>
    <w:bookmarkEnd w:id="20"/>
    <w:p>
      <w:pPr>
        <w:ind w:right="20"/>
        <w:spacing w:after="0" w:line="247" w:lineRule="auto"/>
        <w:rPr>
          <w:sz w:val="20"/>
          <w:szCs w:val="20"/>
          <w:color w:val="auto"/>
        </w:rPr>
      </w:pPr>
      <w:r>
        <w:rPr>
          <w:rFonts w:ascii="Times New Roman" w:cs="Times New Roman" w:eastAsia="Times New Roman" w:hAnsi="Times New Roman"/>
          <w:sz w:val="20"/>
          <w:szCs w:val="20"/>
          <w:color w:val="auto"/>
        </w:rPr>
        <w:t>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guidances, and policies are often revised or reinterpreted by the agency in ways that may significantly affect the manner in which pharmaceutical products are regulated and marketed.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United States Regulatory Matters</w:t>
      </w:r>
    </w:p>
    <w:p>
      <w:pPr>
        <w:spacing w:after="0" w:line="12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and Medicaid Services (CMS), other divisions of the Department of Health and Human Services (HHS), the Department of Justice, the Drug Enforcement Administration, the Consumer Product Safety Commission, the Federal Trade Commission (FTC), the Occupational Safety and Health Administration, the Environmental Protection Agency and state and local governments and governmental agencies.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 Patent Term Restoration and Marketing Exclusivity</w:t>
      </w:r>
    </w:p>
    <w:p>
      <w:pPr>
        <w:spacing w:after="0" w:line="1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w:t>
      </w:r>
    </w:p>
    <w:p>
      <w:pPr>
        <w:spacing w:after="0" w:line="8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Regulatory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NDA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w:t>
      </w:r>
    </w:p>
    <w:p>
      <w:pPr>
        <w:spacing w:after="0" w:line="8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FDCA also provides three years of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for other conditions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8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In addition, drugs can also obtain pediatric exclusivity in the United States. Pediatric exclusivity, if granted, adds six months to existing regulatory exclusivity periods and, for drugs, patent terms. This six-month exclusivity, which runs from the end of other exclusivity protection or patent term, may be granted based on the voluntary completion of a pediatric study in accordance with an FDA-issued “Written Request” for such a study.</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60"/>
          </w:cols>
          <w:pgMar w:left="1080" w:top="1060" w:right="1100" w:bottom="175"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12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91" w:lineRule="exact"/>
        <w:rPr>
          <w:sz w:val="20"/>
          <w:szCs w:val="20"/>
          <w:color w:val="auto"/>
        </w:rPr>
      </w:pPr>
    </w:p>
    <w:p>
      <w:pPr>
        <w:ind w:left="280" w:right="60" w:hanging="280"/>
        <w:spacing w:after="0" w:line="245" w:lineRule="auto"/>
        <w:tabs>
          <w:tab w:leader="none" w:pos="2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w:t>
      </w:r>
    </w:p>
    <w:p>
      <w:pPr>
        <w:spacing w:after="0" w:line="95" w:lineRule="exact"/>
        <w:rPr>
          <w:rFonts w:ascii="Arial" w:cs="Arial" w:eastAsia="Arial" w:hAnsi="Arial"/>
          <w:sz w:val="20"/>
          <w:szCs w:val="20"/>
          <w:color w:val="auto"/>
        </w:rPr>
      </w:pPr>
    </w:p>
    <w:p>
      <w:pPr>
        <w:ind w:left="280" w:hanging="280"/>
        <w:spacing w:after="0" w:line="243" w:lineRule="auto"/>
        <w:tabs>
          <w:tab w:leader="none" w:pos="2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federal civil and criminal false claims laws, including the False Claims Act (FCA), which can be enforced through civil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102" w:lineRule="exact"/>
        <w:rPr>
          <w:rFonts w:ascii="Arial" w:cs="Arial" w:eastAsia="Arial" w:hAnsi="Arial"/>
          <w:sz w:val="20"/>
          <w:szCs w:val="20"/>
          <w:color w:val="auto"/>
        </w:rPr>
      </w:pPr>
    </w:p>
    <w:p>
      <w:pPr>
        <w:ind w:left="280" w:right="60" w:hanging="280"/>
        <w:spacing w:after="0" w:line="244" w:lineRule="auto"/>
        <w:tabs>
          <w:tab w:leader="none" w:pos="2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these statutes without actual knowledge of the statutes or specific intent to violate them in order to have committed a violation;</w:t>
      </w:r>
    </w:p>
    <w:p>
      <w:pPr>
        <w:spacing w:after="0" w:line="99" w:lineRule="exact"/>
        <w:rPr>
          <w:rFonts w:ascii="Arial" w:cs="Arial" w:eastAsia="Arial" w:hAnsi="Arial"/>
          <w:sz w:val="20"/>
          <w:szCs w:val="20"/>
          <w:color w:val="auto"/>
        </w:rPr>
      </w:pPr>
    </w:p>
    <w:p>
      <w:pPr>
        <w:ind w:left="280" w:right="40" w:hanging="280"/>
        <w:spacing w:after="0" w:line="256" w:lineRule="auto"/>
        <w:tabs>
          <w:tab w:leader="none" w:pos="28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HIPAA, as amended by the Health Information Technology for Economic and Clinical Health Act of 2009 (HITECH),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FTC, failing to take appropriate steps to keep consumers’ personal information secure constitutes unfair acts or practices in or affecting commerce in violation of Section 5(a) of the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93" w:lineRule="exact"/>
        <w:rPr>
          <w:rFonts w:ascii="Arial" w:cs="Arial" w:eastAsia="Arial" w:hAnsi="Arial"/>
          <w:sz w:val="19"/>
          <w:szCs w:val="19"/>
          <w:color w:val="auto"/>
        </w:rPr>
      </w:pPr>
    </w:p>
    <w:p>
      <w:pPr>
        <w:ind w:left="280" w:right="160" w:hanging="280"/>
        <w:spacing w:after="0" w:line="246" w:lineRule="auto"/>
        <w:tabs>
          <w:tab w:leader="none" w:pos="2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 Sunshine Act, created under the Patient Protection and Affordable Care Act of 2010, as amended (ACA) and its implementing regulations, which requires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other licensed health care practitioners and teaching hospitals, as well as ownership and investment interests held by physicians and their immediate family members;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80"/>
          </w:cols>
          <w:pgMar w:left="1080" w:top="1060" w:right="1080" w:bottom="175" w:gutter="0" w:footer="0" w:header="0"/>
          <w:type w:val="continuous"/>
        </w:sectPr>
      </w:pPr>
    </w:p>
    <w:bookmarkStart w:id="22" w:name="page23"/>
    <w:bookmarkEnd w:id="22"/>
    <w:p>
      <w:pPr>
        <w:ind w:left="280" w:right="120" w:hanging="280"/>
        <w:spacing w:after="0" w:line="243" w:lineRule="auto"/>
        <w:tabs>
          <w:tab w:leader="none" w:pos="2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California Consumer Privacy Act (CCPA), which went into effect on January 1, 2020, which affords consumers expanded privacy protections. For example, the CCPA gives California residents expanded rights to access and request deletion of their personal information, opt-out of certain personal information sharing, and receive detailed information about how their personal information is used. The CCPA also provides for civil penalties for violations, as well as a private right of action for data breaches that may increase our risk to data breach class action litigation. The CCPA was expanded substantially on January 1, 2023, when the California Privacy Rights Act of 2020 (CPRA) became fully operative. The CPRA, among other things, gave California residents the ability to limit use of certain sensitive personal information, further restricted the use of cross-contextual advertising, established restrictions on the retention of personal information, expanded the types of data breaches subject to the CCPA’s private right of action, provided for increased penalties for CPRA violations concerning California residents under the age of 16, and established a new privacy protection agency, now known as CalPrivacy;</w:t>
      </w:r>
    </w:p>
    <w:p>
      <w:pPr>
        <w:spacing w:after="0" w:line="102" w:lineRule="exact"/>
        <w:rPr>
          <w:rFonts w:ascii="Arial" w:cs="Arial" w:eastAsia="Arial" w:hAnsi="Arial"/>
          <w:sz w:val="20"/>
          <w:szCs w:val="20"/>
          <w:color w:val="auto"/>
        </w:rPr>
      </w:pPr>
    </w:p>
    <w:p>
      <w:pPr>
        <w:ind w:left="280" w:right="180" w:hanging="280"/>
        <w:spacing w:after="0" w:line="276" w:lineRule="auto"/>
        <w:tabs>
          <w:tab w:leader="none" w:pos="2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federal government price reporting laws, which require us to calculate and report complex pricing metrics in an accurate and timely manner to government programs;</w:t>
      </w:r>
    </w:p>
    <w:p>
      <w:pPr>
        <w:spacing w:after="0" w:line="64" w:lineRule="exact"/>
        <w:rPr>
          <w:rFonts w:ascii="Arial" w:cs="Arial" w:eastAsia="Arial" w:hAnsi="Arial"/>
          <w:sz w:val="20"/>
          <w:szCs w:val="20"/>
          <w:color w:val="auto"/>
        </w:rPr>
      </w:pPr>
    </w:p>
    <w:p>
      <w:pPr>
        <w:ind w:left="280" w:right="60" w:hanging="280"/>
        <w:spacing w:after="0" w:line="276" w:lineRule="auto"/>
        <w:tabs>
          <w:tab w:leader="none" w:pos="2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 and</w:t>
      </w:r>
    </w:p>
    <w:p>
      <w:pPr>
        <w:spacing w:after="0" w:line="64" w:lineRule="exact"/>
        <w:rPr>
          <w:rFonts w:ascii="Arial" w:cs="Arial" w:eastAsia="Arial" w:hAnsi="Arial"/>
          <w:sz w:val="20"/>
          <w:szCs w:val="20"/>
          <w:color w:val="auto"/>
        </w:rPr>
      </w:pPr>
    </w:p>
    <w:p>
      <w:pPr>
        <w:ind w:left="280" w:right="220" w:hanging="280"/>
        <w:spacing w:after="0" w:line="244" w:lineRule="auto"/>
        <w:tabs>
          <w:tab w:leader="none" w:pos="2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payors consider in determining reimbursement are based on whether the product is:</w:t>
      </w:r>
    </w:p>
    <w:p>
      <w:pPr>
        <w:spacing w:after="0" w:line="134" w:lineRule="exact"/>
        <w:rPr>
          <w:sz w:val="20"/>
          <w:szCs w:val="20"/>
          <w:color w:val="auto"/>
        </w:rPr>
      </w:pPr>
    </w:p>
    <w:p>
      <w:pPr>
        <w:ind w:left="280" w:hanging="280"/>
        <w:spacing w:after="0"/>
        <w:tabs>
          <w:tab w:leader="none" w:pos="2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253" w:lineRule="exact"/>
        <w:rPr>
          <w:rFonts w:ascii="Arial" w:cs="Arial" w:eastAsia="Arial" w:hAnsi="Arial"/>
          <w:sz w:val="20"/>
          <w:szCs w:val="20"/>
          <w:color w:val="auto"/>
        </w:rPr>
      </w:pPr>
    </w:p>
    <w:p>
      <w:pPr>
        <w:ind w:left="280" w:hanging="280"/>
        <w:spacing w:after="0"/>
        <w:tabs>
          <w:tab w:leader="none" w:pos="2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safe, effective and medically necessary;</w:t>
      </w:r>
    </w:p>
    <w:p>
      <w:pPr>
        <w:spacing w:after="0" w:line="253" w:lineRule="exact"/>
        <w:rPr>
          <w:rFonts w:ascii="Arial" w:cs="Arial" w:eastAsia="Arial" w:hAnsi="Arial"/>
          <w:sz w:val="20"/>
          <w:szCs w:val="20"/>
          <w:color w:val="auto"/>
        </w:rPr>
      </w:pPr>
    </w:p>
    <w:p>
      <w:pPr>
        <w:ind w:left="280" w:hanging="280"/>
        <w:spacing w:after="0"/>
        <w:tabs>
          <w:tab w:leader="none" w:pos="2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appropriate for the specific patient;</w:t>
      </w:r>
    </w:p>
    <w:p>
      <w:pPr>
        <w:spacing w:after="0" w:line="253" w:lineRule="exact"/>
        <w:rPr>
          <w:rFonts w:ascii="Arial" w:cs="Arial" w:eastAsia="Arial" w:hAnsi="Arial"/>
          <w:sz w:val="20"/>
          <w:szCs w:val="20"/>
          <w:color w:val="auto"/>
        </w:rPr>
      </w:pPr>
    </w:p>
    <w:p>
      <w:pPr>
        <w:ind w:left="280" w:hanging="280"/>
        <w:spacing w:after="0"/>
        <w:tabs>
          <w:tab w:leader="none" w:pos="2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cost-effective; and</w:t>
      </w:r>
    </w:p>
    <w:p>
      <w:pPr>
        <w:spacing w:after="0" w:line="253" w:lineRule="exact"/>
        <w:rPr>
          <w:rFonts w:ascii="Arial" w:cs="Arial" w:eastAsia="Arial" w:hAnsi="Arial"/>
          <w:sz w:val="20"/>
          <w:szCs w:val="20"/>
          <w:color w:val="auto"/>
        </w:rPr>
      </w:pPr>
    </w:p>
    <w:p>
      <w:pPr>
        <w:ind w:left="280" w:hanging="280"/>
        <w:spacing w:after="0"/>
        <w:tabs>
          <w:tab w:leader="none" w:pos="2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3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No uniform policy for coverage and reimbursement for products exists among third-party payors in the U.S.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6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w:t>
      </w:r>
    </w:p>
    <w:p>
      <w:pPr>
        <w:sectPr>
          <w:pgSz w:w="12240" w:h="15840" w:orient="portrait"/>
          <w:cols w:equalWidth="0" w:num="1">
            <w:col w:w="10080"/>
          </w:cols>
          <w:pgMar w:left="1080" w:top="1074" w:right="1080" w:bottom="175"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080" w:top="1074" w:right="1080" w:bottom="175" w:gutter="0" w:footer="0" w:header="0"/>
          <w:type w:val="continuous"/>
        </w:sectPr>
      </w:pPr>
    </w:p>
    <w:bookmarkStart w:id="23" w:name="page24"/>
    <w:bookmarkEnd w:id="23"/>
    <w:p>
      <w:pPr>
        <w:ind w:right="180"/>
        <w:spacing w:after="0" w:line="277" w:lineRule="auto"/>
        <w:rPr>
          <w:sz w:val="20"/>
          <w:szCs w:val="20"/>
          <w:color w:val="auto"/>
        </w:rPr>
      </w:pPr>
      <w:r>
        <w:rPr>
          <w:rFonts w:ascii="Times New Roman" w:cs="Times New Roman" w:eastAsia="Times New Roman" w:hAnsi="Times New Roman"/>
          <w:sz w:val="20"/>
          <w:szCs w:val="20"/>
          <w:color w:val="auto"/>
        </w:rPr>
        <w:t>product or a decision by a third-party payor not to cover a product could reduce physician usage and patient demand for the product and also have a material adverse effect on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1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In 2010,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88" w:lineRule="exact"/>
        <w:rPr>
          <w:sz w:val="20"/>
          <w:szCs w:val="20"/>
          <w:color w:val="auto"/>
        </w:rPr>
      </w:pPr>
    </w:p>
    <w:p>
      <w:pPr>
        <w:ind w:left="280" w:right="20" w:hanging="280"/>
        <w:spacing w:after="0" w:line="276" w:lineRule="auto"/>
        <w:tabs>
          <w:tab w:leader="none" w:pos="2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the minimum level of Medicaid rebates payable by manufacturers of brand name drugs from 15.1% to 23.1% of the average manufacturer price;</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required collection of rebates for drugs paid by Medicaid managed care organizations;</w:t>
      </w:r>
    </w:p>
    <w:p>
      <w:pPr>
        <w:spacing w:after="0" w:line="133" w:lineRule="exact"/>
        <w:rPr>
          <w:rFonts w:ascii="Arial" w:cs="Arial" w:eastAsia="Arial" w:hAnsi="Arial"/>
          <w:sz w:val="20"/>
          <w:szCs w:val="20"/>
          <w:color w:val="auto"/>
        </w:rPr>
      </w:pPr>
    </w:p>
    <w:p>
      <w:pPr>
        <w:ind w:left="280" w:right="140" w:hanging="280"/>
        <w:spacing w:after="0" w:line="252" w:lineRule="auto"/>
        <w:tabs>
          <w:tab w:leader="none" w:pos="2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required manufacturers to participate in a coverage gap discount program, under which they must agree to offer 70% point-of-sale discounts off negotiated prices of applicable brand drugs to eligible beneficiaries during their coverage gap period, as a condition for the manufacturer’s outpatient drugs to be covered under Medicare Part D (a requirement later replaced under the Inflation Reduction Act of 2022 (IRA) by the Medicare Part D manufacturer discount program); and</w:t>
      </w:r>
    </w:p>
    <w:p>
      <w:pPr>
        <w:spacing w:after="0" w:line="87" w:lineRule="exact"/>
        <w:rPr>
          <w:rFonts w:ascii="Arial" w:cs="Arial" w:eastAsia="Arial" w:hAnsi="Arial"/>
          <w:sz w:val="20"/>
          <w:szCs w:val="20"/>
          <w:color w:val="auto"/>
        </w:rPr>
      </w:pPr>
    </w:p>
    <w:p>
      <w:pPr>
        <w:ind w:left="280" w:hanging="280"/>
        <w:spacing w:after="0" w:line="276" w:lineRule="auto"/>
        <w:tabs>
          <w:tab w:leader="none" w:pos="2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imposed a non-deductible annual fee on pharmaceutical manufacturers or importers who sell “branded prescription drugs” to specified federal government programs.</w:t>
      </w:r>
    </w:p>
    <w:p>
      <w:pPr>
        <w:spacing w:after="0" w:line="16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Both the Trump administration and Congress have indicated that they will continue to seek new legislative and executive measures to control drug costs. In addition, other legislative and regulatory changes have been proposed and adopted in the United States since the ACA was enacted:</w:t>
      </w:r>
    </w:p>
    <w:p>
      <w:pPr>
        <w:spacing w:after="0" w:line="94" w:lineRule="exact"/>
        <w:rPr>
          <w:sz w:val="20"/>
          <w:szCs w:val="20"/>
          <w:color w:val="auto"/>
        </w:rPr>
      </w:pPr>
    </w:p>
    <w:p>
      <w:pPr>
        <w:ind w:left="280" w:right="580" w:hanging="280"/>
        <w:spacing w:after="0" w:line="276" w:lineRule="auto"/>
        <w:tabs>
          <w:tab w:leader="none" w:pos="2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U.S. Budget Control Act of 2011, among other things, included aggregate reductions of Medicare payments to providers of two percent per fiscal year that remain in effect through 2031.</w:t>
      </w:r>
    </w:p>
    <w:p>
      <w:pPr>
        <w:spacing w:after="0" w:line="64" w:lineRule="exact"/>
        <w:rPr>
          <w:rFonts w:ascii="Arial" w:cs="Arial" w:eastAsia="Arial" w:hAnsi="Arial"/>
          <w:sz w:val="20"/>
          <w:szCs w:val="20"/>
          <w:color w:val="auto"/>
        </w:rPr>
      </w:pPr>
    </w:p>
    <w:p>
      <w:pPr>
        <w:ind w:left="280" w:right="420" w:hanging="280"/>
        <w:spacing w:after="0" w:line="258" w:lineRule="auto"/>
        <w:tabs>
          <w:tab w:leader="none" w:pos="2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U.S.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spacing w:after="0" w:line="81" w:lineRule="exact"/>
        <w:rPr>
          <w:rFonts w:ascii="Arial" w:cs="Arial" w:eastAsia="Arial" w:hAnsi="Arial"/>
          <w:sz w:val="20"/>
          <w:szCs w:val="20"/>
          <w:color w:val="auto"/>
        </w:rPr>
      </w:pPr>
    </w:p>
    <w:p>
      <w:pPr>
        <w:ind w:left="280" w:hanging="280"/>
        <w:spacing w:after="0" w:line="249" w:lineRule="auto"/>
        <w:tabs>
          <w:tab w:leader="none" w:pos="2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American Rescue Plan Act of 2021 eliminates the statutory Medicaid drug rebate cap, previously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were further reduced starting in 2025 absent further legislation.</w:t>
      </w:r>
    </w:p>
    <w:p>
      <w:pPr>
        <w:spacing w:after="0" w:line="90" w:lineRule="exact"/>
        <w:rPr>
          <w:rFonts w:ascii="Arial" w:cs="Arial" w:eastAsia="Arial" w:hAnsi="Arial"/>
          <w:sz w:val="20"/>
          <w:szCs w:val="20"/>
          <w:color w:val="auto"/>
        </w:rPr>
      </w:pPr>
    </w:p>
    <w:p>
      <w:pPr>
        <w:ind w:left="280" w:hanging="280"/>
        <w:spacing w:after="0" w:line="244" w:lineRule="auto"/>
        <w:tabs>
          <w:tab w:leader="none" w:pos="2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IRA also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at least one orphan designation and any approved indications are for rare diseases. The implementation of the IRA is currently subject to ongoing litigation challenging the constitutionality of the IRA’s Medicare drug price negotiation program. The effect of IRA on our business and the healthcare industry in general is not yet known.</w:t>
      </w:r>
    </w:p>
    <w:p>
      <w:pPr>
        <w:spacing w:after="0" w:line="95" w:lineRule="exact"/>
        <w:rPr>
          <w:rFonts w:ascii="Arial" w:cs="Arial" w:eastAsia="Arial" w:hAnsi="Arial"/>
          <w:sz w:val="20"/>
          <w:szCs w:val="20"/>
          <w:color w:val="auto"/>
        </w:rPr>
      </w:pPr>
    </w:p>
    <w:p>
      <w:pPr>
        <w:ind w:left="280" w:right="80" w:hanging="280"/>
        <w:spacing w:after="0" w:line="252" w:lineRule="auto"/>
        <w:tabs>
          <w:tab w:leader="none" w:pos="2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One Big Beautiful Bill Act of 2025 (OBBBA)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spacing w:after="0" w:line="200" w:lineRule="exact"/>
        <w:rPr>
          <w:sz w:val="20"/>
          <w:szCs w:val="20"/>
          <w:color w:val="auto"/>
        </w:rPr>
      </w:pPr>
    </w:p>
    <w:p>
      <w:pPr>
        <w:spacing w:after="0" w:line="22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The costs of prescription pharmaceuticals have also been the subject of considerable discussion in the United States. To date, there have been several recent U.S. congressional inquiries, as well as proposed and enacted federal and state legislation</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60"/>
          </w:cols>
          <w:pgMar w:left="1080" w:top="1060" w:right="1100" w:bottom="175" w:gutter="0" w:footer="0" w:header="0"/>
          <w:type w:val="continuous"/>
        </w:sectPr>
      </w:pPr>
    </w:p>
    <w:bookmarkStart w:id="24" w:name="page25"/>
    <w:bookmarkEnd w:id="24"/>
    <w:p>
      <w:pPr>
        <w:ind w:right="120"/>
        <w:spacing w:after="0" w:line="249" w:lineRule="auto"/>
        <w:rPr>
          <w:sz w:val="20"/>
          <w:szCs w:val="20"/>
          <w:color w:val="auto"/>
        </w:rPr>
      </w:pPr>
      <w:r>
        <w:rPr>
          <w:rFonts w:ascii="Times New Roman" w:cs="Times New Roman" w:eastAsia="Times New Roman" w:hAnsi="Times New Roman"/>
          <w:sz w:val="20"/>
          <w:szCs w:val="20"/>
          <w:color w:val="auto"/>
        </w:rPr>
        <w:t>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spacing w:after="0" w:line="7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spacing w:after="0" w:line="8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8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We expect that additional state and federal healthcare reform measures will be adopted in the future, particularly in light of the new presidential administration, any of which could limit the amounts that federal and state governments will pay for healthcare products and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As of December 31, 2025, we had 41 full-time employees, 27 of whom were engaged in research and development activities. We believe we have good relationships with our employees. None of our employees are represented by a labor union or covered under a collective bargaining agreement.</w:t>
      </w:r>
    </w:p>
    <w:p>
      <w:pPr>
        <w:spacing w:after="0" w:line="6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2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We were established in the state of Delaware in August 2017 as Biomea Fusion, LLC. In December 2020, all outstanding membership interests in Biomea Fusion, LLC were converted into equity interests in the Company.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principal executive office is located at 1599 Industrial Road, San Carlos, California 94070, and our telephone number is</w:t>
      </w:r>
    </w:p>
    <w:p>
      <w:pPr>
        <w:spacing w:after="0" w:line="28" w:lineRule="exact"/>
        <w:rPr>
          <w:sz w:val="20"/>
          <w:szCs w:val="20"/>
          <w:color w:val="auto"/>
        </w:rPr>
      </w:pPr>
    </w:p>
    <w:p>
      <w:pPr>
        <w:ind w:right="220"/>
        <w:spacing w:after="0" w:line="244" w:lineRule="auto"/>
        <w:tabs>
          <w:tab w:leader="none" w:pos="48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980-9099. Our website address is </w:t>
      </w:r>
      <w:r>
        <w:rPr>
          <w:rFonts w:ascii="Times New Roman" w:cs="Times New Roman" w:eastAsia="Times New Roman" w:hAnsi="Times New Roman"/>
          <w:sz w:val="20"/>
          <w:szCs w:val="20"/>
          <w:u w:val="single" w:color="auto"/>
          <w:color w:val="auto"/>
        </w:rPr>
        <w:t>www.biomeafusion.com</w:t>
      </w:r>
      <w:r>
        <w:rPr>
          <w:rFonts w:ascii="Times New Roman" w:cs="Times New Roman" w:eastAsia="Times New Roman" w:hAnsi="Times New Roman"/>
          <w:sz w:val="20"/>
          <w:szCs w:val="20"/>
          <w:color w:val="auto"/>
        </w:rPr>
        <w:t>. We do not incorporate the information on or accessible through our website into this Annual Report on Form 10-K, and you should not consider any information on, or that can be accessed through, our website a part of this Annual Report on Form 10-K.</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60"/>
          </w:cols>
          <w:pgMar w:left="1080" w:top="1060" w:right="1100" w:bottom="175" w:gutter="0" w:footer="0" w:header="0"/>
          <w:type w:val="continuous"/>
        </w:sectPr>
      </w:pPr>
    </w:p>
    <w:bookmarkStart w:id="25" w:name="page26"/>
    <w:bookmarkEnd w:id="25"/>
    <w:p>
      <w:pPr>
        <w:ind w:right="40"/>
        <w:spacing w:after="0" w:line="245" w:lineRule="auto"/>
        <w:rPr>
          <w:sz w:val="20"/>
          <w:szCs w:val="20"/>
          <w:color w:val="auto"/>
        </w:rPr>
      </w:pPr>
      <w:r>
        <w:rPr>
          <w:rFonts w:ascii="Times New Roman" w:cs="Times New Roman" w:eastAsia="Times New Roman" w:hAnsi="Times New Roman"/>
          <w:sz w:val="20"/>
          <w:szCs w:val="20"/>
          <w:color w:val="auto"/>
        </w:rPr>
        <w:t>Biomea Fusion, Inc., the Biomea logo, FUSION</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System and our other registered or common law trademarks, trade names or service marks appearing in this Annual Report on Form 10-K are owned by us. This Annual Report on Form 10-K contains references to our trademarks and to trademarks belonging to other entities. Solely for convenience, trademarks and trade names referred to in this Annual Report on Form 10-K,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Our Annual Reports on Form 10</w:t>
      </w:r>
      <w:r>
        <w:rPr>
          <w:rFonts w:ascii="Arial" w:cs="Arial" w:eastAsia="Arial" w:hAnsi="Arial"/>
          <w:sz w:val="20"/>
          <w:szCs w:val="20"/>
          <w:color w:val="auto"/>
        </w:rPr>
        <w:t>̻</w:t>
      </w:r>
      <w:r>
        <w:rPr>
          <w:rFonts w:ascii="Times New Roman" w:cs="Times New Roman" w:eastAsia="Times New Roman" w:hAnsi="Times New Roman"/>
          <w:sz w:val="20"/>
          <w:szCs w:val="20"/>
          <w:color w:val="auto"/>
        </w:rPr>
        <w:t>K, Quarterly Reports on Form 10</w:t>
      </w:r>
      <w:r>
        <w:rPr>
          <w:rFonts w:ascii="Arial" w:cs="Arial" w:eastAsia="Arial" w:hAnsi="Arial"/>
          <w:sz w:val="20"/>
          <w:szCs w:val="20"/>
          <w:color w:val="auto"/>
        </w:rPr>
        <w:t>̻</w:t>
      </w:r>
      <w:r>
        <w:rPr>
          <w:rFonts w:ascii="Times New Roman" w:cs="Times New Roman" w:eastAsia="Times New Roman" w:hAnsi="Times New Roman"/>
          <w:sz w:val="20"/>
          <w:szCs w:val="20"/>
          <w:color w:val="auto"/>
        </w:rPr>
        <w:t>Q, Current Reports on Form 8</w:t>
      </w:r>
      <w:r>
        <w:rPr>
          <w:rFonts w:ascii="Arial" w:cs="Arial" w:eastAsia="Arial" w:hAnsi="Arial"/>
          <w:sz w:val="20"/>
          <w:szCs w:val="20"/>
          <w:color w:val="auto"/>
        </w:rPr>
        <w:t>̻</w:t>
      </w:r>
      <w:r>
        <w:rPr>
          <w:rFonts w:ascii="Times New Roman" w:cs="Times New Roman" w:eastAsia="Times New Roman" w:hAnsi="Times New Roman"/>
          <w:sz w:val="20"/>
          <w:szCs w:val="20"/>
          <w:color w:val="auto"/>
        </w:rPr>
        <w:t>K, proxy and information statements and amendments to reports filed pursuant to Sections 13(a), and 15(d) of the Securities Exchange Act of 1934, as amended (Exchange Act) are filed with the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the “Investors</w:t>
      </w:r>
    </w:p>
    <w:p>
      <w:pPr>
        <w:spacing w:after="0" w:line="2" w:lineRule="exact"/>
        <w:rPr>
          <w:sz w:val="20"/>
          <w:szCs w:val="20"/>
          <w:color w:val="auto"/>
        </w:rPr>
      </w:pPr>
    </w:p>
    <w:p>
      <w:pPr>
        <w:ind w:right="40"/>
        <w:spacing w:after="0" w:line="244" w:lineRule="auto"/>
        <w:tabs>
          <w:tab w:leader="none" w:pos="20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Media” section of our website when such reports are available on the SEC’s website. The contents of websites referred to above are not incorporated into this Annual Report on Form 10-K. Further, our references to the URLs for these websites are intended to be inactive textual references only.</w:t>
      </w:r>
    </w:p>
    <w:p>
      <w:pPr>
        <w:sectPr>
          <w:pgSz w:w="12240" w:h="15840" w:orient="portrait"/>
          <w:cols w:equalWidth="0" w:num="1">
            <w:col w:w="10040"/>
          </w:cols>
          <w:pgMar w:left="1080" w:top="105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40"/>
          </w:cols>
          <w:pgMar w:left="1080" w:top="1056" w:right="1120" w:bottom="175"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i w:val="1"/>
          <w:iCs w:val="1"/>
          <w:color w:val="auto"/>
        </w:rPr>
        <w:t>Our business is subject to various risks and uncertainties, including those described below, that we believe apply to our business and the industry in which we operate. You should carefully consider these risks, as well as the other information in this Annual Report on Form 10-K,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w:t>
      </w:r>
    </w:p>
    <w:p>
      <w:pPr>
        <w:spacing w:after="0" w:line="1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20"/>
          <w:szCs w:val="20"/>
          <w:b w:val="1"/>
          <w:bCs w:val="1"/>
          <w:color w:val="auto"/>
        </w:rPr>
        <w:t>Risks Related to Our Limited Operating History, Business, Financial Condition, Results of Operations, and Need for Additional Capital</w:t>
      </w:r>
    </w:p>
    <w:p>
      <w:pPr>
        <w:spacing w:after="0" w:line="36"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have a limited operating history, limited experience in conducting clinical trials, have not completed the clinical development of any product candidates, have no products approved for commercial sale, and have not generated any revenue, which may make it difficult for you to evaluate our current business and likelihood of success and viability.</w:t>
      </w:r>
    </w:p>
    <w:p>
      <w:pPr>
        <w:spacing w:after="0" w:line="5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We are a clinical-stage biotechnology company with a limited operating history with which investors can evaluate our business and prospects. We commenced operations in August 2017, have not completed the clinical development of any product candidates, have no products approved for commercial sale and have never generated any revenue, and our operations to date have been primarily limited to organizing and staffing our company, business planning, raising capital, conducting discovery and research activities, filing patent applications, identifying potential product candidates, undertaking preclinical studies, preparing for and initiating our initial clinical trials, and establishing arrangements with third parties for the manufacture of initial quantities of product candidates. Our lead product candidate, icovamenib, is currently under investigation in Phase II clinical trials in type 2 diabetes. In September 2025, we announced that we received IND clearance from the FDA for BMF-650, and initiated our ongoing Phase I trial in obese, otherwise healthy volunteers. In January 2025, we announced that we plan to conclude our studies exploring icovamenib’s potential in oncology and explore partnerships to further advance our oncology assets, including BMF-500.</w:t>
      </w:r>
    </w:p>
    <w:p>
      <w:pPr>
        <w:spacing w:after="0" w:line="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have limited experience as a company in conducting clinical trials and have not successfully completed the clinical development of any product candidates to date. Consequently, any predictions you make about our future success or viability may not be as accurate as they could be if we had a longer operating history.</w:t>
      </w:r>
    </w:p>
    <w:p>
      <w:pPr>
        <w:spacing w:after="0" w:line="6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7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68"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net losses in each period since our inception, and we expect to incur significant net losses for the foreseeable future.</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early in our development efforts and have not yet completed the development of any of our product candidates. We have no products approved for commercial sale and have not generated any revenue from product sales to date, and we continue to incur significant research and development and other expenses related to our ongoing operations.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 We have financed our operations primarily through sales of our common stock, warrants and convertible preferred stock.</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80"/>
          </w:cols>
          <w:pgMar w:left="1080" w:top="1056" w:right="1080" w:bottom="175" w:gutter="0" w:footer="0" w:header="0"/>
          <w:type w:val="continuous"/>
        </w:sectPr>
      </w:pPr>
    </w:p>
    <w:bookmarkStart w:id="27" w:name="page28"/>
    <w:bookmarkEnd w:id="27"/>
    <w:p>
      <w:pPr>
        <w:ind w:right="320"/>
        <w:spacing w:after="0" w:line="247" w:lineRule="auto"/>
        <w:rPr>
          <w:sz w:val="20"/>
          <w:szCs w:val="20"/>
          <w:color w:val="auto"/>
        </w:rPr>
      </w:pPr>
      <w:r>
        <w:rPr>
          <w:rFonts w:ascii="Times New Roman" w:cs="Times New Roman" w:eastAsia="Times New Roman" w:hAnsi="Times New Roman"/>
          <w:sz w:val="20"/>
          <w:szCs w:val="20"/>
          <w:color w:val="auto"/>
        </w:rPr>
        <w:t>We have incurred significant net losses in each reporting period since we commenced operations in August 2017. Our net losses were $61.8 million and $138.4 million, for the years ended December 31, 2025 and 2024, respectively. As of December 31, 2025, we had an accumulated deficit of $449.0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w:t>
      </w:r>
    </w:p>
    <w:p>
      <w:pPr>
        <w:spacing w:after="0" w:line="94" w:lineRule="exact"/>
        <w:rPr>
          <w:sz w:val="20"/>
          <w:szCs w:val="20"/>
          <w:color w:val="auto"/>
        </w:rPr>
      </w:pPr>
    </w:p>
    <w:p>
      <w:pPr>
        <w:ind w:left="240" w:hanging="240"/>
        <w:spacing w:after="0"/>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continue our research and development efforts and submit additional INDs;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the clinical development of icovamenib for the treatment of patients with type 2 diabetes;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explore the potential clinical utility of icovamenib in other metabolic disorders, including pre-diabetes and obesity;</w:t>
      </w:r>
    </w:p>
    <w:p>
      <w:pPr>
        <w:spacing w:after="0" w:line="133" w:lineRule="exact"/>
        <w:rPr>
          <w:rFonts w:ascii="Arial" w:cs="Arial" w:eastAsia="Arial" w:hAnsi="Arial"/>
          <w:sz w:val="20"/>
          <w:szCs w:val="20"/>
          <w:color w:val="auto"/>
        </w:rPr>
      </w:pPr>
    </w:p>
    <w:p>
      <w:pPr>
        <w:ind w:left="240" w:right="80" w:hanging="240"/>
        <w:spacing w:after="0" w:line="276" w:lineRule="auto"/>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explore partnerships to further advance our oncology assets (BMF-500, a covalent inhibitor of FLT3, currently in a Phase I study), while concentrating internal resources on metabolic disorders;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conduct clinical development of BMF-650;</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seek marketing approvals for any product candidates that successfully complete clinical trials;</w:t>
      </w:r>
    </w:p>
    <w:p>
      <w:pPr>
        <w:spacing w:after="0" w:line="133" w:lineRule="exact"/>
        <w:rPr>
          <w:rFonts w:ascii="Arial" w:cs="Arial" w:eastAsia="Arial" w:hAnsi="Arial"/>
          <w:sz w:val="20"/>
          <w:szCs w:val="20"/>
          <w:color w:val="auto"/>
        </w:rPr>
      </w:pPr>
    </w:p>
    <w:p>
      <w:pPr>
        <w:ind w:left="240" w:right="160" w:hanging="240"/>
        <w:spacing w:after="0" w:line="276" w:lineRule="auto"/>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any delays or encounter any issues with any of the above, including but not limited to failed studies, complex results,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safety issues, or other regulatory challenges;</w:t>
      </w:r>
    </w:p>
    <w:p>
      <w:pPr>
        <w:spacing w:after="0" w:line="133" w:lineRule="exact"/>
        <w:rPr>
          <w:rFonts w:ascii="Arial" w:cs="Arial" w:eastAsia="Arial" w:hAnsi="Arial"/>
          <w:sz w:val="20"/>
          <w:szCs w:val="20"/>
          <w:color w:val="auto"/>
        </w:rPr>
      </w:pPr>
    </w:p>
    <w:p>
      <w:pPr>
        <w:ind w:left="240" w:right="60" w:hanging="240"/>
        <w:spacing w:after="0" w:line="276" w:lineRule="auto"/>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obtain, expand, maintain, enforce, and protect our intellectual property portfolio;</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hire additional clinical, regulatory, and scientific personnel; and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operate as a public company.</w:t>
      </w:r>
    </w:p>
    <w:p>
      <w:pPr>
        <w:spacing w:after="0" w:line="119"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8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and development of our product candidates.</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ability to become profitable depends upon our ability to generate revenue. We have not received marketing approval for any product candidate, and we have not generated any revenue from any product sales or other sources since our inception. We do not expect to generate revenue unless or until we successfully complete preclinical and clinical development and obtain regulatory approval of, and then successfully commercialize, at least one product candidate. Icovamenib, our lead product candidate, is advancing in clinical development. As such, we face significant translational risk as our product candidates advance further in clinical development, and promising results in preclinical studies or early clinical trials may not be replicated in later-stage clinical trials. If approved, icovamenib is not intended as a chronic therapy for insulin deficient diabetes, which could further limit our ability to achieve profitability.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103" w:lineRule="exact"/>
        <w:rPr>
          <w:sz w:val="20"/>
          <w:szCs w:val="20"/>
          <w:color w:val="auto"/>
        </w:rPr>
      </w:pPr>
    </w:p>
    <w:p>
      <w:pPr>
        <w:ind w:left="240" w:right="440" w:hanging="240"/>
        <w:spacing w:after="0" w:line="258" w:lineRule="auto"/>
        <w:tabs>
          <w:tab w:leader="none" w:pos="2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timely initiation and completion of our preclinical studies and clinical trials for icovamenib, BMF-650 and our future product candidates, which may be significantly slower or cost more than we currently anticipate and will depend substantially upon the performance of third-party contractors;</w:t>
      </w:r>
    </w:p>
    <w:p>
      <w:pPr>
        <w:spacing w:after="0" w:line="81" w:lineRule="exact"/>
        <w:rPr>
          <w:rFonts w:ascii="Arial" w:cs="Arial" w:eastAsia="Arial" w:hAnsi="Arial"/>
          <w:sz w:val="20"/>
          <w:szCs w:val="20"/>
          <w:color w:val="auto"/>
        </w:rPr>
      </w:pPr>
    </w:p>
    <w:p>
      <w:pPr>
        <w:ind w:left="240" w:right="160" w:hanging="240"/>
        <w:spacing w:after="0" w:line="276" w:lineRule="auto"/>
        <w:tabs>
          <w:tab w:leader="none" w:pos="2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and maintaining relationships with contract research organizations (CROs) and clinical sites for the ongoing clinical and preclinical development of icovamenib, BMF-650 and any future product candidates;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60"/>
          </w:cols>
          <w:pgMar w:left="1080" w:top="1060" w:right="1100" w:bottom="175" w:gutter="0" w:footer="0" w:header="0"/>
          <w:type w:val="continuous"/>
        </w:sectPr>
      </w:pPr>
    </w:p>
    <w:bookmarkStart w:id="28" w:name="page29"/>
    <w:bookmarkEnd w:id="28"/>
    <w:p>
      <w:pPr>
        <w:ind w:left="240" w:right="100" w:hanging="240"/>
        <w:spacing w:after="0" w:line="276" w:lineRule="auto"/>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complete IND-enabling studies and successfully submit and receive authorization to proceed under INDs or comparable regulatory applications;</w:t>
      </w:r>
    </w:p>
    <w:p>
      <w:pPr>
        <w:spacing w:after="0" w:line="64" w:lineRule="exact"/>
        <w:rPr>
          <w:rFonts w:ascii="Arial" w:cs="Arial" w:eastAsia="Arial" w:hAnsi="Arial"/>
          <w:sz w:val="20"/>
          <w:szCs w:val="20"/>
          <w:color w:val="auto"/>
        </w:rPr>
      </w:pPr>
    </w:p>
    <w:p>
      <w:pPr>
        <w:ind w:left="240" w:hanging="240"/>
        <w:spacing w:after="0" w:line="258" w:lineRule="auto"/>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81" w:lineRule="exact"/>
        <w:rPr>
          <w:rFonts w:ascii="Arial" w:cs="Arial" w:eastAsia="Arial" w:hAnsi="Arial"/>
          <w:sz w:val="20"/>
          <w:szCs w:val="20"/>
          <w:color w:val="auto"/>
        </w:rPr>
      </w:pPr>
    </w:p>
    <w:p>
      <w:pPr>
        <w:ind w:left="240" w:hanging="240"/>
        <w:spacing w:after="0" w:line="258" w:lineRule="auto"/>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demonstrate to the satisfaction of the FDA and comparable foreign regulatory authorities the safety, efficacy, consistent manufacturing quality, and acceptable risk-benefit profile of our novel small molecule product candidates or any future product candidates;</w:t>
      </w:r>
    </w:p>
    <w:p>
      <w:pPr>
        <w:spacing w:after="0" w:line="81" w:lineRule="exact"/>
        <w:rPr>
          <w:rFonts w:ascii="Arial" w:cs="Arial" w:eastAsia="Arial" w:hAnsi="Arial"/>
          <w:sz w:val="20"/>
          <w:szCs w:val="20"/>
          <w:color w:val="auto"/>
        </w:rPr>
      </w:pPr>
    </w:p>
    <w:p>
      <w:pPr>
        <w:ind w:left="240" w:right="760" w:hanging="240"/>
        <w:spacing w:after="0" w:line="276" w:lineRule="auto"/>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duration, and severity of potential side effects or other safety issues experienced with our product candidates or future product candidates, if any;</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timely receipt of necessary regulatory approvals from the FDA and comparable foreign regulatory authorities;</w:t>
      </w:r>
    </w:p>
    <w:p>
      <w:pPr>
        <w:spacing w:after="0" w:line="133" w:lineRule="exact"/>
        <w:rPr>
          <w:rFonts w:ascii="Arial" w:cs="Arial" w:eastAsia="Arial" w:hAnsi="Arial"/>
          <w:sz w:val="20"/>
          <w:szCs w:val="20"/>
          <w:color w:val="auto"/>
        </w:rPr>
      </w:pPr>
    </w:p>
    <w:p>
      <w:pPr>
        <w:ind w:left="240" w:right="160" w:hanging="240"/>
        <w:spacing w:after="0" w:line="276" w:lineRule="auto"/>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physicians, operators of clinics, and patients to utilize or adopt any of our product candidates or future product candidates over alternative or more conventional therapies;</w:t>
      </w:r>
    </w:p>
    <w:p>
      <w:pPr>
        <w:spacing w:after="0" w:line="64" w:lineRule="exact"/>
        <w:rPr>
          <w:rFonts w:ascii="Arial" w:cs="Arial" w:eastAsia="Arial" w:hAnsi="Arial"/>
          <w:sz w:val="20"/>
          <w:szCs w:val="20"/>
          <w:color w:val="auto"/>
        </w:rPr>
      </w:pPr>
    </w:p>
    <w:p>
      <w:pPr>
        <w:ind w:left="240" w:right="40" w:hanging="240"/>
        <w:spacing w:after="0" w:line="258" w:lineRule="auto"/>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actual and perceived availability, cost, risk profile and side effects and efficacy of our product candidates, if approved, relative to existing and future alternative therapies in our target indications, including diabetes and obesity, and competitive product candidates and technologies;</w:t>
      </w:r>
    </w:p>
    <w:p>
      <w:pPr>
        <w:spacing w:after="0" w:line="81" w:lineRule="exact"/>
        <w:rPr>
          <w:rFonts w:ascii="Arial" w:cs="Arial" w:eastAsia="Arial" w:hAnsi="Arial"/>
          <w:sz w:val="20"/>
          <w:szCs w:val="20"/>
          <w:color w:val="auto"/>
        </w:rPr>
      </w:pPr>
    </w:p>
    <w:p>
      <w:pPr>
        <w:ind w:left="240" w:right="220" w:hanging="240"/>
        <w:spacing w:after="0" w:line="258" w:lineRule="auto"/>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w:t>
      </w:r>
    </w:p>
    <w:p>
      <w:pPr>
        <w:spacing w:after="0" w:line="81" w:lineRule="exact"/>
        <w:rPr>
          <w:rFonts w:ascii="Arial" w:cs="Arial" w:eastAsia="Arial" w:hAnsi="Arial"/>
          <w:sz w:val="20"/>
          <w:szCs w:val="20"/>
          <w:color w:val="auto"/>
        </w:rPr>
      </w:pPr>
    </w:p>
    <w:p>
      <w:pPr>
        <w:jc w:val="both"/>
        <w:ind w:left="240" w:right="400" w:hanging="240"/>
        <w:spacing w:after="0" w:line="258" w:lineRule="auto"/>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81" w:lineRule="exact"/>
        <w:rPr>
          <w:rFonts w:ascii="Arial" w:cs="Arial" w:eastAsia="Arial" w:hAnsi="Arial"/>
          <w:sz w:val="20"/>
          <w:szCs w:val="20"/>
          <w:color w:val="auto"/>
        </w:rPr>
      </w:pPr>
    </w:p>
    <w:p>
      <w:pPr>
        <w:ind w:left="240" w:hanging="240"/>
        <w:spacing w:after="0"/>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patient demand for our current product candidates and any future product candidates, if approved;</w:t>
      </w:r>
    </w:p>
    <w:p>
      <w:pPr>
        <w:spacing w:after="0" w:line="133" w:lineRule="exact"/>
        <w:rPr>
          <w:rFonts w:ascii="Arial" w:cs="Arial" w:eastAsia="Arial" w:hAnsi="Arial"/>
          <w:sz w:val="20"/>
          <w:szCs w:val="20"/>
          <w:color w:val="auto"/>
        </w:rPr>
      </w:pPr>
    </w:p>
    <w:p>
      <w:pPr>
        <w:ind w:left="240" w:right="500" w:hanging="240"/>
        <w:spacing w:after="0" w:line="276" w:lineRule="auto"/>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enforce intellectual property rights in and to our product candidates or any future product candidates;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coverage and adequate reimbursement by third-party payors for our product candidates;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addressing any competing therapies and technological and market developments; and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attracting, hiring, and retaining qualified personnel.</w:t>
      </w:r>
    </w:p>
    <w:p>
      <w:pPr>
        <w:spacing w:after="0" w:line="11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adequate funding.</w:t>
      </w:r>
    </w:p>
    <w:p>
      <w:pPr>
        <w:spacing w:after="0" w:line="7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7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We are currently focused on the discovery and development of novel small molecules to treat patients with diabetes and obesity. We seek to maintain a process of prioritization and resource allocation among our programs to maintain a balance between advancing our current product candidates and any future product candidates. Although we had previously pursued the development of icovamenib in cancer and metabolic diseases, in January 2025, we announced that our strategic focus for icovamenib will be in metabolic disorders and that we will conclude our studies exploring BMF-500’s potential in oncology and explore partnerships to advance our oncology assets.</w:t>
      </w:r>
    </w:p>
    <w:p>
      <w:pPr>
        <w:sectPr>
          <w:pgSz w:w="12240" w:h="15840" w:orient="portrait"/>
          <w:cols w:equalWidth="0" w:num="1">
            <w:col w:w="10060"/>
          </w:cols>
          <w:pgMar w:left="1080" w:top="1074"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60"/>
          </w:cols>
          <w:pgMar w:left="1080" w:top="1074" w:right="1100" w:bottom="175" w:gutter="0" w:footer="0" w:header="0"/>
          <w:type w:val="continuous"/>
        </w:sectPr>
      </w:pPr>
    </w:p>
    <w:bookmarkStart w:id="29" w:name="page30"/>
    <w:bookmarkEnd w:id="29"/>
    <w:p>
      <w:pPr>
        <w:spacing w:after="0" w:line="243" w:lineRule="auto"/>
        <w:rPr>
          <w:sz w:val="20"/>
          <w:szCs w:val="20"/>
          <w:color w:val="auto"/>
        </w:rPr>
      </w:pPr>
      <w:r>
        <w:rPr>
          <w:rFonts w:ascii="Times New Roman" w:cs="Times New Roman" w:eastAsia="Times New Roman" w:hAnsi="Times New Roman"/>
          <w:sz w:val="20"/>
          <w:szCs w:val="20"/>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our determination to focus our internal resources on the development of icovamenib in metabolic disorders and seek partnerships to advance our oncology assets does not lead to clinical or commercial success, or we otherwise make incorrect determinations regarding the viability or market potential of any of our programs or product candidates or misread trends in the diabetes or obesity disease treatment landscape or in the pharmaceutical, biopharmaceutical or biotechnology industry more generally, our business, financial condition and results of operations could be materially adversely affected.</w:t>
      </w:r>
    </w:p>
    <w:p>
      <w:pPr>
        <w:spacing w:after="0" w:line="83" w:lineRule="exact"/>
        <w:rPr>
          <w:sz w:val="20"/>
          <w:szCs w:val="20"/>
          <w:color w:val="auto"/>
        </w:rPr>
      </w:pPr>
    </w:p>
    <w:p>
      <w:pPr>
        <w:jc w:val="both"/>
        <w:ind w:right="5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6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conduct clinical trials of, and seek marketing approval for our product candidates. Developing biopharmaceutical products, including conducting preclinical studies and clinical trials, is a very time-consuming, expensive and uncertain process that takes years to complete. Our operations have consumed significant amounts of cash since inception, and we expect our expenses to increase in connection with our ongoing activities, particularly as we conduct clinical trials of, and seek marketing approval for our current product candidates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ongoing and planned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our continuing operation as a public company. Accordingly, we will need to obtain substantial additional funding in order to continue our operations.</w:t>
      </w:r>
    </w:p>
    <w:p>
      <w:pPr>
        <w:spacing w:after="0" w:line="9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auto"/>
        </w:rPr>
        <w:t>As of December 31, 2025, we had $56.2 million in cash, cash equivalents and restricted cash. Based on our current operating plan, we believe that our existing cash and cash equivalents, and restricted cash as of December 31, 2025, without any future financing, will not be sufficient for us to continue as a going concern for at least one year from the issuance date of the financial statements appearing elsewhere in this Annual Report on Form 10-K. Our estimate as to how long we expect our existing capital resources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other rights to our product candidates in certain territories or indications that we would prefer to develop and commercialize ourselves. In addition, we may seek additional capital due to favorable market conditions or strategic considerations even if we believe we have sufficient funds for our current or future operating plans.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future capital requirements depend on many factors, including but not limited to:</w:t>
      </w:r>
    </w:p>
    <w:p>
      <w:pPr>
        <w:spacing w:after="0" w:line="134" w:lineRule="exact"/>
        <w:rPr>
          <w:sz w:val="20"/>
          <w:szCs w:val="20"/>
          <w:color w:val="auto"/>
        </w:rPr>
      </w:pPr>
    </w:p>
    <w:p>
      <w:pPr>
        <w:ind w:left="240" w:right="560" w:hanging="240"/>
        <w:spacing w:after="0" w:line="276" w:lineRule="auto"/>
        <w:tabs>
          <w:tab w:leader="none" w:pos="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timing, progress, duration, costs and results of our clinical trials, drug discovery, preclinical development activities, and laboratory testing for our product candidates;</w:t>
      </w:r>
    </w:p>
    <w:p>
      <w:pPr>
        <w:sectPr>
          <w:pgSz w:w="12240" w:h="15840" w:orient="portrait"/>
          <w:cols w:equalWidth="0" w:num="1">
            <w:col w:w="10080"/>
          </w:cols>
          <w:pgMar w:left="1080" w:top="1060" w:right="1080" w:bottom="175"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080" w:top="1060" w:right="1080" w:bottom="175" w:gutter="0" w:footer="0" w:header="0"/>
          <w:type w:val="continuous"/>
        </w:sectPr>
      </w:pPr>
    </w:p>
    <w:bookmarkStart w:id="30" w:name="page31"/>
    <w:bookmarkEnd w:id="30"/>
    <w:p>
      <w:pPr>
        <w:ind w:left="240" w:hanging="240"/>
        <w:spacing w:after="0"/>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scope of clinical programs we decide to pursue;</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and costs of manufacturing development and commercial manufacturing activities;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discover and develop additional product candidates;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 timing, and outcome of regulatory review of our product candidates;</w:t>
      </w:r>
    </w:p>
    <w:p>
      <w:pPr>
        <w:spacing w:after="0" w:line="133" w:lineRule="exact"/>
        <w:rPr>
          <w:rFonts w:ascii="Arial" w:cs="Arial" w:eastAsia="Arial" w:hAnsi="Arial"/>
          <w:sz w:val="20"/>
          <w:szCs w:val="20"/>
          <w:color w:val="auto"/>
        </w:rPr>
      </w:pPr>
    </w:p>
    <w:p>
      <w:pPr>
        <w:ind w:left="240" w:right="320" w:hanging="240"/>
        <w:spacing w:after="0" w:line="276" w:lineRule="auto"/>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timing of establishing sales and marketing capabilities, if any of our product candidates receive marketing approval;</w:t>
      </w:r>
    </w:p>
    <w:p>
      <w:pPr>
        <w:spacing w:after="0" w:line="64" w:lineRule="exact"/>
        <w:rPr>
          <w:rFonts w:ascii="Arial" w:cs="Arial" w:eastAsia="Arial" w:hAnsi="Arial"/>
          <w:sz w:val="20"/>
          <w:szCs w:val="20"/>
          <w:color w:val="auto"/>
        </w:rPr>
      </w:pPr>
    </w:p>
    <w:p>
      <w:pPr>
        <w:ind w:left="240" w:right="440" w:hanging="240"/>
        <w:spacing w:after="0" w:line="276" w:lineRule="auto"/>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rights, and defending intellectual property-related claims;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collaborations on favorable terms, if at all;</w:t>
      </w:r>
    </w:p>
    <w:p>
      <w:pPr>
        <w:spacing w:after="0" w:line="133" w:lineRule="exact"/>
        <w:rPr>
          <w:rFonts w:ascii="Arial" w:cs="Arial" w:eastAsia="Arial" w:hAnsi="Arial"/>
          <w:sz w:val="20"/>
          <w:szCs w:val="20"/>
          <w:color w:val="auto"/>
        </w:rPr>
      </w:pPr>
    </w:p>
    <w:p>
      <w:pPr>
        <w:ind w:left="240" w:right="40" w:hanging="240"/>
        <w:spacing w:after="0" w:line="276" w:lineRule="auto"/>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licensing, or other arrangements into which we may enter in the future, including the timing of receipt of any milestone or royalty payments under these agreements;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receipt, and amount of sales from our potential products;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our need and ability to hire additional management, scientific, and medical personnel;</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our need to implement additional internal systems and infrastructure, including financial and reporting systems;</w:t>
      </w:r>
    </w:p>
    <w:p>
      <w:pPr>
        <w:spacing w:after="0" w:line="133" w:lineRule="exact"/>
        <w:rPr>
          <w:rFonts w:ascii="Arial" w:cs="Arial" w:eastAsia="Arial" w:hAnsi="Arial"/>
          <w:sz w:val="20"/>
          <w:szCs w:val="20"/>
          <w:color w:val="auto"/>
        </w:rPr>
      </w:pPr>
    </w:p>
    <w:p>
      <w:pPr>
        <w:ind w:left="240" w:right="700" w:hanging="240"/>
        <w:spacing w:after="0" w:line="276" w:lineRule="auto"/>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our efforts to enhance operational systems and our ability to attract, hire, and retain qualified personnel, including personnel to support the development of our product candidates;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being a public company;</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associated with commercializing our product candidates, if they receive regulatory approval;</w:t>
      </w:r>
    </w:p>
    <w:p>
      <w:pPr>
        <w:spacing w:after="0" w:line="133" w:lineRule="exact"/>
        <w:rPr>
          <w:rFonts w:ascii="Arial" w:cs="Arial" w:eastAsia="Arial" w:hAnsi="Arial"/>
          <w:sz w:val="20"/>
          <w:szCs w:val="20"/>
          <w:color w:val="auto"/>
        </w:rPr>
      </w:pPr>
    </w:p>
    <w:p>
      <w:pPr>
        <w:ind w:left="240" w:right="600" w:hanging="240"/>
        <w:spacing w:after="0" w:line="276" w:lineRule="auto"/>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strategic collaborations and other similar partnerships for the development and commercialization of our product candidates; and</w:t>
      </w:r>
    </w:p>
    <w:p>
      <w:pPr>
        <w:spacing w:after="0" w:line="64" w:lineRule="exact"/>
        <w:rPr>
          <w:rFonts w:ascii="Arial" w:cs="Arial" w:eastAsia="Arial" w:hAnsi="Arial"/>
          <w:sz w:val="20"/>
          <w:szCs w:val="20"/>
          <w:color w:val="auto"/>
        </w:rPr>
      </w:pPr>
    </w:p>
    <w:p>
      <w:pPr>
        <w:ind w:left="240" w:right="360" w:hanging="240"/>
        <w:spacing w:after="0" w:line="276" w:lineRule="auto"/>
        <w:tabs>
          <w:tab w:leader="none" w:pos="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adverse global economic conditions on our business, which may exacerbate the magnitude of the factors discussed above.</w:t>
      </w:r>
    </w:p>
    <w:p>
      <w:pPr>
        <w:spacing w:after="0" w:line="5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and political conditions, inflationary pressures, increases in interest rates and disruptions to and volatility in the credit and financial markets in the United States and worldwide or other factors.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is substantial doubt about our ability to continue as a going concern.</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To date, we have not generated any revenues from product sales and have incurred significant operating losses in each year since our inception and we anticipate that losses may continue for the next several years or until such time as we can generate substantial revenues and achieve profitability. In connection with the preparation of this Annual Report on Form 10-K for the year ended December 31, 2025, our management has concluded that there is substantial doubt as to whether we can continue as a going concern for the twelve months following the issuance of this Annual Report on Form 10-K. Our ability to continue as a going concern is dependent upon raising capital to maintain current operations and continue research and development efforts. We plan to raise additional capital to fund our operations through public or private equity offerings, debt financings, and/or potential collaborations and license arrangement or other sources. There is no assurance, however, that any additional financing or any revenue-generating collaboration will be available when needed or that we will be able to obtain financing or enter into a collaboration on terms acceptable to us.</w:t>
      </w:r>
    </w:p>
    <w:p>
      <w:pPr>
        <w:spacing w:after="0" w:line="8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Based on our current operating plan, we will not be able to continue as a going concern over the next twelve months unless we raise additional capital by other means. These factors raise substantial doubt about our ability to continue as a going concern.</w:t>
      </w:r>
    </w:p>
    <w:p>
      <w:pPr>
        <w:sectPr>
          <w:pgSz w:w="12240" w:h="15840" w:orient="portrait"/>
          <w:cols w:equalWidth="0" w:num="1">
            <w:col w:w="10060"/>
          </w:cols>
          <w:pgMar w:left="1080" w:top="1074"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60"/>
          </w:cols>
          <w:pgMar w:left="1080" w:top="1074" w:right="1100" w:bottom="175" w:gutter="0" w:footer="0" w:header="0"/>
          <w:type w:val="continuous"/>
        </w:sectPr>
      </w:pPr>
    </w:p>
    <w:bookmarkStart w:id="31" w:name="page32"/>
    <w:bookmarkEnd w:id="31"/>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Volatility in capital markets and lower market prices for many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74"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Our operations consume substantial amounts of cash, and we intend to continue to make significant investments to support our business growth, pursue the preclinical and clinical development of our product candidates, respond to business challenges or opportunities, retain or expand our current levels of personnel,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91" w:lineRule="exact"/>
        <w:rPr>
          <w:sz w:val="20"/>
          <w:szCs w:val="20"/>
          <w:color w:val="auto"/>
        </w:rPr>
      </w:pPr>
    </w:p>
    <w:p>
      <w:pPr>
        <w:ind w:left="240" w:hanging="240"/>
        <w:spacing w:after="0"/>
        <w:tabs>
          <w:tab w:leader="none" w:pos="24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finance unanticipated working capital requirements;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develop or enhance our technological infrastructure and our existing research and development capabilities;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pursue acquisitions or other strategic relationships; and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respond to competitive pressures.</w:t>
      </w:r>
    </w:p>
    <w:p>
      <w:pPr>
        <w:spacing w:after="0" w:line="11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require us to pay significant interest on borrowings or involve additional restrictive covenants relating to our capital-raising activities and other financial and operational matters, which may make it more difficult for us to obtain additional capital and to pursue business opportunities, including potential acquisitions. Our inability to obtain adequate financing or financing on terms satisfactory to us could have a negative impact on our financial condition and we could face significant limitations on our ability to pursue our business strategies, and we may have to delay, reduce the scope of, suspend or eliminate one or more of our research-stage programs, clinical trials or future commercialization efforts.</w:t>
      </w:r>
    </w:p>
    <w:p>
      <w:pPr>
        <w:spacing w:after="0" w:line="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6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such as in the case of the closure and subsequent placement into receivership with the Federal Deposit Insurance Corporation (FDIC) of Silicon Valley Bank (SVB) in March 2023, and may in the future lead to market-wide liquidity problems. In these cases, borrowers under credit agreements, letters of credit and certain other financial instruments with any financial institution that is placed into receivership by the FDIC may be unable to access undrawn amounts thereunder. If any of our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8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or may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or may enter into financial or business relationships, but could also include factors involving financial markets or the financial services industry generally.</w:t>
      </w:r>
    </w:p>
    <w:p>
      <w:pPr>
        <w:spacing w:after="0" w:line="8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83" w:lineRule="exact"/>
        <w:rPr>
          <w:sz w:val="20"/>
          <w:szCs w:val="20"/>
          <w:color w:val="auto"/>
        </w:rPr>
      </w:pPr>
    </w:p>
    <w:p>
      <w:pPr>
        <w:ind w:left="240" w:hanging="240"/>
        <w:spacing w:after="0"/>
        <w:tabs>
          <w:tab w:leader="none" w:pos="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Delayed access to deposits or other financial assets or the uninsured loss of deposits or other financial assets;</w:t>
      </w:r>
    </w:p>
    <w:p>
      <w:pPr>
        <w:spacing w:after="0" w:line="133" w:lineRule="exact"/>
        <w:rPr>
          <w:rFonts w:ascii="Arial" w:cs="Arial" w:eastAsia="Arial" w:hAnsi="Arial"/>
          <w:sz w:val="20"/>
          <w:szCs w:val="20"/>
          <w:color w:val="auto"/>
        </w:rPr>
      </w:pPr>
    </w:p>
    <w:p>
      <w:pPr>
        <w:ind w:left="240" w:right="400" w:hanging="240"/>
        <w:spacing w:after="0" w:line="276" w:lineRule="auto"/>
        <w:tabs>
          <w:tab w:leader="none" w:pos="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Delayed or lost access to working capital sources and/or delays, inability or reductions in our ability to enter into new credit facilities or access other working capital resources;</w:t>
      </w:r>
    </w:p>
    <w:p>
      <w:pPr>
        <w:sectPr>
          <w:pgSz w:w="12240" w:h="15840" w:orient="portrait"/>
          <w:cols w:equalWidth="0" w:num="1">
            <w:col w:w="10060"/>
          </w:cols>
          <w:pgMar w:left="1080" w:top="1060" w:right="1100" w:bottom="175"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60"/>
          </w:cols>
          <w:pgMar w:left="1080" w:top="1060" w:right="1100" w:bottom="175" w:gutter="0" w:footer="0" w:header="0"/>
          <w:type w:val="continuous"/>
        </w:sectPr>
      </w:pPr>
    </w:p>
    <w:bookmarkStart w:id="32" w:name="page33"/>
    <w:bookmarkEnd w:id="32"/>
    <w:p>
      <w:pPr>
        <w:ind w:left="240" w:right="440" w:hanging="240"/>
        <w:spacing w:after="0" w:line="276" w:lineRule="auto"/>
        <w:tabs>
          <w:tab w:leader="none" w:pos="2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or actual breach of contractual obligations that require us to maintain letters of credit or other credit support arrangements; or</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or actual breach of financial covenants in any credit agreements or credit arrangements.</w:t>
      </w:r>
    </w:p>
    <w:p>
      <w:pPr>
        <w:spacing w:after="0" w:line="11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and otherwise have a material adverse impact on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Product Development</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discovery and development activities are focused on the development of novel small molecule therapies, initially targeted at menin, to treat patients with diabetes and obesity, and the approach we are taking to discover and develop such product candidates is novel, may never lead to marketable products and may not ultimately represent a significant market.</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discovery and development of small molecule therapies for patients with diabetes and obesity, with a particular focus on menin, is an emerging field. While there is scientific evidence to support the feasibility of developing covalent therapies, the significant complexity and potential safety and toxicity concerns associated with poorly designed covalent binders have historically discouraged drug developers from pursuing this drug class. In particular, a significant risk for toxicity is posed by these small molecule binders if they demonstrate a more promiscuous binding profile than intended, which can potentially cause unacceptable levels of off-target interactions. While we believe the significant expertise, foundational knowledge and capabilities that our management team members have accumulated over their extensive careers and that we have expanded and refined since our inception positions us to overcome such challenges, there can be no assurance that we will be successful. Even if we are able to limit off-target interaction, there can be no assurance that treatment with any of our novel small molecule product candidates will demonstrate the deep inactivation of their targets or offer greater therapeutic windows than conventional non-covalent drugs. It is possible that the targets we select, such as menin, could be effectively and safely treated by more frequent dosing of non-covalent drugs, which could limit the potential advantages or perceived benefits of our covalent and non-covalent product candidates.</w:t>
      </w:r>
    </w:p>
    <w:p>
      <w:pPr>
        <w:spacing w:after="0" w:line="8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Our lead product candidate, icovamenib, and our next-generation product candidate, BMF-650, are in clinical development. Our current data is primarily limited to clinical data in a relatively small patient population for icovamenib, as well as animal models and preclinical cell lines for icovamenib, BMF-500 and BMF-650. These results may not be replicated in larger clinical trials, or, in the case of preclinical data, translate into humans. As such, even if we are able to develop novel small molecule therapy candidates that demonstrate positive results in preclinical studies or early-stage clinical trials, there can be no assurance that such product candidates will subsequently demonstrate significant clinical benefit in vivo or in larger trials or will be well-tolerated.</w:t>
      </w:r>
    </w:p>
    <w:p>
      <w:pPr>
        <w:spacing w:after="0" w:line="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are early in our development efforts and are substantially dependent on our product candidates, icovamenib and BMF-650. If we are unable to advance icovamenib, BMF-650 or any other product candidates through clinical development, obtain regulatory approval and ultimately commercialize icovamenib, BMF-650 or any other product candidates, or experience significant delays in doing so, our business, financial condition and results of operations will be materially adversely affected.</w:t>
      </w:r>
    </w:p>
    <w:p>
      <w:pPr>
        <w:spacing w:after="0" w:line="7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are early in our development efforts. We have not yet successfully completed clinical testing of our lead product candidate, icovamenib, in human subjects for various types of type 2 diabetes or type 1 diabetes, or our second product candidate, BMF-650, as a next-generation oral GLP-1 RA. Our ability to generate product revenue, which we do not expect will occur for many years, if ever, will depend heavily on the successful clinical development and eventual commercialization of icovamenib, BMF-650. The success of our product candidates will depend on several factors, including the following:</w:t>
      </w:r>
    </w:p>
    <w:p>
      <w:pPr>
        <w:spacing w:after="0" w:line="94" w:lineRule="exact"/>
        <w:rPr>
          <w:sz w:val="20"/>
          <w:szCs w:val="20"/>
          <w:color w:val="auto"/>
        </w:rPr>
      </w:pPr>
    </w:p>
    <w:p>
      <w:pPr>
        <w:ind w:left="240" w:right="40" w:hanging="240"/>
        <w:spacing w:after="0" w:line="252" w:lineRule="auto"/>
        <w:tabs>
          <w:tab w:leader="none" w:pos="2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continue our business operations and product candidate research and development, and adapt to any changes in the regulatory approval process, manufacturing supply or clinical trial requirements, disruptions of staffing and operations at the FDA or other government agencies and timing due to any continued and prolonged public health emergencies;</w:t>
      </w:r>
    </w:p>
    <w:p>
      <w:pPr>
        <w:spacing w:after="0" w:line="87" w:lineRule="exact"/>
        <w:rPr>
          <w:rFonts w:ascii="Arial" w:cs="Arial" w:eastAsia="Arial" w:hAnsi="Arial"/>
          <w:sz w:val="20"/>
          <w:szCs w:val="20"/>
          <w:color w:val="auto"/>
        </w:rPr>
      </w:pPr>
    </w:p>
    <w:p>
      <w:pPr>
        <w:ind w:left="240" w:hanging="240"/>
        <w:spacing w:after="0"/>
        <w:tabs>
          <w:tab w:leader="none" w:pos="2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completion of preclinical studies, regulatory submissions and clinical trials;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authorization to proceed under INDs for our planned clinical trials or future clinical trials;</w:t>
      </w:r>
    </w:p>
    <w:p>
      <w:pPr>
        <w:sectPr>
          <w:pgSz w:w="12240" w:h="15840" w:orient="portrait"/>
          <w:cols w:equalWidth="0" w:num="1">
            <w:col w:w="10060"/>
          </w:cols>
          <w:pgMar w:left="1080" w:top="1074"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60"/>
          </w:cols>
          <w:pgMar w:left="1080" w:top="1074" w:right="1100" w:bottom="175" w:gutter="0" w:footer="0" w:header="0"/>
          <w:type w:val="continuous"/>
        </w:sectPr>
      </w:pPr>
    </w:p>
    <w:bookmarkStart w:id="33" w:name="page34"/>
    <w:bookmarkEnd w:id="33"/>
    <w:p>
      <w:pPr>
        <w:ind w:left="240" w:right="380" w:hanging="240"/>
        <w:spacing w:after="0" w:line="258" w:lineRule="auto"/>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initiation, patient enrollment in, and completion of current and future clinical trials, including our ongoing Phase II clinical trial of icovamenib in type 2 diabetes and our Phase II clinical trial of icovamenib in insulin-deficient type 2 diabetes as well as our Phase I clinical trial for BMF-650;</w:t>
      </w:r>
    </w:p>
    <w:p>
      <w:pPr>
        <w:spacing w:after="0" w:line="81" w:lineRule="exact"/>
        <w:rPr>
          <w:rFonts w:ascii="Arial" w:cs="Arial" w:eastAsia="Arial" w:hAnsi="Arial"/>
          <w:sz w:val="20"/>
          <w:szCs w:val="20"/>
          <w:color w:val="auto"/>
        </w:rPr>
      </w:pPr>
    </w:p>
    <w:p>
      <w:pPr>
        <w:ind w:left="240" w:hanging="240"/>
        <w:spacing w:after="0"/>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partnerships to further advance our oncology assets;</w:t>
      </w:r>
    </w:p>
    <w:p>
      <w:pPr>
        <w:spacing w:after="0" w:line="133" w:lineRule="exact"/>
        <w:rPr>
          <w:rFonts w:ascii="Arial" w:cs="Arial" w:eastAsia="Arial" w:hAnsi="Arial"/>
          <w:sz w:val="20"/>
          <w:szCs w:val="20"/>
          <w:color w:val="auto"/>
        </w:rPr>
      </w:pPr>
    </w:p>
    <w:p>
      <w:pPr>
        <w:ind w:left="240" w:right="160" w:hanging="240"/>
        <w:spacing w:after="0" w:line="258" w:lineRule="auto"/>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whether icovamenib, BMF-650 or any other product candidates that we may identify and pursue will demonstrate safety, tolerability and efficacy profiles that are satisfactory to the FDA or any foreign regulatory authority for marketing approval;</w:t>
      </w:r>
    </w:p>
    <w:p>
      <w:pPr>
        <w:spacing w:after="0" w:line="81" w:lineRule="exact"/>
        <w:rPr>
          <w:rFonts w:ascii="Arial" w:cs="Arial" w:eastAsia="Arial" w:hAnsi="Arial"/>
          <w:sz w:val="20"/>
          <w:szCs w:val="20"/>
          <w:color w:val="auto"/>
        </w:rPr>
      </w:pPr>
    </w:p>
    <w:p>
      <w:pPr>
        <w:ind w:left="240" w:hanging="240"/>
        <w:spacing w:after="0"/>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marketing approvals for our product candidates from applicable regulatory authorities;</w:t>
      </w:r>
    </w:p>
    <w:p>
      <w:pPr>
        <w:spacing w:after="0" w:line="133" w:lineRule="exact"/>
        <w:rPr>
          <w:rFonts w:ascii="Arial" w:cs="Arial" w:eastAsia="Arial" w:hAnsi="Arial"/>
          <w:sz w:val="20"/>
          <w:szCs w:val="20"/>
          <w:color w:val="auto"/>
        </w:rPr>
      </w:pPr>
    </w:p>
    <w:p>
      <w:pPr>
        <w:ind w:left="240" w:right="40" w:hanging="240"/>
        <w:spacing w:after="0" w:line="276" w:lineRule="auto"/>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any required post-marketing approval commitments to applicable regulatory authorities in order to maintain marketing authorization for any of our product candidates that receive regulatory approval;</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patent and trade secret protection and regulatory exclusivity for our product candidates;</w:t>
      </w:r>
    </w:p>
    <w:p>
      <w:pPr>
        <w:spacing w:after="0" w:line="133" w:lineRule="exact"/>
        <w:rPr>
          <w:rFonts w:ascii="Arial" w:cs="Arial" w:eastAsia="Arial" w:hAnsi="Arial"/>
          <w:sz w:val="20"/>
          <w:szCs w:val="20"/>
          <w:color w:val="auto"/>
        </w:rPr>
      </w:pPr>
    </w:p>
    <w:p>
      <w:pPr>
        <w:ind w:left="240" w:right="440" w:hanging="240"/>
        <w:spacing w:after="0" w:line="276" w:lineRule="auto"/>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making arrangements with third-party manufacturers, or establishing manufacturing capabilities, for both clinical and commercial supplies of our product candidates, if any product candidates are approved;</w:t>
      </w:r>
    </w:p>
    <w:p>
      <w:pPr>
        <w:spacing w:after="0" w:line="64" w:lineRule="exact"/>
        <w:rPr>
          <w:rFonts w:ascii="Arial" w:cs="Arial" w:eastAsia="Arial" w:hAnsi="Arial"/>
          <w:sz w:val="20"/>
          <w:szCs w:val="20"/>
          <w:color w:val="auto"/>
        </w:rPr>
      </w:pPr>
    </w:p>
    <w:p>
      <w:pPr>
        <w:ind w:left="240" w:right="280" w:hanging="240"/>
        <w:spacing w:after="0" w:line="276" w:lineRule="auto"/>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sales, marketing, and distribution capabilities and launching commercial sales of our products, if and when approved, whether alone or in collaboration with others;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our products, if and when approved, by patients, the medical community and third-party payors;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effectively competing with other therapies for diabetes and obesity;</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third-party coverage and adequate reimbursement; and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 continued acceptable safety profile of our products following approval.</w:t>
      </w:r>
    </w:p>
    <w:p>
      <w:pPr>
        <w:spacing w:after="0" w:line="11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could materially adversely affect our business. If we do not receive regulatory approvals for our current or future product candidates, we will not be able to continue our operations.</w:t>
      </w:r>
    </w:p>
    <w:p>
      <w:pPr>
        <w:spacing w:after="0" w:line="7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if ever. We may also experience delays in developing a sustainable, reproducible and scalable manufacturing process or transferring that process to commercial partners, which may prevent us from completing our preclinical studies or clinical trials or commercializing our product candidates on a timely or profitable basis, if at all. Changes in the manufacturing process or facilities will require further comparability analysis and approval by FDA before implementation, which could delay our preclinical studies, clinical trials and product candidate development, and could require additional preclinical studies and clinical trials, including bridging studies, to demonstrate consistent and continued safety and efficacy.</w:t>
      </w:r>
    </w:p>
    <w:p>
      <w:pPr>
        <w:spacing w:after="0" w:line="93"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20"/>
          <w:szCs w:val="20"/>
          <w:color w:val="auto"/>
        </w:rPr>
        <w:t>We have not previously submitted an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ectPr>
          <w:pgSz w:w="12240" w:h="15840" w:orient="portrait"/>
          <w:cols w:equalWidth="0" w:num="1">
            <w:col w:w="10080"/>
          </w:cols>
          <w:pgMar w:left="1080" w:top="1074"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80"/>
          </w:cols>
          <w:pgMar w:left="1080" w:top="1074" w:right="1080" w:bottom="175" w:gutter="0" w:footer="0" w:header="0"/>
          <w:type w:val="continuous"/>
        </w:sectPr>
      </w:pPr>
    </w:p>
    <w:bookmarkStart w:id="34" w:name="page35"/>
    <w:bookmarkEnd w:id="34"/>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Preclinical and clinical drug development is a lengthy and expensive process, with an uncertain outcome. Our preclinical and clinical programs may experience delays or may never be initiated or completed, which would adversely affect our ability to obtain regulatory approvals or commercialize our product candidates on a timely basis or at all, which could have an adverse effect on our business.</w:t>
      </w:r>
    </w:p>
    <w:p>
      <w:pPr>
        <w:spacing w:after="0" w:line="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color w:val="auto"/>
        </w:rPr>
        <w:t>In order to obtain FDA approval to market a novel small molecule product, we must demonstrate the safety and efficacy of our product candidates in humans to meet the FDA requirements. To meet these requirements, we will have to conduct adequate and well-controlled clinical trials. Clinical testing is expensive, time-consuming, and subject to uncertainty. Before we can commence clinical trials for a product candidate, we must complete extensive preclinical studies that support our planned and future INDs in the United States. At present, we are advancing two product candidates, icovamenib and BMF-</w:t>
      </w:r>
    </w:p>
    <w:p>
      <w:pPr>
        <w:spacing w:after="0" w:line="4" w:lineRule="exact"/>
        <w:rPr>
          <w:sz w:val="20"/>
          <w:szCs w:val="20"/>
          <w:color w:val="auto"/>
        </w:rPr>
      </w:pPr>
    </w:p>
    <w:p>
      <w:pPr>
        <w:spacing w:after="0" w:line="241" w:lineRule="auto"/>
        <w:tabs>
          <w:tab w:leader="none" w:pos="4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cannot be certain of the timely completion or outcome of our preclinical studies and clinical trials and cannot predict if the FDA will allow our existing and proposed clinical programs to proceed or continue to proceed, or if the outcomes of our preclinical studies and clinical trials will ultimately support further development of our programs. Our lead product candidate, icovamenib, is in clinical development for type 2 diabetes, and we cannot be sure that we will be able to submit INDs or similar applications with respect to additional indications or other product candidates on the timelines we expect, if at all, and we cannot be sure that submission of IND or similar applications will result in the FDA or other regulatory authorities allowing clinical trials to begin.</w:t>
      </w:r>
    </w:p>
    <w:p>
      <w:pPr>
        <w:spacing w:after="0" w:line="85"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Conducting preclinical testing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91" w:lineRule="exact"/>
        <w:rPr>
          <w:sz w:val="20"/>
          <w:szCs w:val="20"/>
          <w:color w:val="auto"/>
        </w:rPr>
      </w:pPr>
    </w:p>
    <w:p>
      <w:pPr>
        <w:ind w:left="240" w:hanging="240"/>
        <w:spacing w:after="0"/>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inability to generate sufficient preclinical or other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data to support the initiation of clinical trials;</w:t>
      </w:r>
    </w:p>
    <w:p>
      <w:pPr>
        <w:spacing w:after="0" w:line="133" w:lineRule="exact"/>
        <w:rPr>
          <w:rFonts w:ascii="Arial" w:cs="Arial" w:eastAsia="Arial" w:hAnsi="Arial"/>
          <w:sz w:val="20"/>
          <w:szCs w:val="20"/>
          <w:color w:val="auto"/>
        </w:rPr>
      </w:pPr>
    </w:p>
    <w:p>
      <w:pPr>
        <w:ind w:left="240" w:right="320" w:hanging="240"/>
        <w:spacing w:after="0" w:line="276" w:lineRule="auto"/>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timely completion of preclinical laboratory tests, animal studies and formulation studies in accordance with the FDA’s GLP requirements and other applicable regulations;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independent IRB ethics committee at each clinical site before each trial may be initiated;</w:t>
      </w:r>
    </w:p>
    <w:p>
      <w:pPr>
        <w:spacing w:after="0" w:line="133" w:lineRule="exact"/>
        <w:rPr>
          <w:rFonts w:ascii="Arial" w:cs="Arial" w:eastAsia="Arial" w:hAnsi="Arial"/>
          <w:sz w:val="20"/>
          <w:szCs w:val="20"/>
          <w:color w:val="auto"/>
        </w:rPr>
      </w:pPr>
    </w:p>
    <w:p>
      <w:pPr>
        <w:ind w:left="240" w:right="700" w:hanging="240"/>
        <w:spacing w:after="0" w:line="276" w:lineRule="auto"/>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reaching a consensus with regulatory agencies on study design and obtaining regulatory authorization to commence clinical trials;</w:t>
      </w:r>
    </w:p>
    <w:p>
      <w:pPr>
        <w:spacing w:after="0" w:line="64" w:lineRule="exact"/>
        <w:rPr>
          <w:rFonts w:ascii="Arial" w:cs="Arial" w:eastAsia="Arial" w:hAnsi="Arial"/>
          <w:sz w:val="20"/>
          <w:szCs w:val="20"/>
          <w:color w:val="auto"/>
        </w:rPr>
      </w:pPr>
    </w:p>
    <w:p>
      <w:pPr>
        <w:ind w:left="240" w:right="200" w:hanging="240"/>
        <w:spacing w:after="0" w:line="276" w:lineRule="auto"/>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identifying, recruiting and training suitable clinical investigators;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recruiting suitable participants to participate in our clinical trials;</w:t>
      </w:r>
    </w:p>
    <w:p>
      <w:pPr>
        <w:spacing w:after="0" w:line="133" w:lineRule="exact"/>
        <w:rPr>
          <w:rFonts w:ascii="Arial" w:cs="Arial" w:eastAsia="Arial" w:hAnsi="Arial"/>
          <w:sz w:val="20"/>
          <w:szCs w:val="20"/>
          <w:color w:val="auto"/>
        </w:rPr>
      </w:pPr>
    </w:p>
    <w:p>
      <w:pPr>
        <w:ind w:left="240" w:right="300" w:hanging="240"/>
        <w:spacing w:after="0" w:line="276" w:lineRule="auto"/>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manufacturing, testing, releasing, validating or importing/exporting sufficient stable quantities of our product candidates for use in clinical trials or the inability to do any of the foregoing;</w:t>
      </w:r>
    </w:p>
    <w:p>
      <w:pPr>
        <w:spacing w:after="0" w:line="64" w:lineRule="exact"/>
        <w:rPr>
          <w:rFonts w:ascii="Arial" w:cs="Arial" w:eastAsia="Arial" w:hAnsi="Arial"/>
          <w:sz w:val="20"/>
          <w:szCs w:val="20"/>
          <w:color w:val="auto"/>
        </w:rPr>
      </w:pPr>
    </w:p>
    <w:p>
      <w:pPr>
        <w:ind w:left="240" w:right="140" w:hanging="240"/>
        <w:spacing w:after="0" w:line="276" w:lineRule="auto"/>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temporary or permanent clinical hold by regulatory authorities;</w:t>
      </w:r>
    </w:p>
    <w:p>
      <w:pPr>
        <w:spacing w:after="0" w:line="133" w:lineRule="exact"/>
        <w:rPr>
          <w:rFonts w:ascii="Arial" w:cs="Arial" w:eastAsia="Arial" w:hAnsi="Arial"/>
          <w:sz w:val="20"/>
          <w:szCs w:val="20"/>
          <w:color w:val="auto"/>
        </w:rPr>
      </w:pPr>
    </w:p>
    <w:p>
      <w:pPr>
        <w:ind w:left="240" w:right="280" w:hanging="240"/>
        <w:spacing w:after="0" w:line="258" w:lineRule="auto"/>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81" w:lineRule="exact"/>
        <w:rPr>
          <w:rFonts w:ascii="Arial" w:cs="Arial" w:eastAsia="Arial" w:hAnsi="Arial"/>
          <w:sz w:val="20"/>
          <w:szCs w:val="20"/>
          <w:color w:val="auto"/>
        </w:rPr>
      </w:pPr>
    </w:p>
    <w:p>
      <w:pPr>
        <w:ind w:left="240" w:hanging="240"/>
        <w:spacing w:after="0" w:line="276" w:lineRule="auto"/>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recruiting, screening and enrolling participants and delays caused by participants withdrawing from clinical trials or failing to return for post-treatment follow-up;</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collaborating with patient groups and investigators;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failure by our CROs, other third parties or us to adhere to clinical trial protocols;</w:t>
      </w:r>
    </w:p>
    <w:p>
      <w:pPr>
        <w:spacing w:after="0" w:line="133" w:lineRule="exact"/>
        <w:rPr>
          <w:rFonts w:ascii="Arial" w:cs="Arial" w:eastAsia="Arial" w:hAnsi="Arial"/>
          <w:sz w:val="20"/>
          <w:szCs w:val="20"/>
          <w:color w:val="auto"/>
        </w:rPr>
      </w:pPr>
    </w:p>
    <w:p>
      <w:pPr>
        <w:ind w:left="240" w:right="280" w:hanging="240"/>
        <w:spacing w:after="0" w:line="276" w:lineRule="auto"/>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perform in accordance with the FDA’s or any other regulatory authority’s Good Clinical Practices (GCPs), or applicable regulatory guidelines in other countries;</w:t>
      </w:r>
    </w:p>
    <w:p>
      <w:pPr>
        <w:spacing w:after="0" w:line="64" w:lineRule="exact"/>
        <w:rPr>
          <w:rFonts w:ascii="Arial" w:cs="Arial" w:eastAsia="Arial" w:hAnsi="Arial"/>
          <w:sz w:val="20"/>
          <w:szCs w:val="20"/>
          <w:color w:val="auto"/>
        </w:rPr>
      </w:pPr>
    </w:p>
    <w:p>
      <w:pPr>
        <w:ind w:left="240" w:right="240" w:hanging="240"/>
        <w:spacing w:after="0" w:line="276" w:lineRule="auto"/>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occurrence of adverse events associated with the product candidate that are viewed to outweigh its potential benefits, or occurrence of adverse events in trial of the same class of agents conducted by other companies;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changes to the clinical trial protocols;</w:t>
      </w:r>
    </w:p>
    <w:p>
      <w:pPr>
        <w:sectPr>
          <w:pgSz w:w="12240" w:h="15840" w:orient="portrait"/>
          <w:cols w:equalWidth="0" w:num="1">
            <w:col w:w="10060"/>
          </w:cols>
          <w:pgMar w:left="1080" w:top="1060" w:right="1100" w:bottom="175"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60"/>
          </w:cols>
          <w:pgMar w:left="1080" w:top="1060" w:right="1100" w:bottom="175" w:gutter="0" w:footer="0" w:header="0"/>
          <w:type w:val="continuous"/>
        </w:sectPr>
      </w:pPr>
    </w:p>
    <w:bookmarkStart w:id="35" w:name="page36"/>
    <w:bookmarkEnd w:id="35"/>
    <w:p>
      <w:pPr>
        <w:ind w:left="240" w:hanging="240"/>
        <w:spacing w:after="0"/>
        <w:tabs>
          <w:tab w:leader="none" w:pos="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sites deviating from trial protocol or dropping out of a trial;</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regulatory requirements and guidance that require amending or submitting new clinical protocols;</w:t>
      </w:r>
    </w:p>
    <w:p>
      <w:pPr>
        <w:spacing w:after="0" w:line="133" w:lineRule="exact"/>
        <w:rPr>
          <w:rFonts w:ascii="Arial" w:cs="Arial" w:eastAsia="Arial" w:hAnsi="Arial"/>
          <w:sz w:val="20"/>
          <w:szCs w:val="20"/>
          <w:color w:val="auto"/>
        </w:rPr>
      </w:pPr>
    </w:p>
    <w:p>
      <w:pPr>
        <w:ind w:left="240" w:right="360" w:hanging="240"/>
        <w:spacing w:after="0" w:line="276" w:lineRule="auto"/>
        <w:tabs>
          <w:tab w:leader="none" w:pos="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on which a clinical development plan was based, which may require new or additional trials;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selection of clinical endpoints that require prolonged periods of observation or analyses of resulting data;</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clinical trials of our product candidates being greater than we anticipate;</w:t>
      </w:r>
    </w:p>
    <w:p>
      <w:pPr>
        <w:spacing w:after="0" w:line="133" w:lineRule="exact"/>
        <w:rPr>
          <w:rFonts w:ascii="Arial" w:cs="Arial" w:eastAsia="Arial" w:hAnsi="Arial"/>
          <w:sz w:val="20"/>
          <w:szCs w:val="20"/>
          <w:color w:val="auto"/>
        </w:rPr>
      </w:pPr>
    </w:p>
    <w:p>
      <w:pPr>
        <w:ind w:left="240" w:right="220" w:hanging="240"/>
        <w:spacing w:after="0" w:line="276" w:lineRule="auto"/>
        <w:tabs>
          <w:tab w:leader="none" w:pos="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4" w:lineRule="exact"/>
        <w:rPr>
          <w:rFonts w:ascii="Arial" w:cs="Arial" w:eastAsia="Arial" w:hAnsi="Arial"/>
          <w:sz w:val="20"/>
          <w:szCs w:val="20"/>
          <w:color w:val="auto"/>
        </w:rPr>
      </w:pPr>
    </w:p>
    <w:p>
      <w:pPr>
        <w:ind w:left="240" w:right="220" w:hanging="240"/>
        <w:spacing w:after="0" w:line="276" w:lineRule="auto"/>
        <w:tabs>
          <w:tab w:leader="none" w:pos="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transfer of manufacturing processes to larger-scale facilities operated by a contract manufacturing organization (CMO), and delays or failure by our CMOs or us to make any necessary changes to such manufacturing process; and</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third parties being unwilling or unable to satisfy their contractual obligations to us.</w:t>
      </w:r>
    </w:p>
    <w:p>
      <w:pPr>
        <w:spacing w:after="0" w:line="11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addition, disruptions caused by continued and prolonged public health emergencies, may increase the likelihood that we encounter such difficulties or delays in initiating, enrolling, conducting or completing our planned and ongoing preclinical studies and clinical trials. Any inability to successfully initiate or complete preclinical studies or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if and when approved, have patent protection and may allow our competitors to bring products to market before we do, which could impair our ability to successfully commercialize our product candidates and may seriously harm our business.</w:t>
      </w:r>
    </w:p>
    <w:p>
      <w:pPr>
        <w:spacing w:after="0" w:line="8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86"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such as the previous clinical hold imposed by the FDA on our INDs for icovamenib in type 1 and type 2 diabetes, which was lifted in September 2024,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ectPr>
          <w:pgSz w:w="12240" w:h="15840" w:orient="portrait"/>
          <w:cols w:equalWidth="0" w:num="1">
            <w:col w:w="10040"/>
          </w:cols>
          <w:pgMar w:left="1080" w:top="1074"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40"/>
          </w:cols>
          <w:pgMar w:left="1080" w:top="1074" w:right="1120" w:bottom="175" w:gutter="0" w:footer="0" w:header="0"/>
          <w:type w:val="continuous"/>
        </w:sectPr>
      </w:pPr>
    </w:p>
    <w:bookmarkStart w:id="36" w:name="page37"/>
    <w:bookmarkEnd w:id="36"/>
    <w:p>
      <w:pPr>
        <w:ind w:right="28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will be required to demonstrate with substantial evidence through well-controlled clinical trials that our product candidates are safe and effective before we can seek regulatory and marketing approvals for their commercial sale. Success in preclinical studies does not mean that future clinical trials will be successful. For instance, we do not know whether icovamenib, or BMF-650 will perform in clinical trials as they have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product candidates, which can cause side effects or adverse events that are unrelated to our product candidates. As a result, assessments of efficacy can vary widely for a particular participant, and from patient to patient and site to site within a clinical trial. This subjectivity can increase the uncertainty of, and adversely impact, our clinical trial outcomes.</w:t>
      </w:r>
    </w:p>
    <w:p>
      <w:pPr>
        <w:spacing w:after="0" w:line="8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face risks related to global health emergencies such as a pandemic, epidemic, or outbreak of an infectious disease, which could materially adversely impact our business, results of operations, and financial condition, including our preclinical studies and clinical trials.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Any global health emergency such as a pandemic, epidemic, or outbreak of an infectious disease, we have experienced, and may in the future experience disruptions that could severely impact our business, preclinical studies and clinical trials, including:</w:t>
      </w:r>
    </w:p>
    <w:p>
      <w:pPr>
        <w:spacing w:after="0" w:line="83" w:lineRule="exact"/>
        <w:rPr>
          <w:sz w:val="20"/>
          <w:szCs w:val="20"/>
          <w:color w:val="auto"/>
        </w:rPr>
      </w:pPr>
    </w:p>
    <w:p>
      <w:pPr>
        <w:ind w:left="280" w:right="440" w:hanging="280"/>
        <w:spacing w:after="0" w:line="276" w:lineRule="auto"/>
        <w:tabs>
          <w:tab w:leader="none" w:pos="2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difficulties in clinical site initiation, including difficulties in recruiting CROs for our preclinical studies and clinical site investigators and clinical site staff for our ongoing and planned clinical trials;</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difficulties in enrolling and retaining participants in our ongoing and planned clinical trials;</w:t>
      </w:r>
    </w:p>
    <w:p>
      <w:pPr>
        <w:spacing w:after="0" w:line="133" w:lineRule="exact"/>
        <w:rPr>
          <w:rFonts w:ascii="Arial" w:cs="Arial" w:eastAsia="Arial" w:hAnsi="Arial"/>
          <w:sz w:val="20"/>
          <w:szCs w:val="20"/>
          <w:color w:val="auto"/>
        </w:rPr>
      </w:pPr>
    </w:p>
    <w:p>
      <w:pPr>
        <w:ind w:left="280" w:right="200" w:hanging="280"/>
        <w:spacing w:after="0" w:line="276" w:lineRule="auto"/>
        <w:tabs>
          <w:tab w:leader="none" w:pos="2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healthcare resources away from the conduct of clinical trials, including the diversion of hospitals serving as our clinical trial sites and hospital staff supporting the conduct of our clinical trials;</w:t>
      </w:r>
    </w:p>
    <w:p>
      <w:pPr>
        <w:spacing w:after="0" w:line="64" w:lineRule="exact"/>
        <w:rPr>
          <w:rFonts w:ascii="Arial" w:cs="Arial" w:eastAsia="Arial" w:hAnsi="Arial"/>
          <w:sz w:val="20"/>
          <w:szCs w:val="20"/>
          <w:color w:val="auto"/>
        </w:rPr>
      </w:pPr>
    </w:p>
    <w:p>
      <w:pPr>
        <w:ind w:left="280" w:right="160" w:hanging="280"/>
        <w:spacing w:after="0" w:line="252" w:lineRule="auto"/>
        <w:tabs>
          <w:tab w:leader="none" w:pos="2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 of key clinical trial activities, such as clinical trial site data monitoring, due to limitations on travel imposed or recommended by federal or state governments, employers and others or interruption of clinical trial participant visits and study procedures (such as endoscopies that are deemed non-essential), which may impact the integrity of participant data and clinical study endpoints;</w:t>
      </w:r>
    </w:p>
    <w:p>
      <w:pPr>
        <w:spacing w:after="0" w:line="87" w:lineRule="exact"/>
        <w:rPr>
          <w:rFonts w:ascii="Arial" w:cs="Arial" w:eastAsia="Arial" w:hAnsi="Arial"/>
          <w:sz w:val="20"/>
          <w:szCs w:val="20"/>
          <w:color w:val="auto"/>
        </w:rPr>
      </w:pPr>
    </w:p>
    <w:p>
      <w:pPr>
        <w:ind w:left="280" w:right="40" w:hanging="280"/>
        <w:spacing w:after="0" w:line="276" w:lineRule="auto"/>
        <w:tabs>
          <w:tab w:leader="none" w:pos="2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 or delays in the operations of the FDA or other regulatory authorities, which may impact review and approval timelines;</w:t>
      </w:r>
    </w:p>
    <w:p>
      <w:pPr>
        <w:spacing w:after="0" w:line="64" w:lineRule="exact"/>
        <w:rPr>
          <w:rFonts w:ascii="Arial" w:cs="Arial" w:eastAsia="Arial" w:hAnsi="Arial"/>
          <w:sz w:val="20"/>
          <w:szCs w:val="20"/>
          <w:color w:val="auto"/>
        </w:rPr>
      </w:pPr>
    </w:p>
    <w:p>
      <w:pPr>
        <w:ind w:left="280" w:right="580" w:hanging="280"/>
        <w:spacing w:after="0" w:line="276" w:lineRule="auto"/>
        <w:tabs>
          <w:tab w:leader="none" w:pos="2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 of, or delays in receiving, supplies of our product candidates from our CMOs due to staffing shortages, production slowdowns or stoppages and disruptions in delivery systems;</w:t>
      </w:r>
    </w:p>
    <w:p>
      <w:pPr>
        <w:spacing w:after="0" w:line="64" w:lineRule="exact"/>
        <w:rPr>
          <w:rFonts w:ascii="Arial" w:cs="Arial" w:eastAsia="Arial" w:hAnsi="Arial"/>
          <w:sz w:val="20"/>
          <w:szCs w:val="20"/>
          <w:color w:val="auto"/>
        </w:rPr>
      </w:pPr>
    </w:p>
    <w:p>
      <w:pPr>
        <w:jc w:val="both"/>
        <w:ind w:left="280" w:right="140" w:hanging="280"/>
        <w:spacing w:after="0" w:line="258" w:lineRule="auto"/>
        <w:tabs>
          <w:tab w:leader="none" w:pos="2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81" w:lineRule="exact"/>
        <w:rPr>
          <w:rFonts w:ascii="Arial" w:cs="Arial" w:eastAsia="Arial" w:hAnsi="Arial"/>
          <w:sz w:val="20"/>
          <w:szCs w:val="20"/>
          <w:color w:val="auto"/>
        </w:rPr>
      </w:pPr>
    </w:p>
    <w:p>
      <w:pPr>
        <w:ind w:left="280" w:hanging="280"/>
        <w:spacing w:after="0"/>
        <w:tabs>
          <w:tab w:leader="none" w:pos="2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interruptions or delays to our sourced discovery and clinical activities; and</w:t>
      </w:r>
    </w:p>
    <w:p>
      <w:pPr>
        <w:spacing w:after="0" w:line="133" w:lineRule="exact"/>
        <w:rPr>
          <w:rFonts w:ascii="Arial" w:cs="Arial" w:eastAsia="Arial" w:hAnsi="Arial"/>
          <w:sz w:val="20"/>
          <w:szCs w:val="20"/>
          <w:color w:val="auto"/>
        </w:rPr>
      </w:pPr>
    </w:p>
    <w:p>
      <w:pPr>
        <w:ind w:left="280" w:right="520" w:hanging="280"/>
        <w:spacing w:after="0" w:line="276" w:lineRule="auto"/>
        <w:tabs>
          <w:tab w:leader="none" w:pos="2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clinical site procedures and requirements as well as regulatory requirements for conducting clinical trials during any global health emergency.</w:t>
      </w:r>
    </w:p>
    <w:p>
      <w:pPr>
        <w:spacing w:after="0" w:line="5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and/or retention of eligible participants in clinical trials, our regulatory submissions or receipt of necessary marketing approvals could be delayed or prevented.</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80"/>
          </w:cols>
          <w:pgMar w:left="1080" w:top="1060" w:right="1080" w:bottom="175" w:gutter="0" w:footer="0" w:header="0"/>
          <w:type w:val="continuous"/>
        </w:sectPr>
      </w:pPr>
    </w:p>
    <w:bookmarkStart w:id="37" w:name="page38"/>
    <w:bookmarkEnd w:id="37"/>
    <w:p>
      <w:pPr>
        <w:ind w:right="200"/>
        <w:spacing w:after="0" w:line="249" w:lineRule="auto"/>
        <w:rPr>
          <w:sz w:val="20"/>
          <w:szCs w:val="20"/>
          <w:color w:val="auto"/>
        </w:rPr>
      </w:pPr>
      <w:r>
        <w:rPr>
          <w:rFonts w:ascii="Times New Roman" w:cs="Times New Roman" w:eastAsia="Times New Roman" w:hAnsi="Times New Roman"/>
          <w:sz w:val="20"/>
          <w:szCs w:val="20"/>
          <w:color w:val="auto"/>
        </w:rPr>
        <w:t>We may not be able to initiate or continue our ongoing and planned clinical trials on a timely basis or at all for our product candidates if we are unable to recruit and enroll a sufficient number of eligible participants to participate in these trials through completion of such trials as required by the FDA or other comparable foreign regulatory authorities. Participant enrollment is a significant factor in the timing of clinical trials. Our ability to enroll eligible participants may be limited or may result in slower enrollment than we anticipate.</w:t>
      </w:r>
    </w:p>
    <w:p>
      <w:pPr>
        <w:spacing w:after="0" w:line="7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Our clinical trials will compete with other clinical trials that are in the same therapeutic areas as our product candidates, and this competition reduces the number and types of participants available to us, as some participants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participants who are available for our clinical trials at such clinical trial sites. In addition, there may be limited participant pools from which to draw for clinical studies. In addition to the rarity of some diseases, the eligibility criteria of our clinical trials will further limit the pool of available study participants as we will require that participants have specific characteristics that we can measure or to assure their disease is either severe enough or not too advanced to include them in a study. Participant enrollment for our ongoing and planned clinical trials may be affected by other factors, including:</w:t>
      </w:r>
    </w:p>
    <w:p>
      <w:pPr>
        <w:spacing w:after="0" w:line="96" w:lineRule="exact"/>
        <w:rPr>
          <w:sz w:val="20"/>
          <w:szCs w:val="20"/>
          <w:color w:val="auto"/>
        </w:rPr>
      </w:pPr>
    </w:p>
    <w:p>
      <w:pPr>
        <w:ind w:left="240" w:right="980" w:hanging="240"/>
        <w:spacing w:after="0" w:line="276" w:lineRule="auto"/>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identify clinical trial sites and recruit clinical trial investigators with the appropriate capabilities, competencies and experiences;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size and nature of the participant population;</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133" w:lineRule="exact"/>
        <w:rPr>
          <w:rFonts w:ascii="Arial" w:cs="Arial" w:eastAsia="Arial" w:hAnsi="Arial"/>
          <w:sz w:val="20"/>
          <w:szCs w:val="20"/>
          <w:color w:val="auto"/>
        </w:rPr>
      </w:pPr>
    </w:p>
    <w:p>
      <w:pPr>
        <w:ind w:left="240" w:right="840" w:hanging="240"/>
        <w:spacing w:after="0" w:line="276" w:lineRule="auto"/>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and efficacy of approved drugs or other methods of treatment for the disease under investigation, or availability of competing clinical trials;</w:t>
      </w:r>
    </w:p>
    <w:p>
      <w:pPr>
        <w:spacing w:after="0" w:line="64" w:lineRule="exact"/>
        <w:rPr>
          <w:rFonts w:ascii="Arial" w:cs="Arial" w:eastAsia="Arial" w:hAnsi="Arial"/>
          <w:sz w:val="20"/>
          <w:szCs w:val="20"/>
          <w:color w:val="auto"/>
        </w:rPr>
      </w:pPr>
    </w:p>
    <w:p>
      <w:pPr>
        <w:ind w:left="240" w:hanging="240"/>
        <w:spacing w:after="0" w:line="276" w:lineRule="auto"/>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design of clinical trials and whether the FDA or foreign regulatory agencies agree to the design and implementation of the trial;</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participant eligibility criteria for the trial in question as defined in the protocol;</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perceived risks and benefits of the product candidate under study;</w:t>
      </w:r>
    </w:p>
    <w:p>
      <w:pPr>
        <w:spacing w:after="0" w:line="133" w:lineRule="exact"/>
        <w:rPr>
          <w:rFonts w:ascii="Arial" w:cs="Arial" w:eastAsia="Arial" w:hAnsi="Arial"/>
          <w:sz w:val="20"/>
          <w:szCs w:val="20"/>
          <w:color w:val="auto"/>
        </w:rPr>
      </w:pPr>
    </w:p>
    <w:p>
      <w:pPr>
        <w:ind w:left="240" w:hanging="240"/>
        <w:spacing w:after="0" w:line="258" w:lineRule="auto"/>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clinicians’ and participants’ perceptions as to the potential advantages of the product candidate being studied in relation to other available therapies, including any new products that may be approved or future product candidates being investigated for the indications we are pursuing;</w:t>
      </w:r>
    </w:p>
    <w:p>
      <w:pPr>
        <w:spacing w:after="0" w:line="81" w:lineRule="exact"/>
        <w:rPr>
          <w:rFonts w:ascii="Arial" w:cs="Arial" w:eastAsia="Arial" w:hAnsi="Arial"/>
          <w:sz w:val="20"/>
          <w:szCs w:val="20"/>
          <w:color w:val="auto"/>
        </w:rPr>
      </w:pPr>
    </w:p>
    <w:p>
      <w:pPr>
        <w:ind w:left="240" w:right="600" w:hanging="240"/>
        <w:spacing w:after="0" w:line="276" w:lineRule="auto"/>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clinicians’ willingness to screen their participants for biomarkers to indicate which participants may be eligible for enrollment in our clinical trials;</w:t>
      </w:r>
    </w:p>
    <w:p>
      <w:pPr>
        <w:spacing w:after="0" w:line="64" w:lineRule="exact"/>
        <w:rPr>
          <w:rFonts w:ascii="Arial" w:cs="Arial" w:eastAsia="Arial" w:hAnsi="Arial"/>
          <w:sz w:val="20"/>
          <w:szCs w:val="20"/>
          <w:color w:val="auto"/>
        </w:rPr>
      </w:pPr>
    </w:p>
    <w:p>
      <w:pPr>
        <w:ind w:left="240" w:right="60" w:hanging="240"/>
        <w:spacing w:after="0" w:line="276" w:lineRule="auto"/>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or temporary suspension of the enrollment of participants in our planned clinical trials due to any continued and prolonged public health emergency;</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obtain and maintain participant consents;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participant referral practices of physicians;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monitor participants adequately during and after treatment; and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proximity and availability of clinical trial sites for prospective participants.</w:t>
      </w:r>
    </w:p>
    <w:p>
      <w:pPr>
        <w:spacing w:after="0" w:line="11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These factors may make it difficult for us to enroll enough participants to complete our clinical trials in a timely and cost-effective manner. Our inability to enroll a sufficient number of eligible participants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eligible participants for our clinical trials, we may have difficulty maintaining participation in our clinical trials through the treatment and any follow-up periods.</w:t>
      </w:r>
    </w:p>
    <w:p>
      <w:pPr>
        <w:sectPr>
          <w:pgSz w:w="12240" w:h="15840" w:orient="portrait"/>
          <w:cols w:equalWidth="0" w:num="1">
            <w:col w:w="10020"/>
          </w:cols>
          <w:pgMar w:left="1080" w:top="1060" w:right="11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20"/>
          </w:cols>
          <w:pgMar w:left="1080" w:top="1060" w:right="1140" w:bottom="175" w:gutter="0" w:footer="0" w:header="0"/>
          <w:type w:val="continuous"/>
        </w:sectPr>
      </w:pPr>
    </w:p>
    <w:bookmarkStart w:id="38" w:name="page39"/>
    <w:bookmarkEnd w:id="38"/>
    <w:p>
      <w:pPr>
        <w:jc w:val="both"/>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6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Type 2 diabetes is a highly heterogeneous disease, and there are over sixty approved therapies being utilized in treating diabetes at various stages of the disease progression, with early lines of therapies largely genericized. There is also a significant industry pipeline of potentially emerging new treatments all addressing patients either in front line or as a follow-on treatment either in monotherapy or in combination.</w:t>
      </w:r>
    </w:p>
    <w:p>
      <w:pPr>
        <w:spacing w:after="0" w:line="7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expect to initially seek approval of our product candidates in second or later lines of therapy. Subsequently, depending on the nature of the clinical data and experience with any approved products or product candidates, if any, we may pursue approval as an earlier line therapy and potentially as a first line therapy. There is no guarantee, however, that our product candidates that we may identify and pursue, even if approved as a second or subsequent line of therapy, would be approved for an earlier line of therapy, and, prior to seeking any such approvals, we may have to conduct additional clinical trials.</w:t>
      </w:r>
    </w:p>
    <w:p>
      <w:pPr>
        <w:spacing w:after="0" w:line="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pharmaceutical industry is characterized by rapidly advancing technologies, intense competition, and a strong emphasis on proprietary products. While we believe that icovamenib, BMF- 650, knowledge, and scientific resources provide us with competitive advantages, we face potential competition from many different sources, including commercial biopharmaceutical enterprises, academic institutions, government agencies and private and public research institutions. 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Any drug candidates that we successfully develop and commercialize will likely compete with existing therapies and new therapies that may become available in the future.</w:t>
      </w:r>
    </w:p>
    <w:p>
      <w:pPr>
        <w:spacing w:after="0" w:line="82"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incidence and prevalence for target patient populations of icovamenib and BMF-650 are based on estimates and third-party sources. If the market opportunities for icovamenib and BMF-650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77"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and determining indications on which to focus in non-clinical or clinical trials.</w:t>
      </w:r>
    </w:p>
    <w:p>
      <w:pPr>
        <w:spacing w:after="0" w:line="6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The incidence and prevalence for target patient populations of icovamenib and BMF-650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icovamenib, BMF-650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86"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we do.</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In addition, we believe we are currently the only company in the United States clinically developing irreversible covalent binders specifically against menin. We define ourselves as targeted drug developers focused on covalent small molecule therapeutics and as such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1060" w:right="1080" w:bottom="175" w:gutter="0" w:footer="0" w:header="0"/>
          <w:type w:val="continuous"/>
        </w:sectPr>
      </w:pPr>
    </w:p>
    <w:bookmarkStart w:id="39" w:name="page40"/>
    <w:bookmarkEnd w:id="39"/>
    <w:p>
      <w:pPr>
        <w:spacing w:after="0" w:line="244" w:lineRule="auto"/>
        <w:rPr>
          <w:sz w:val="20"/>
          <w:szCs w:val="20"/>
          <w:color w:val="auto"/>
        </w:rPr>
      </w:pPr>
      <w:r>
        <w:rPr>
          <w:rFonts w:ascii="Times New Roman" w:cs="Times New Roman" w:eastAsia="Times New Roman" w:hAnsi="Times New Roman"/>
          <w:sz w:val="20"/>
          <w:szCs w:val="20"/>
          <w:color w:val="auto"/>
        </w:rPr>
        <w:t>Smaller or early-stage companies may also prove to be significant competitors, particularly through collaborative arrangements with large and established companies. These companies may be or may become interested in discovery and development of covalent binders that may compete with us against menin or related targets at scale and in an integrated way. Even if they do not advance programs with the same mechanism of action as ours, these companies could develop products or product candidates that are competitive with ours or that have a superior product profile, and may do so at a rapid pace. These competitors also compete with us in recruiting and retaining qualified scientific and management personnel and establishing clinical trial sites and participant enrollment in clinical trials, as well as in acquiring technologies complementary to, or necessary for, our programs. As a result, our competitors may discover, develop, license or commercialize products before or more successfully than we do. We face competition from segments of the pharmaceutical, biotechnology and other related markets that pursue the development of therapies that target binding against protein targets of interest to us.</w:t>
      </w:r>
    </w:p>
    <w:p>
      <w:pPr>
        <w:spacing w:after="0" w:line="8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To our knowledge, there are no clinical-stage programs that aim to specifically regenerate insulin-producing beta cells in the islets by targeting menin for diabetes. There are over 60 approved agents and therapies being utilized to address diabetes. Such approved agents and therapies are intended to provide specific benefits to patients; however, we are not aware of any successfully addressing the root cause of diabetes, a depleted pool of functional beta cells. Several programs are targeting beta cell proliferation, including DYRK1A inhibitors. However, in addition to specific safety challenges, studies have shown that this approach may not only proliferate beta cells but also other pancreatic cells, which would not necessarily improve the ratio of alpha to beta cells in the pancreas.</w:t>
      </w:r>
    </w:p>
    <w:p>
      <w:pPr>
        <w:spacing w:after="0" w:line="80"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0"/>
          <w:szCs w:val="20"/>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diabetes and obesity. Our competitors will also include companies that are or will be developing other targeted therapies, including small molecule, antibody, or protein degraders for the same indications that we are targeting. For example, the Wegovy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pill was approved in December 2025 and is indicated with a reduced calorie diet and increased physical activity for adults with obesity, or with overweight who also have weight-related medical problems, to help them lose weight and keep it off. If icovamenib, BMF-650 or our future product candidates do not offer sustainable advantages over competing products, we may otherwise not be able to successfully compete against current and future competitors.</w:t>
      </w:r>
    </w:p>
    <w:p>
      <w:pPr>
        <w:spacing w:after="0" w:line="9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Our competitors may obtain regulatory approval of their product candidates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7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Our competitors will also compete with us in recruiting and retaining qualified scientific, management and commercial personnel, establishing clinical trial sites and participant registration for clinical trials, as well as in acquiring technologies complementary to, or necessary for, our programs.</w:t>
      </w:r>
    </w:p>
    <w:p>
      <w:pPr>
        <w:spacing w:after="0" w:line="68"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color w:val="auto"/>
        </w:rPr>
        <w:t>Product candidates that we may successfully develop and commercialize will compete with existing therapies and new therapies that may become available in the future. The key competitive factors affecting the success of all of our product candidates, if approved, are likely to be their potency, selectivity, inactivation of the target, therapeutic window, safety, convenience, price, the level of generic competition, our ability to market and commercialize the product candidate and the availability of reimbursement from government and other third-party payors. For additional information regarding our competition, see the section of this Annual Report on Form 10-K titled “Business—Competition.”</w:t>
      </w:r>
    </w:p>
    <w:p>
      <w:pPr>
        <w:spacing w:after="0" w:line="80"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novel small molecule product candidates may cause significant adverse events, toxicities or other undesirable side effects when used alone or in combination with other approved products or investigational product candidates that may result in a safety profile that could prevent regulatory approval, prevent market acceptance, limit their commercial potential or result in significant negative consequences.</w:t>
      </w:r>
    </w:p>
    <w:p>
      <w:pPr>
        <w:spacing w:after="0" w:line="7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If our product candidates are associated with undesirable side effects or have unexpected characteristics in preclinical studies or clinical trials when used alone or in combination with other approved products or investigational product candidates,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participant recruitment or the ability of enrolled participants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1060" w:right="1080" w:bottom="175" w:gutter="0" w:footer="0" w:header="0"/>
          <w:type w:val="continuous"/>
        </w:sectPr>
      </w:pPr>
    </w:p>
    <w:bookmarkStart w:id="40" w:name="page41"/>
    <w:bookmarkEnd w:id="40"/>
    <w:p>
      <w:pPr>
        <w:ind w:right="20"/>
        <w:spacing w:after="0" w:line="242" w:lineRule="auto"/>
        <w:rPr>
          <w:sz w:val="20"/>
          <w:szCs w:val="20"/>
          <w:color w:val="auto"/>
        </w:rPr>
      </w:pPr>
      <w:r>
        <w:rPr>
          <w:rFonts w:ascii="Times New Roman" w:cs="Times New Roman" w:eastAsia="Times New Roman" w:hAnsi="Times New Roman"/>
          <w:sz w:val="20"/>
          <w:szCs w:val="20"/>
          <w:color w:val="auto"/>
        </w:rPr>
        <w:t>Icovamenib, BMF-500, BMF-650 or future product candidates may be used in populations for which safety concerns may be reviewed by regulatory agencies. For example, if the administration of icovamenib leads to levels of menin inhibition that far exceed those achieved by well-studied non-covalent menin inhibitors, it is possible that participants' responses could be both unexpected and negative. In addition, we or our future collaborators may study icovamenib in combination with other therapies, which may exacerbate adverse events associated with the therapy. Further, our product candidates may be used in participants that have weakened immune systems, which may exacerbate any potential side effects associated with their use. Participants treated with icovamenib, BMF-500, BMF-650 or any of our future product candidates may also be undergoing surgical, radiation and chemotherapy treatments, which can cause side effects or adverse events that are unrelated to our product candidate but may still impact the success of our clinical trials. The inclusion of critically ill participants in our clinical trials may result in deaths or other adverse medical events due to other therapies or medications that such participants may be using or due to the gravity of such participants’ illnesses. For example, it is expected that some of the participants enrolled in our clinical trials of icovamenib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9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If further significant adverse events or other side effects are observed in any of our current or future clinical trials, we may have difficulty recruiting participants to the clinical trials, participants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w:t>
      </w:r>
    </w:p>
    <w:p>
      <w:pPr>
        <w:spacing w:after="0" w:line="82"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0"/>
          <w:szCs w:val="20"/>
          <w:color w:val="auto"/>
        </w:rPr>
        <w:t>Further, if any of our product candidates obtains marketing approval, toxicities associated with such product candidates previously not seen during clinical testing may also develop after such approval and lead to a number of potentially significant negative consequences, including, but not limited to:</w:t>
      </w:r>
    </w:p>
    <w:p>
      <w:pPr>
        <w:spacing w:after="0" w:line="83" w:lineRule="exact"/>
        <w:rPr>
          <w:sz w:val="20"/>
          <w:szCs w:val="20"/>
          <w:color w:val="auto"/>
        </w:rPr>
      </w:pPr>
    </w:p>
    <w:p>
      <w:pPr>
        <w:ind w:left="240" w:right="760" w:hanging="240"/>
        <w:spacing w:after="0" w:line="276" w:lineRule="auto"/>
        <w:tabs>
          <w:tab w:leader="none" w:pos="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suspend, limit or withdraw approvals of such product, or seek an injunction against its manufacture or distribution;</w:t>
      </w:r>
    </w:p>
    <w:p>
      <w:pPr>
        <w:spacing w:after="0" w:line="64" w:lineRule="exact"/>
        <w:rPr>
          <w:rFonts w:ascii="Arial" w:cs="Arial" w:eastAsia="Arial" w:hAnsi="Arial"/>
          <w:sz w:val="20"/>
          <w:szCs w:val="20"/>
          <w:color w:val="auto"/>
        </w:rPr>
      </w:pPr>
    </w:p>
    <w:p>
      <w:pPr>
        <w:ind w:left="240" w:right="100" w:hanging="240"/>
        <w:spacing w:after="0" w:line="258" w:lineRule="auto"/>
        <w:tabs>
          <w:tab w:leader="none" w:pos="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81" w:lineRule="exact"/>
        <w:rPr>
          <w:rFonts w:ascii="Arial" w:cs="Arial" w:eastAsia="Arial" w:hAnsi="Arial"/>
          <w:sz w:val="20"/>
          <w:szCs w:val="20"/>
          <w:color w:val="auto"/>
        </w:rPr>
      </w:pPr>
    </w:p>
    <w:p>
      <w:pPr>
        <w:ind w:left="240" w:right="300" w:hanging="240"/>
        <w:spacing w:after="0" w:line="276" w:lineRule="auto"/>
        <w:tabs>
          <w:tab w:leader="none" w:pos="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change the way the product is administered or conduct additional clinical trials or post-approval studies;</w:t>
      </w:r>
    </w:p>
    <w:p>
      <w:pPr>
        <w:spacing w:after="0" w:line="64" w:lineRule="exact"/>
        <w:rPr>
          <w:rFonts w:ascii="Arial" w:cs="Arial" w:eastAsia="Arial" w:hAnsi="Arial"/>
          <w:sz w:val="20"/>
          <w:szCs w:val="20"/>
          <w:color w:val="auto"/>
        </w:rPr>
      </w:pPr>
    </w:p>
    <w:p>
      <w:pPr>
        <w:ind w:left="240" w:right="200" w:hanging="240"/>
        <w:spacing w:after="0" w:line="276" w:lineRule="auto"/>
        <w:tabs>
          <w:tab w:leader="none" w:pos="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create a risk evaluation and mitigation strategy (REMS), which could include a medication guide outlining the risks of such side effects for distribution to participants;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fines, injunctions or the imposition of criminal penalties;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sued and held liable for harm caused to participants; and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our reputation may suffer.</w:t>
      </w:r>
    </w:p>
    <w:p>
      <w:pPr>
        <w:spacing w:after="0" w:line="119"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color w:val="auto"/>
        </w:rPr>
        <w:t>We believe that any of these events could prevent us from achieving or maintaining market acceptance of the particular product candidate, if approved, and could seriously harm our business.</w:t>
      </w:r>
    </w:p>
    <w:p>
      <w:pPr>
        <w:spacing w:after="0" w:line="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clinical trials that we announce or publish from time to time may change as more participants data become available and are subject to audit and verification procedures that could result in material changes in the final data.</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60"/>
          </w:cols>
          <w:pgMar w:left="1080" w:top="1060" w:right="1100" w:bottom="175" w:gutter="0" w:footer="0" w:header="0"/>
          <w:type w:val="continuous"/>
        </w:sectPr>
      </w:pPr>
    </w:p>
    <w:bookmarkStart w:id="41" w:name="page42"/>
    <w:bookmarkEnd w:id="41"/>
    <w:p>
      <w:pPr>
        <w:spacing w:after="0" w:line="244" w:lineRule="auto"/>
        <w:rPr>
          <w:sz w:val="20"/>
          <w:szCs w:val="20"/>
          <w:color w:val="auto"/>
        </w:rPr>
      </w:pPr>
      <w:r>
        <w:rPr>
          <w:rFonts w:ascii="Times New Roman" w:cs="Times New Roman" w:eastAsia="Times New Roman" w:hAnsi="Times New Roman"/>
          <w:sz w:val="20"/>
          <w:szCs w:val="20"/>
          <w:color w:val="auto"/>
        </w:rPr>
        <w:t>From time to time, we have announced or published, and may continue to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8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From time to time, we may also disclose interim data from our preclinical studies and clinical trials. Interim data from clinical trials that we may complete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8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Further, others, including regulatory agencies, may not accept or agree with our assumptions, estimates, calculations, conclusions, study population size, safety database size, interpretations of data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82"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of our product candidates, the products may not gain market acceptance among physicians, patients, hospitals, and others in the medical community.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Various factors will influence whether our product candidates, if approved, are accepted in the market, including:</w:t>
      </w:r>
    </w:p>
    <w:p>
      <w:pPr>
        <w:spacing w:after="0" w:line="134" w:lineRule="exact"/>
        <w:rPr>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indications for which our product candidates are approved;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physicians, hospitals, and patients considering our product candidates as a safe and effective treatment;</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and perceived advantages of our product candidates over alternative treatments;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demonstrate the advantages of our product candidates over other available medicines;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133" w:lineRule="exact"/>
        <w:rPr>
          <w:rFonts w:ascii="Arial" w:cs="Arial" w:eastAsia="Arial" w:hAnsi="Arial"/>
          <w:sz w:val="20"/>
          <w:szCs w:val="20"/>
          <w:color w:val="auto"/>
        </w:rPr>
      </w:pPr>
    </w:p>
    <w:p>
      <w:pPr>
        <w:ind w:left="240" w:right="480" w:hanging="240"/>
        <w:spacing w:after="0" w:line="276" w:lineRule="auto"/>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 for other precision medicines and public perception of other precision medicines;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product labeling or product insert requirements of the FDA or other regulatory authorities;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warnings contained in the labeling approved by the FDA;</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market introduction of our product candidates as well as competitive products;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treatment in relation to alternative treatments;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pricing and the availability of adequate coverage and reimbursement by third-party payors and government authorities;</w:t>
      </w:r>
    </w:p>
    <w:p>
      <w:pPr>
        <w:spacing w:after="0" w:line="133" w:lineRule="exact"/>
        <w:rPr>
          <w:rFonts w:ascii="Arial" w:cs="Arial" w:eastAsia="Arial" w:hAnsi="Arial"/>
          <w:sz w:val="20"/>
          <w:szCs w:val="20"/>
          <w:color w:val="auto"/>
        </w:rPr>
      </w:pPr>
    </w:p>
    <w:p>
      <w:pPr>
        <w:ind w:left="240" w:right="780" w:hanging="240"/>
        <w:spacing w:after="0" w:line="276" w:lineRule="auto"/>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patients to pay out-of-pocket in the absence of coverage by third-party payors and government authorities;</w:t>
      </w:r>
    </w:p>
    <w:p>
      <w:pPr>
        <w:spacing w:after="0" w:line="64" w:lineRule="exact"/>
        <w:rPr>
          <w:rFonts w:ascii="Arial" w:cs="Arial" w:eastAsia="Arial" w:hAnsi="Arial"/>
          <w:sz w:val="20"/>
          <w:szCs w:val="20"/>
          <w:color w:val="auto"/>
        </w:rPr>
      </w:pPr>
    </w:p>
    <w:p>
      <w:pPr>
        <w:ind w:left="240" w:right="780" w:hanging="240"/>
        <w:spacing w:after="0" w:line="276" w:lineRule="auto"/>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relative convenience and ease of administration, including as compared to alternative treatments and competitive therapies; and</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sales and marketing efforts.</w:t>
      </w:r>
    </w:p>
    <w:p>
      <w:pPr>
        <w:spacing w:after="0" w:line="11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If our product candidates are approved but fail to achieve market acceptance among physicians, patients, hospitals, or others in the medical community, we will not be able to generate significant revenue.</w:t>
      </w:r>
    </w:p>
    <w:p>
      <w:pPr>
        <w:sectPr>
          <w:pgSz w:w="12240" w:h="15840" w:orient="portrait"/>
          <w:cols w:equalWidth="0" w:num="1">
            <w:col w:w="10060"/>
          </w:cols>
          <w:pgMar w:left="1080" w:top="1060" w:right="1100" w:bottom="175"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60"/>
          </w:cols>
          <w:pgMar w:left="1080" w:top="1060" w:right="1100" w:bottom="175" w:gutter="0" w:footer="0" w:header="0"/>
          <w:type w:val="continuous"/>
        </w:sectPr>
      </w:pPr>
    </w:p>
    <w:bookmarkStart w:id="42" w:name="page43"/>
    <w:bookmarkEnd w:id="42"/>
    <w:p>
      <w:pPr>
        <w:ind w:right="40"/>
        <w:spacing w:after="0" w:line="249" w:lineRule="auto"/>
        <w:rPr>
          <w:sz w:val="20"/>
          <w:szCs w:val="20"/>
          <w:color w:val="auto"/>
        </w:rPr>
      </w:pPr>
      <w:r>
        <w:rPr>
          <w:rFonts w:ascii="Times New Roman" w:cs="Times New Roman" w:eastAsia="Times New Roman" w:hAnsi="Times New Roman"/>
          <w:sz w:val="20"/>
          <w:szCs w:val="20"/>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7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Even if any products we develop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6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Coverage and reimbursement of newly-approved products from third-party payors is uncertain. Our product candidates may become subject to unfavorable pricing regulations and/or third-party coverage and reimbursement policies, either of which would adversely affect our business. Failure to obtain or maintain adequate coverage and reimbursement for our product candidates, if approved, could limit our ability to market those products and decrease our ability to generate revenue.</w:t>
      </w:r>
    </w:p>
    <w:p>
      <w:pPr>
        <w:spacing w:after="0" w:line="7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are not available, or are available only to limited levels, we may not be able to successfully commercialize our product candidates. </w:t>
      </w:r>
      <w:r>
        <w:rPr>
          <w:rFonts w:ascii="Times New Roman" w:cs="Times New Roman" w:eastAsia="Times New Roman" w:hAnsi="Times New Roman"/>
          <w:sz w:val="19"/>
          <w:szCs w:val="19"/>
          <w:color w:val="auto"/>
        </w:rPr>
        <w:t>For additional information, see the section of this Annual Report on Form 10-K titled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“Business—Government Regulation—Coverage and Reimbursement.”</w:t>
      </w:r>
    </w:p>
    <w:p>
      <w:pPr>
        <w:spacing w:after="0" w:line="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8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 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80"/>
          </w:cols>
          <w:pgMar w:left="1080" w:top="1060" w:right="1080" w:bottom="175" w:gutter="0" w:footer="0" w:header="0"/>
          <w:type w:val="continuous"/>
        </w:sectPr>
      </w:pPr>
    </w:p>
    <w:bookmarkStart w:id="43" w:name="page44"/>
    <w:bookmarkEnd w:id="43"/>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which may not be sufficiently covered by insurance, and may be required to limit commercialization of our product candidates.</w:t>
      </w:r>
    </w:p>
    <w:p>
      <w:pPr>
        <w:spacing w:after="0" w:line="4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9"/>
          <w:szCs w:val="19"/>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w:t>
      </w:r>
    </w:p>
    <w:p>
      <w:pPr>
        <w:spacing w:after="0" w:line="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1" w:lineRule="exact"/>
        <w:rPr>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our product candidates or products that we may develop;</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initiation of investigations by regulators restrictions on product development plans, or clinical holds;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costs to defend the related litigation;</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management’s time and our resources;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exhaustion of any available insurance and our capital resources;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any product candidate; and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 decline in our share price.</w:t>
      </w:r>
    </w:p>
    <w:p>
      <w:pPr>
        <w:spacing w:after="0" w:line="1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that we believe is appropriate for our stage of development, our insurance policies also have various exclusions, and we may be subject to a product liability claim for which we have no coverage and may need to obtain higher levels prior to marketing any of our product candidates if approved.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49"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1060" w:right="1080" w:bottom="175" w:gutter="0" w:footer="0" w:header="0"/>
          <w:type w:val="continuous"/>
        </w:sectPr>
      </w:pPr>
    </w:p>
    <w:bookmarkStart w:id="44" w:name="page45"/>
    <w:bookmarkEnd w:id="44"/>
    <w:p>
      <w:pPr>
        <w:ind w:right="60"/>
        <w:spacing w:after="0" w:line="244" w:lineRule="auto"/>
        <w:rPr>
          <w:sz w:val="20"/>
          <w:szCs w:val="20"/>
          <w:color w:val="auto"/>
        </w:rPr>
      </w:pPr>
      <w:r>
        <w:rPr>
          <w:rFonts w:ascii="Times New Roman" w:cs="Times New Roman" w:eastAsia="Times New Roman" w:hAnsi="Times New Roman"/>
          <w:sz w:val="20"/>
          <w:szCs w:val="20"/>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future approved products, the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Process and Other Legal Compliance Matters</w:t>
      </w:r>
    </w:p>
    <w:p>
      <w:pPr>
        <w:spacing w:after="0" w:line="124" w:lineRule="exact"/>
        <w:rPr>
          <w:sz w:val="20"/>
          <w:szCs w:val="20"/>
          <w:color w:val="auto"/>
        </w:rPr>
      </w:pPr>
    </w:p>
    <w:p>
      <w:pPr>
        <w:ind w:right="4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icovamenib, we must demonstrate through lengthy, complex and expensive preclinical studies and clinical trials that our product candidates are both safe and effective for each targeted indication.</w:t>
      </w:r>
    </w:p>
    <w:p>
      <w:pPr>
        <w:spacing w:after="0" w:line="64"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us obtaining marketing approval.</w:t>
      </w:r>
    </w:p>
    <w:p>
      <w:pPr>
        <w:spacing w:after="0" w:line="7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100" w:lineRule="exact"/>
        <w:rPr>
          <w:sz w:val="20"/>
          <w:szCs w:val="20"/>
          <w:color w:val="auto"/>
        </w:rPr>
      </w:pPr>
    </w:p>
    <w:p>
      <w:pPr>
        <w:ind w:left="240" w:right="100" w:hanging="240"/>
        <w:spacing w:after="0" w:line="247" w:lineRule="auto"/>
        <w:tabs>
          <w:tab w:leader="none" w:pos="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suspend or prohibit completion of our clinical trials, such as through the clinical hold placed on our INDs for the Phase I/II clinical trials of icovamenib in type 2 and type 1 diabetes, which was lifted in September 2024, or they may disagree with the design or implementation of our clinical trials or require us to modify the design of our clinical trials, including additional procedures and contingency measures in response to public health emergencies like a pandemic, or as required by clinical sites, IRBs, the FDA or other regulatory authorities;</w:t>
      </w:r>
    </w:p>
    <w:p>
      <w:pPr>
        <w:spacing w:after="0" w:line="93" w:lineRule="exact"/>
        <w:rPr>
          <w:rFonts w:ascii="Arial" w:cs="Arial" w:eastAsia="Arial" w:hAnsi="Arial"/>
          <w:sz w:val="20"/>
          <w:szCs w:val="20"/>
          <w:color w:val="auto"/>
        </w:rPr>
      </w:pPr>
    </w:p>
    <w:p>
      <w:pPr>
        <w:ind w:left="240" w:right="200" w:hanging="240"/>
        <w:spacing w:after="0" w:line="276" w:lineRule="auto"/>
        <w:tabs>
          <w:tab w:leader="none" w:pos="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population studied in the clinical trial may not be sufficiently broad or representative to assure efficacy and safety in the full population for which we seek approval;</w:t>
      </w:r>
    </w:p>
    <w:p>
      <w:pPr>
        <w:spacing w:after="0" w:line="64" w:lineRule="exact"/>
        <w:rPr>
          <w:rFonts w:ascii="Arial" w:cs="Arial" w:eastAsia="Arial" w:hAnsi="Arial"/>
          <w:sz w:val="20"/>
          <w:szCs w:val="20"/>
          <w:color w:val="auto"/>
        </w:rPr>
      </w:pPr>
    </w:p>
    <w:p>
      <w:pPr>
        <w:ind w:left="240" w:right="620" w:hanging="240"/>
        <w:spacing w:after="0" w:line="276" w:lineRule="auto"/>
        <w:tabs>
          <w:tab w:leader="none" w:pos="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product candidate is safe and effective for its proposed indication;</w:t>
      </w:r>
    </w:p>
    <w:p>
      <w:pPr>
        <w:spacing w:after="0" w:line="64" w:lineRule="exact"/>
        <w:rPr>
          <w:rFonts w:ascii="Arial" w:cs="Arial" w:eastAsia="Arial" w:hAnsi="Arial"/>
          <w:sz w:val="20"/>
          <w:szCs w:val="20"/>
          <w:color w:val="auto"/>
        </w:rPr>
      </w:pPr>
    </w:p>
    <w:p>
      <w:pPr>
        <w:ind w:left="240" w:right="240" w:hanging="240"/>
        <w:spacing w:after="0" w:line="276" w:lineRule="auto"/>
        <w:tabs>
          <w:tab w:leader="none" w:pos="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64" w:lineRule="exact"/>
        <w:rPr>
          <w:rFonts w:ascii="Arial" w:cs="Arial" w:eastAsia="Arial" w:hAnsi="Arial"/>
          <w:sz w:val="20"/>
          <w:szCs w:val="20"/>
          <w:color w:val="auto"/>
        </w:rPr>
      </w:pPr>
    </w:p>
    <w:p>
      <w:pPr>
        <w:ind w:left="240" w:right="160" w:hanging="240"/>
        <w:spacing w:after="0" w:line="276" w:lineRule="auto"/>
        <w:tabs>
          <w:tab w:leader="none" w:pos="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 or that a product candidate has an acceptable benefit-risk ratio for its proposed indication;</w:t>
      </w:r>
    </w:p>
    <w:p>
      <w:pPr>
        <w:spacing w:after="0" w:line="64" w:lineRule="exact"/>
        <w:rPr>
          <w:rFonts w:ascii="Arial" w:cs="Arial" w:eastAsia="Arial" w:hAnsi="Arial"/>
          <w:sz w:val="20"/>
          <w:szCs w:val="20"/>
          <w:color w:val="auto"/>
        </w:rPr>
      </w:pPr>
    </w:p>
    <w:p>
      <w:pPr>
        <w:ind w:left="240" w:right="20" w:hanging="240"/>
        <w:spacing w:after="0" w:line="276" w:lineRule="auto"/>
        <w:tabs>
          <w:tab w:leader="none" w:pos="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interpretation of data from preclinical studies or clinical trials;</w:t>
      </w:r>
    </w:p>
    <w:p>
      <w:pPr>
        <w:spacing w:after="0" w:line="64" w:lineRule="exact"/>
        <w:rPr>
          <w:rFonts w:ascii="Arial" w:cs="Arial" w:eastAsia="Arial" w:hAnsi="Arial"/>
          <w:sz w:val="20"/>
          <w:szCs w:val="20"/>
          <w:color w:val="auto"/>
        </w:rPr>
      </w:pPr>
    </w:p>
    <w:p>
      <w:pPr>
        <w:ind w:left="240" w:right="20" w:hanging="240"/>
        <w:spacing w:after="0" w:line="276" w:lineRule="auto"/>
        <w:tabs>
          <w:tab w:leader="none" w:pos="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an NDA or other submission or to obtain regulatory approval in the United States or elsewhere;</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60"/>
          </w:cols>
          <w:pgMar w:left="1080" w:top="1060" w:right="1100" w:bottom="175" w:gutter="0" w:footer="0" w:header="0"/>
          <w:type w:val="continuous"/>
        </w:sectPr>
      </w:pPr>
    </w:p>
    <w:bookmarkStart w:id="45" w:name="page46"/>
    <w:bookmarkEnd w:id="45"/>
    <w:p>
      <w:pPr>
        <w:ind w:left="240" w:right="500" w:hanging="240"/>
        <w:spacing w:after="0" w:line="276" w:lineRule="auto"/>
        <w:tabs>
          <w:tab w:leader="none" w:pos="2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staffing changes and backlogs at the FDA, or other comparable foreign regulatory authorities may create unexpected delays in the review and approval of any applications we may submit;</w:t>
      </w:r>
    </w:p>
    <w:p>
      <w:pPr>
        <w:spacing w:after="0" w:line="64" w:lineRule="exact"/>
        <w:rPr>
          <w:rFonts w:ascii="Arial" w:cs="Arial" w:eastAsia="Arial" w:hAnsi="Arial"/>
          <w:sz w:val="20"/>
          <w:szCs w:val="20"/>
          <w:color w:val="auto"/>
        </w:rPr>
      </w:pPr>
    </w:p>
    <w:p>
      <w:pPr>
        <w:ind w:left="240" w:right="260" w:hanging="240"/>
        <w:spacing w:after="0" w:line="304" w:lineRule="auto"/>
        <w:tabs>
          <w:tab w:leader="none" w:pos="24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39" w:lineRule="exact"/>
        <w:rPr>
          <w:rFonts w:ascii="Arial" w:cs="Arial" w:eastAsia="Arial" w:hAnsi="Arial"/>
          <w:sz w:val="19"/>
          <w:szCs w:val="19"/>
          <w:color w:val="auto"/>
        </w:rPr>
      </w:pPr>
    </w:p>
    <w:p>
      <w:pPr>
        <w:ind w:left="240" w:right="260" w:hanging="240"/>
        <w:spacing w:after="0" w:line="276" w:lineRule="auto"/>
        <w:tabs>
          <w:tab w:leader="none" w:pos="2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otherwise fail or be unable to adequately perform their obligations to allow for the conduct of our planned or future clinical studies; and</w:t>
      </w:r>
    </w:p>
    <w:p>
      <w:pPr>
        <w:spacing w:after="0" w:line="64" w:lineRule="exact"/>
        <w:rPr>
          <w:rFonts w:ascii="Arial" w:cs="Arial" w:eastAsia="Arial" w:hAnsi="Arial"/>
          <w:sz w:val="20"/>
          <w:szCs w:val="20"/>
          <w:color w:val="auto"/>
        </w:rPr>
      </w:pPr>
    </w:p>
    <w:p>
      <w:pPr>
        <w:ind w:left="240" w:right="60" w:hanging="240"/>
        <w:spacing w:after="0" w:line="276" w:lineRule="auto"/>
        <w:tabs>
          <w:tab w:leader="none" w:pos="2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in a manner rendering our clinical data insufficient for approval.</w:t>
      </w:r>
    </w:p>
    <w:p>
      <w:pPr>
        <w:spacing w:after="0" w:line="5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7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80"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 condition or disease we are conducting or plan to conduct clinical trials for may not be a rare disease or condition that is eligible for orphan drug designation or 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7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As part of our business strategy, we may seek orphan drug designation (ODD) for any eligible product candidates we develop, and we may be unsuccessful. Regulatory authorities in some jurisdictions, including the United States,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8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use or indication for which it has such designation, the product is entitled to orphan drug exclusivity. Orphan drug exclusivity in the United States provides that the FDA may not approve any other applications, including a full NDA, to market the same drug for the same approved use or indication for seven years, except in circumstances such as a showing of clinical superiority to the product with orphan product exclusivity in instances of supply issues.</w:t>
      </w:r>
    </w:p>
    <w:p>
      <w:pPr>
        <w:spacing w:after="0" w:line="8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may be approved for the same approved use or indication. Even after an orphan drug is approved, the FDA can subsequently approve the same drug with the same active moiety for the same approved use or indication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ectPr>
          <w:pgSz w:w="12240" w:h="15840" w:orient="portrait"/>
          <w:cols w:equalWidth="0" w:num="1">
            <w:col w:w="10080"/>
          </w:cols>
          <w:pgMar w:left="1080" w:top="1074"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1074" w:right="1080" w:bottom="175" w:gutter="0" w:footer="0" w:header="0"/>
          <w:type w:val="continuous"/>
        </w:sectPr>
      </w:pPr>
    </w:p>
    <w:bookmarkStart w:id="46" w:name="page47"/>
    <w:bookmarkEnd w:id="46"/>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may seek Fast Track designations for some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6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0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seek priority review designation for one or more of our other product candidates, but we might not receive such designation, and even if we do, such designation may not lead to a faster regulatory review or approval process.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80"/>
          </w:cols>
          <w:pgMar w:left="1080" w:top="1060" w:right="1080" w:bottom="175" w:gutter="0" w:footer="0" w:header="0"/>
          <w:type w:val="continuous"/>
        </w:sectPr>
      </w:pPr>
    </w:p>
    <w:bookmarkStart w:id="47" w:name="page48"/>
    <w:bookmarkEnd w:id="47"/>
    <w:p>
      <w:pPr>
        <w:spacing w:after="0" w:line="244" w:lineRule="auto"/>
        <w:rPr>
          <w:sz w:val="20"/>
          <w:szCs w:val="20"/>
          <w:color w:val="auto"/>
        </w:rPr>
      </w:pPr>
      <w:r>
        <w:rPr>
          <w:rFonts w:ascii="Times New Roman" w:cs="Times New Roman" w:eastAsia="Times New Roman" w:hAnsi="Times New Roman"/>
          <w:sz w:val="20"/>
          <w:szCs w:val="20"/>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86"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any products we develop is also subject to approval.</w:t>
      </w:r>
    </w:p>
    <w:p>
      <w:pPr>
        <w:spacing w:after="0" w:line="8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any products we develop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8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Changes in funding or disruptions at the FDA, the SEC and other government agencies caused by reduction in staffing,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Federal agencies in the U.S., including the FDA and the SEC, operate pursuant to annual appropriations and other political and budgetary processes, and may from time to time be subject to continuing resolutions, funding lapses, or other fiscal constraints.The FDA is currently funded through September 30, 2026. Without appropriation of sufficient funding to federal agencies, our business operations related to our product development activities for the U.S. market could be impacted. Inadequate funding for the FDA, the SEC, the United States Patent and Trademark Office (USPTO)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80"/>
          </w:cols>
          <w:pgMar w:left="1080" w:top="1060" w:right="1080" w:bottom="175" w:gutter="0" w:footer="0" w:header="0"/>
          <w:type w:val="continuous"/>
        </w:sectPr>
      </w:pPr>
    </w:p>
    <w:bookmarkStart w:id="48" w:name="page49"/>
    <w:bookmarkEnd w:id="48"/>
    <w:p>
      <w:pPr>
        <w:ind w:right="100"/>
        <w:spacing w:after="0" w:line="243"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ability to hire and retain key personnel and accept the payment of user fees, and statutory, regulatory, leadership and policy changes and other events that may otherwise affect the FDA’s ability to perform routine functions. Average review times at the FDA have fluctuated in recent years and may continue to fluctuate as a result of these factors. Disruptions at the FDA, the SEC, the USPTO and other agencies, including substantial leadership departures, personnel cuts and policy changes, may also slow the time necessary for new drugs to be reviewed and/or approved by necessary government agencies, which would adversely affect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 or at all. Moreover, disruptions at the NIH or changes to the NIH’s budget may negatively impact our operations and ongoing clinical trials.</w:t>
      </w:r>
    </w:p>
    <w:p>
      <w:pPr>
        <w:spacing w:after="0" w:line="8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For example, the U.S. government has shut down several times. Most recently, from October 1, 2025 through November 12, 2025, the government experienced a full shutdown and from January 31, 2026 through February 3, 2026, the government experienced a partial shutdown, and certain regulatory agencies, such as the FDA and the SEC, had to furlough critical employees and stop critical activities. As of February 2026, most government agencies have been funded through September 2026, however if a future prolonged government shutdown occurs again, it could result in significant delays in the of FDA's ability to timely review and process any submissions we have filed or may file or cause other regulatory delays, which could have a material adverse effect on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Further, in our operations as a public company, future government shutdowns or delays could impact our ability to access the public markets and obtain necessary capital in order to properly capitalize and continue our operations.</w:t>
      </w:r>
    </w:p>
    <w:p>
      <w:pPr>
        <w:spacing w:after="0" w:line="4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Our product candidates and the activities associated with their development and potential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7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tracking and tracing requirements, GLP requirements, and GCP requirements, for any clinical trials that we conduct post-approval. Additionally, under FDORA, sponsors of approved drugs and biologics must provide six months’ notice to the FDA of any changes in marketing status, such as the withdrawal of a drug. Failure to do so could result in the FDA sending a noncompliance letter, or placing the product on a list of discontinued products.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02" w:lineRule="exact"/>
        <w:rPr>
          <w:sz w:val="20"/>
          <w:szCs w:val="20"/>
          <w:color w:val="auto"/>
        </w:rPr>
      </w:pPr>
    </w:p>
    <w:p>
      <w:pPr>
        <w:ind w:left="240" w:right="300" w:hanging="240"/>
        <w:spacing w:after="0" w:line="276" w:lineRule="auto"/>
        <w:tabs>
          <w:tab w:leader="none" w:pos="24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our product candidates, withdrawal of the product from the market or voluntary or mandatory product recalls;</w:t>
      </w:r>
    </w:p>
    <w:p>
      <w:pPr>
        <w:spacing w:after="0" w:line="64" w:lineRule="exact"/>
        <w:rPr>
          <w:rFonts w:ascii="Arial" w:cs="Arial" w:eastAsia="Arial" w:hAnsi="Arial"/>
          <w:sz w:val="20"/>
          <w:szCs w:val="20"/>
          <w:color w:val="auto"/>
        </w:rPr>
      </w:pPr>
    </w:p>
    <w:p>
      <w:pPr>
        <w:ind w:left="240" w:right="660" w:hanging="240"/>
        <w:spacing w:after="0" w:line="276" w:lineRule="auto"/>
        <w:tabs>
          <w:tab w:leader="none" w:pos="24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delays and supply disruptions where regulatory inspections identify observations of noncompliance requiring remediation;</w:t>
      </w:r>
    </w:p>
    <w:p>
      <w:pPr>
        <w:spacing w:after="0" w:line="64" w:lineRule="exact"/>
        <w:rPr>
          <w:rFonts w:ascii="Arial" w:cs="Arial" w:eastAsia="Arial" w:hAnsi="Arial"/>
          <w:sz w:val="20"/>
          <w:szCs w:val="20"/>
          <w:color w:val="auto"/>
        </w:rPr>
      </w:pPr>
    </w:p>
    <w:p>
      <w:pPr>
        <w:ind w:left="240" w:right="40" w:hanging="240"/>
        <w:spacing w:after="0" w:line="276" w:lineRule="auto"/>
        <w:tabs>
          <w:tab w:leader="none" w:pos="24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revisions to the labeling, including limitation on approved uses or the addition of additional warnings, contraindications or other safety information, including boxed warnings;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REMS, which may include distribution or use restrictions;</w:t>
      </w:r>
    </w:p>
    <w:p>
      <w:pPr>
        <w:sectPr>
          <w:pgSz w:w="12240" w:h="15840" w:orient="portrait"/>
          <w:cols w:equalWidth="0" w:num="1">
            <w:col w:w="10080"/>
          </w:cols>
          <w:pgMar w:left="1080" w:top="1060" w:right="1080" w:bottom="175"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1060" w:right="1080" w:bottom="175" w:gutter="0" w:footer="0" w:header="0"/>
          <w:type w:val="continuous"/>
        </w:sectPr>
      </w:pPr>
    </w:p>
    <w:bookmarkStart w:id="49" w:name="page50"/>
    <w:bookmarkEnd w:id="49"/>
    <w:p>
      <w:pPr>
        <w:ind w:left="240" w:hanging="240"/>
        <w:spacing w:after="0"/>
        <w:tabs>
          <w:tab w:leader="none" w:pos="24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conduct additional post-market clinical trials to assess the safety of the product;</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fines, FDA Form 483s, warning or untitled letters or holds on clinical trials;</w:t>
      </w:r>
    </w:p>
    <w:p>
      <w:pPr>
        <w:spacing w:after="0" w:line="133" w:lineRule="exact"/>
        <w:rPr>
          <w:rFonts w:ascii="Arial" w:cs="Arial" w:eastAsia="Arial" w:hAnsi="Arial"/>
          <w:sz w:val="20"/>
          <w:szCs w:val="20"/>
          <w:color w:val="auto"/>
        </w:rPr>
      </w:pPr>
    </w:p>
    <w:p>
      <w:pPr>
        <w:ind w:left="240" w:right="80" w:hanging="240"/>
        <w:spacing w:after="0" w:line="276" w:lineRule="auto"/>
        <w:tabs>
          <w:tab w:leader="none" w:pos="24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approvals;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our product candidates; and</w:t>
      </w:r>
    </w:p>
    <w:p>
      <w:pPr>
        <w:spacing w:after="0" w:line="133" w:lineRule="exact"/>
        <w:rPr>
          <w:rFonts w:ascii="Arial" w:cs="Arial" w:eastAsia="Arial" w:hAnsi="Arial"/>
          <w:sz w:val="20"/>
          <w:szCs w:val="20"/>
          <w:color w:val="auto"/>
        </w:rPr>
      </w:pPr>
    </w:p>
    <w:p>
      <w:pPr>
        <w:ind w:left="240" w:right="180" w:hanging="240"/>
        <w:spacing w:after="0" w:line="258" w:lineRule="auto"/>
        <w:tabs>
          <w:tab w:leader="none" w:pos="24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6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80"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Healthcare legislative measures aimed at reducing healthcare costs may have a material adverse effect on our business and results of operations.</w:t>
      </w:r>
    </w:p>
    <w:p>
      <w:pPr>
        <w:spacing w:after="0" w:line="4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w:t>
      </w:r>
    </w:p>
    <w:p>
      <w:pPr>
        <w:spacing w:after="0" w:line="4" w:lineRule="exact"/>
        <w:rPr>
          <w:sz w:val="20"/>
          <w:szCs w:val="20"/>
          <w:color w:val="auto"/>
        </w:rPr>
      </w:pPr>
    </w:p>
    <w:p>
      <w:pPr>
        <w:ind w:right="20"/>
        <w:spacing w:after="0" w:line="244" w:lineRule="auto"/>
        <w:tabs>
          <w:tab w:leader="none" w:pos="35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recall or discontinuation of our products; or (iv) additional record-keeping requirements. If any such changes were to be imposed, they could adversely affect the operation of our business. </w:t>
      </w:r>
      <w:r>
        <w:rPr>
          <w:rFonts w:ascii="Times New Roman" w:cs="Times New Roman" w:eastAsia="Times New Roman" w:hAnsi="Times New Roman"/>
          <w:sz w:val="19"/>
          <w:szCs w:val="19"/>
          <w:color w:val="auto"/>
        </w:rPr>
        <w:t>For additional information, see the section of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Annual Report on Form 10-K titled “Business—Government Regulation —Healthcare Reform.”</w:t>
      </w:r>
    </w:p>
    <w:p>
      <w:pPr>
        <w:spacing w:after="0" w:line="8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The continuing efforts of the government, insurance companies, managed care organizations and other payers of healthcare services to contain or reduce costs of healthcare may adversely affect:</w:t>
      </w:r>
    </w:p>
    <w:p>
      <w:pPr>
        <w:spacing w:after="0" w:line="64" w:lineRule="exact"/>
        <w:rPr>
          <w:sz w:val="20"/>
          <w:szCs w:val="20"/>
          <w:color w:val="auto"/>
        </w:rPr>
      </w:pPr>
    </w:p>
    <w:p>
      <w:pPr>
        <w:ind w:left="240" w:hanging="240"/>
        <w:spacing w:after="0"/>
        <w:tabs>
          <w:tab w:leader="none" w:pos="24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demand for any of our product candidates, if approved;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set a price that we believe is fair for any of our product candidates, if approved;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generate revenues and achieve or maintain profitability;</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capital.</w:t>
      </w:r>
    </w:p>
    <w:p>
      <w:pPr>
        <w:spacing w:after="0" w:line="11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Any reduction in reimbursement from Medicare or other government programs may result in a similar reduction in payments from private payors, which may adversely affect our future profitability.</w:t>
      </w:r>
    </w:p>
    <w:p>
      <w:pPr>
        <w:spacing w:after="0" w:line="8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FDA and other regulatory agencies actively enforce the laws and regulations prohibiting the promotion of off-label uses.</w:t>
      </w:r>
    </w:p>
    <w:p>
      <w:pPr>
        <w:sectPr>
          <w:pgSz w:w="12240" w:h="15840" w:orient="portrait"/>
          <w:cols w:equalWidth="0" w:num="1">
            <w:col w:w="10020"/>
          </w:cols>
          <w:pgMar w:left="1080" w:top="1074" w:right="11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20"/>
          </w:cols>
          <w:pgMar w:left="1080" w:top="1074" w:right="1140" w:bottom="175" w:gutter="0" w:footer="0" w:header="0"/>
          <w:type w:val="continuous"/>
        </w:sectPr>
      </w:pPr>
    </w:p>
    <w:bookmarkStart w:id="50" w:name="page51"/>
    <w:bookmarkEnd w:id="50"/>
    <w:p>
      <w:pPr>
        <w:spacing w:after="0" w:line="242" w:lineRule="auto"/>
        <w:rPr>
          <w:sz w:val="20"/>
          <w:szCs w:val="20"/>
          <w:color w:val="auto"/>
        </w:rPr>
      </w:pPr>
      <w:r>
        <w:rPr>
          <w:rFonts w:ascii="Times New Roman" w:cs="Times New Roman" w:eastAsia="Times New Roman" w:hAnsi="Times New Roman"/>
          <w:sz w:val="20"/>
          <w:szCs w:val="20"/>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Although physicians may prescribe products for “off-label” uses in the exercise of their independent professional judgment,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government has also imposed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9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principal investigators, CROs, suppliers, and vendors may engage in misconduct or other improper activities, including noncompliance with regulatory standards and requirements.</w:t>
      </w:r>
    </w:p>
    <w:p>
      <w:pPr>
        <w:spacing w:after="0" w:line="4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consultants,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83"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20"/>
          <w:szCs w:val="20"/>
          <w:color w:val="auto"/>
        </w:rPr>
        <w:t>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80"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6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 xml:space="preserve">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healthcare provider payment transparency laws and regulations. If their operations are found to be in violation of any such laws or any other governmental regulations that apply, they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 </w:t>
      </w:r>
      <w:r>
        <w:rPr>
          <w:rFonts w:ascii="Times New Roman" w:cs="Times New Roman" w:eastAsia="Times New Roman" w:hAnsi="Times New Roman"/>
          <w:sz w:val="19"/>
          <w:szCs w:val="19"/>
          <w:color w:val="auto"/>
        </w:rPr>
        <w:t>For additional information, see the section of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Annual Report on Form 10-K titled “Business—Government Regulation—Other Healthcare Laws.”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80"/>
          </w:cols>
          <w:pgMar w:left="1080" w:top="1060" w:right="1080" w:bottom="175" w:gutter="0" w:footer="0" w:header="0"/>
          <w:type w:val="continuous"/>
        </w:sectPr>
      </w:pPr>
    </w:p>
    <w:bookmarkStart w:id="51" w:name="page52"/>
    <w:bookmarkEnd w:id="51"/>
    <w:p>
      <w:pPr>
        <w:spacing w:after="0" w:line="242" w:lineRule="auto"/>
        <w:rPr>
          <w:sz w:val="20"/>
          <w:szCs w:val="20"/>
          <w:color w:val="auto"/>
        </w:rPr>
      </w:pPr>
      <w:r>
        <w:rPr>
          <w:rFonts w:ascii="Times New Roman" w:cs="Times New Roman" w:eastAsia="Times New Roman" w:hAnsi="Times New Roman"/>
          <w:sz w:val="20"/>
          <w:szCs w:val="20"/>
          <w:color w:val="auto"/>
        </w:rPr>
        <w:t>The scope and enforcement of each of these laws is uncertain and subject to rapid change in the current environment of healthcare reform. 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be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significant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8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or may become subject to stringent and changing laws, regulations, contractual obligations, and other obligations relating to privacy, data protection, and information security. The actual or perceived failure by us or our partners, customers, vendors, third-party payors or other related third parties to comply with such obligations could harm our reputation, subject us to significant fines and liability, or otherwise adversely affect our business.</w:t>
      </w:r>
    </w:p>
    <w:p>
      <w:pPr>
        <w:spacing w:after="0" w:line="7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There are numerous domestic and foreign laws, regulations, and other legal obligations regarding privacy, data protection, and information security, the scope of which are changing and subject to differing applications and interpretations, and which may be inconsistent among jurisdictions or conflict with each other. Privacy, data protection, and information security laws and regulations worldwide are, and are likely to remain, uncertain for the foreseeable future, and the actual or perceived failure to address or comply with them by us or our partners, customers, vendors, or other related third-parties could increase our compliance and operational costs, expose us to regulatory scrutiny, actions, fines and penalties, result in reputational harm, lead to a loss of customers; reduce the use of our products, result in litigation and liability, cause a material adverse impact to business operations or financial results, or otherwise result in material harm to our business.</w:t>
      </w:r>
    </w:p>
    <w:p>
      <w:pPr>
        <w:spacing w:after="0" w:line="8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In the U.S., numerous states have in recent years introduced and enacted more and more comprehensive privacy, data protection, and information security laws, adding complexity, variation in requirements, restrictions and potential legal risk requiring additional investment of resources in compliance programs. By way of example, the California Consumer Privacy Act (CCPA), which went into effect on January 1, 2020, affords consumers expanded privacy protections, including expanded rights to access and require deletion of their personal information, opt-out of certain personal information sharing, and receive detailed information about how their personal information is used. Similar privacy laws have been proposed at the federal level and in other states, creating a complicated national patchwork. Furthermore, some states have proposed or enacted legislation specifically focused on health privacy, such as Washington’s My Health My Data Act, with similar statutes in Nevada and Connecticut. The effects of state privacy laws are significant and may require us to modify our data processing practices and policies and to incur substantial costs and potential liability in an effort to comply with such legislation.</w:t>
      </w:r>
    </w:p>
    <w:p>
      <w:pPr>
        <w:spacing w:after="0" w:line="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Additionally, we are or may become subject to the terms of internal and external policies, representations, standards, contractual obligations, and other obligations to third parties related to privacy, data protection, and information security. Our actual or perceived failure to comply with them may cause us to suffer a material adverse impact to our business operations or financial results, or otherwise result in material harm to our business.</w:t>
      </w:r>
    </w:p>
    <w:p>
      <w:pPr>
        <w:spacing w:after="0" w:line="7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Moreover, in the United States, most healthcare providers, including research institutions from which we obtain participant health information, are subject to privacy and security regulations promulgated under HIPAA, as amended by HITECH, and their respective implementing regulations. Compliance with HIPAA and HITECH may require us to modify our data processing policies and to incur substantial costs and expenses.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80"/>
          </w:cols>
          <w:pgMar w:left="1080" w:top="1060" w:right="1080" w:bottom="175" w:gutter="0" w:footer="0" w:header="0"/>
          <w:type w:val="continuous"/>
        </w:sectPr>
      </w:pPr>
    </w:p>
    <w:bookmarkStart w:id="52" w:name="page53"/>
    <w:bookmarkEnd w:id="52"/>
    <w:p>
      <w:pPr>
        <w:ind w:right="40"/>
        <w:spacing w:after="0" w:line="245" w:lineRule="auto"/>
        <w:rPr>
          <w:sz w:val="20"/>
          <w:szCs w:val="20"/>
          <w:color w:val="auto"/>
        </w:rPr>
      </w:pPr>
      <w:r>
        <w:rPr>
          <w:rFonts w:ascii="Times New Roman" w:cs="Times New Roman" w:eastAsia="Times New Roman" w:hAnsi="Times New Roman"/>
          <w:sz w:val="20"/>
          <w:szCs w:val="20"/>
          <w:color w:val="auto"/>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8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Additionally, we may use and integrate artificial intelligence into our business processes, both in our own development and implementation of artificial intelligence through the adoption of commercially available tools. Use of this technology could pose cybersecurity, data privacy, information technology,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artificial intelligence technologies.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w:t>
      </w:r>
    </w:p>
    <w:p>
      <w:pPr>
        <w:spacing w:after="0" w:line="8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may in the future receive inquiries or be subject to investigations, proceedings, or actions by governmental entities, or litigation by private parties, regarding our privacy, data protection, and information security practices, which could result in a cause a material adverse impact to our business operations or financial results, or otherwise result in material harm to our business, including without limitation, interruptions of or requirements to make changes to our business practices, the diversion of resources and the attention of management from our business, regulatory oversights and audits, discontinuance of necessary data processing, or other remedies that adversely affect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research and development activities could be affected or delayed as a result of possible restrictions on animal testing.</w:t>
      </w:r>
    </w:p>
    <w:p>
      <w:pPr>
        <w:spacing w:after="0" w:line="12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77"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Such Trade Laws also govern export controls, as well as economic sanctions and embargoes on certain countries and persons.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Violations of Trade Laws can result in substantial criminal fines and civil penalties, imprisonment, the loss of trade privileges, debarment, tax reassessments, breach of contract and fraud litigation, reputational harm and other consequences.</w:t>
      </w:r>
    </w:p>
    <w:p>
      <w:pPr>
        <w:spacing w:after="0" w:line="8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Existing regulatory policies may change, and additional government regulations may be enacted that could prevent, limit or delay regulatory approval of our product candidates.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60"/>
          </w:cols>
          <w:pgMar w:left="1080" w:top="1060" w:right="1100" w:bottom="175" w:gutter="0" w:footer="0" w:header="0"/>
          <w:type w:val="continuous"/>
        </w:sectPr>
      </w:pPr>
    </w:p>
    <w:bookmarkStart w:id="53" w:name="page54"/>
    <w:bookmarkEnd w:id="53"/>
    <w:p>
      <w:pPr>
        <w:ind w:right="20"/>
        <w:spacing w:after="0" w:line="244" w:lineRule="auto"/>
        <w:rPr>
          <w:sz w:val="20"/>
          <w:szCs w:val="20"/>
          <w:color w:val="auto"/>
        </w:rPr>
      </w:pPr>
      <w:r>
        <w:rPr>
          <w:rFonts w:ascii="Times New Roman" w:cs="Times New Roman" w:eastAsia="Times New Roman" w:hAnsi="Times New Roman"/>
          <w:sz w:val="20"/>
          <w:szCs w:val="20"/>
          <w:color w:val="auto"/>
        </w:rPr>
        <w:t>The United States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adoption of new requirements or policies, or if we are not able to maintain regulatory compliance, our business could be materially harmed.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Managing Our Growth and Other Risks Related to Our Business</w:t>
      </w:r>
    </w:p>
    <w:p>
      <w:pPr>
        <w:spacing w:after="0" w:line="124" w:lineRule="exact"/>
        <w:rPr>
          <w:sz w:val="20"/>
          <w:szCs w:val="20"/>
          <w:color w:val="auto"/>
        </w:rPr>
      </w:pPr>
    </w:p>
    <w:p>
      <w:pPr>
        <w:ind w:right="2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2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Operating Officer and President, Ramses Erdtmann. The departure of key leadership personnel, such as the departures of our former Chief Executive Officer and Chief Financial Officer in 2025, may result in loss of significant knowledge and experience from the company. This loss of knowledge and experience can be mitigated through successful hiring and transition, but there can be no assurance that we will be successful in such efforts. Attracting and retaining qualified senior leadership may be more challenging under adverse business conditions. We will need to hire additional personnel as we initiate and expand our clinical development and if we initiate commercial activities.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8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8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8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 order to successfully implement our plans and strategies, we will need to grow the size of our organization, and we may experience difficulties in managing this growth.</w:t>
      </w:r>
    </w:p>
    <w:p>
      <w:pPr>
        <w:spacing w:after="0" w:line="49"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auto"/>
        </w:rPr>
        <w:t>As of December 31, 2025, we had 41 full-time employees, including 27 employees engaged in research and development activities.</w:t>
      </w:r>
    </w:p>
    <w:p>
      <w:pPr>
        <w:spacing w:after="0" w:line="49"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color w:val="auto"/>
        </w:rPr>
        <w:t>In order to successfully implement our development and commercialization plans and strategies, and as we continue to operate as a public company, we expect to need additional managerial clinical, regulatory, operational, sales, marketing, financial and other personnel. Future growth would impose significant added responsibilities on members of management, including:</w:t>
      </w:r>
    </w:p>
    <w:p>
      <w:pPr>
        <w:spacing w:after="0" w:line="88" w:lineRule="exact"/>
        <w:rPr>
          <w:sz w:val="20"/>
          <w:szCs w:val="20"/>
          <w:color w:val="auto"/>
        </w:rPr>
      </w:pPr>
    </w:p>
    <w:p>
      <w:pPr>
        <w:ind w:left="240" w:hanging="240"/>
        <w:spacing w:after="0"/>
        <w:tabs>
          <w:tab w:leader="none" w:pos="2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recruiting, integrating, maintaining, retaining, and motivating additional employees;</w:t>
      </w:r>
    </w:p>
    <w:p>
      <w:pPr>
        <w:spacing w:after="0" w:line="133" w:lineRule="exact"/>
        <w:rPr>
          <w:rFonts w:ascii="Arial" w:cs="Arial" w:eastAsia="Arial" w:hAnsi="Arial"/>
          <w:sz w:val="20"/>
          <w:szCs w:val="20"/>
          <w:color w:val="auto"/>
        </w:rPr>
      </w:pPr>
    </w:p>
    <w:p>
      <w:pPr>
        <w:ind w:left="240" w:right="620" w:hanging="240"/>
        <w:spacing w:after="0" w:line="258" w:lineRule="auto"/>
        <w:tabs>
          <w:tab w:leader="none" w:pos="2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managing our internal development efforts effectively, including the clinical, FDA, and other comparable foreign regulatory agencies’ review process for icovamenib, BMF-500, BMF-650 and any future product candidates, while complying with any contractual obligations to contractors and other third parties we may have; and</w:t>
      </w:r>
    </w:p>
    <w:p>
      <w:pPr>
        <w:spacing w:after="0" w:line="81" w:lineRule="exact"/>
        <w:rPr>
          <w:rFonts w:ascii="Arial" w:cs="Arial" w:eastAsia="Arial" w:hAnsi="Arial"/>
          <w:sz w:val="20"/>
          <w:szCs w:val="20"/>
          <w:color w:val="auto"/>
        </w:rPr>
      </w:pPr>
    </w:p>
    <w:p>
      <w:pPr>
        <w:ind w:left="240" w:hanging="240"/>
        <w:spacing w:after="0"/>
        <w:tabs>
          <w:tab w:leader="none" w:pos="2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improving our operational, financial and management controls, reporting systems and procedures.</w:t>
      </w:r>
    </w:p>
    <w:p>
      <w:pPr>
        <w:sectPr>
          <w:pgSz w:w="12240" w:h="15840" w:orient="portrait"/>
          <w:cols w:equalWidth="0" w:num="1">
            <w:col w:w="10080"/>
          </w:cols>
          <w:pgMar w:left="1080" w:top="1060" w:right="1080" w:bottom="175"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080" w:top="1060" w:right="1080" w:bottom="175" w:gutter="0" w:footer="0" w:header="0"/>
          <w:type w:val="continuous"/>
        </w:sectPr>
      </w:pPr>
    </w:p>
    <w:bookmarkStart w:id="54" w:name="page55"/>
    <w:bookmarkEnd w:id="54"/>
    <w:p>
      <w:pPr>
        <w:ind w:right="100"/>
        <w:spacing w:after="0" w:line="252" w:lineRule="auto"/>
        <w:rPr>
          <w:sz w:val="20"/>
          <w:szCs w:val="20"/>
          <w:color w:val="auto"/>
        </w:rPr>
      </w:pPr>
      <w:r>
        <w:rPr>
          <w:rFonts w:ascii="Times New Roman" w:cs="Times New Roman" w:eastAsia="Times New Roman" w:hAnsi="Times New Roman"/>
          <w:sz w:val="20"/>
          <w:szCs w:val="20"/>
          <w:color w:val="auto"/>
        </w:rPr>
        <w:t>Our future financial performance and our ability to successfully develop and, if approved, commercialize icovamenib, BMF-500, BMF-650 and future product candidates will depend, in part, on our ability to effectively manage any future growth in company headcount. Our management may also have to divert a disproportionate amount of its attention away from day-to-day activities in order to devote a substantial amount of time to managing these growth activities.</w:t>
      </w:r>
    </w:p>
    <w:p>
      <w:pPr>
        <w:spacing w:after="0" w:line="7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preclinical studies and clinical trials may be extended, delayed or terminated, and we may not be able to obtain marketing approval of icovamenib, BMF-500, BMF-650 or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68"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20"/>
          <w:szCs w:val="20"/>
          <w:color w:val="auto"/>
        </w:rPr>
        <w:t>If we are not able to effectively expand our organization by hiring new employees and/or engaging additional third-party service providers, we may not be able to successfully implement the tasks necessary to further develop and commercialize icovamenib, BMF-650, BMF-500 or any future product candidates and, accordingly, may not achieve our research, development and commercialization goals.</w:t>
      </w:r>
    </w:p>
    <w:p>
      <w:pPr>
        <w:spacing w:after="0" w:line="7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Business disruptions could materially adversely affect our future revenue and financial condition and increase our costs and expenses.</w:t>
      </w:r>
    </w:p>
    <w:p>
      <w:pPr>
        <w:spacing w:after="0" w:line="4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8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Our ability to develop icovamenib, BMF-500, BMF-650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8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certain other tax attributes to offset future taxable income may be limited.</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net operating loss (NOL) carryforwards that we generate in the future may be unavailable to offset future taxable income because of restrictions under U.S. tax law. Under current U.S. tax law, our federal NOLs generated in taxable years beginning after December 31, 2020 may be carried forward indefinitely, but such deductibility is limited to 80% of current year taxable income.</w:t>
      </w:r>
    </w:p>
    <w:p>
      <w:pPr>
        <w:spacing w:after="0" w:line="7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addition, under Sections 382 and 383 of the Internal Revenue Code of 1986, as amended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shifts in our stock ownership, some of which are outside our control. We have performed a Section 382 study and concluded that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In addition, at the state level, there may be periods during which the use of NOL carryforwards is suspended or otherwise limited, which could accelerate or permanently increase state taxes owed.</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080" w:top="1060" w:right="1080" w:bottom="175"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 may adversely affect us or our investors.</w:t>
      </w:r>
    </w:p>
    <w:p>
      <w:pPr>
        <w:spacing w:after="0" w:line="1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rules dealing with U.S. federal, state and local income taxation are constantly under review by persons involved in the legislative process and by the Internal Revenue Service and the U.S. Treasury Department. In recent years, many changes to tax laws have been made, and changes are likely to continue to occur in the future. For example, the OBBBA was signed into law on July 4, 2025 and made significant changes to U.S. federal tax law. Changes to tax laws (which changes may have retroactive application) could adversely affect us or holders of our common stock.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w:t>
      </w:r>
    </w:p>
    <w:p>
      <w:pPr>
        <w:spacing w:after="0" w:line="1" w:lineRule="exact"/>
        <w:rPr>
          <w:sz w:val="20"/>
          <w:szCs w:val="20"/>
          <w:color w:val="auto"/>
        </w:rPr>
      </w:pPr>
    </w:p>
    <w:p>
      <w:pPr>
        <w:ind w:right="40"/>
        <w:spacing w:after="0" w:line="241" w:lineRule="auto"/>
        <w:tabs>
          <w:tab w:leader="none" w:pos="23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first taxable year beginning after December 31, 2024, or (ii) ratably over the two-taxable year period beginning with the first taxable year beginning after December 31, 2024. Although the OBBBA has not materially impacted our effective tax rate or cash flows in the current fiscal year,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86"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 portion of our chemistry-based product development and sourcing of certain manufacturing raw materials for our product candidates takes place outside the United States through third-party manufacturers. A significant disruption in the operation of those manufacturers, a trade war or political unrest in China could materially adversely affect our business, financial condition and results of operations.</w:t>
      </w:r>
    </w:p>
    <w:p>
      <w:pPr>
        <w:spacing w:after="0" w:line="7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We currently contract certain product development and manufacturing operations to third parties outside the United States, including in China, and we expect to continue to use such third-party manufacturers to support the development of our product candidates. Any disruption in production or inability of our manufacturers outside the United States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outside the United States, we are exposed to the possibility of product supply disruption and increased costs in the event of changes in the policies of the United States or other foreign governments, political unrest or unstable economic conditions in these jurisdictions. For example, on September 25, 2025, the current U.S. administration announced a 100% tariff on brand-name or patented drugs unless pharmaceutical companies expand their manufacturing operations in the U.S., and may impose more restrictions on goods. While pharmaceutical products are currently excluded from the baseline and “reciprocal” tariffs imposed by the U.S., such tariffs still apply to the raw materials and other products necessary for the manufacture and formulation of our product candidates. As such, a trade war or other trade restrictions could lead to additional tariffs on the chemical intermediates we use that are manufactured in China.</w:t>
      </w:r>
    </w:p>
    <w:p>
      <w:pPr>
        <w:spacing w:after="0" w:line="8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addition, U.S. legislation, referred to as the BIOSECURE ACT, went into effect on December 18, 2025 as part of the National Defense Authorization Act of 2026, may have the effect of restricting the ability of U.S. biopharmaceutical companies to purchase services or products from, or otherwise collaborate with, certain Chinese biotechnology companies of concern without losing the ability to contract with, or otherwise receive funding from, the U.S. government.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foreign currency fluctuations in the value of the local currency as future appreciation of the local currency could increase our costs. In addition, our labor costs could continue to rise as wage rates increase due to increased demand for skilled laborers and the availability of skilled labor declines outside the United States, including in China.</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80"/>
          </w:cols>
          <w:pgMar w:left="1080" w:top="1060" w:right="1080" w:bottom="17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Risks Related to Reliance on Third Parties</w:t>
      </w:r>
    </w:p>
    <w:p>
      <w:pPr>
        <w:spacing w:after="0" w:line="12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8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expect to have to negotiate budgets and contracts with CROs, trial sites and CMOs and we may not be able to do so on favorable terms, which may result in delays to our development timelines and increased costs.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current Good Manufacturing Practices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cGMP) regulations and will require a large number of test participants. Our failure or any failure by these third parties to comply with these regulations or to recruit a sufficient number of participants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80"/>
          </w:cols>
          <w:pgMar w:left="1080" w:top="1056" w:right="1080" w:bottom="175" w:gutter="0" w:footer="0" w:header="0"/>
          <w:type w:val="continuous"/>
        </w:sectPr>
      </w:pPr>
    </w:p>
    <w:bookmarkStart w:id="57" w:name="page58"/>
    <w:bookmarkEnd w:id="57"/>
    <w:p>
      <w:pPr>
        <w:ind w:right="20"/>
        <w:spacing w:after="0" w:line="243" w:lineRule="auto"/>
        <w:rPr>
          <w:sz w:val="20"/>
          <w:szCs w:val="20"/>
          <w:color w:val="auto"/>
        </w:rPr>
      </w:pPr>
      <w:r>
        <w:rPr>
          <w:rFonts w:ascii="Times New Roman" w:cs="Times New Roman" w:eastAsia="Times New Roman" w:hAnsi="Times New Roman"/>
          <w:sz w:val="20"/>
          <w:szCs w:val="20"/>
          <w:color w:val="auto"/>
        </w:rPr>
        <w:t>Any third parties conducting our preclinical studies or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preclinical studies,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preclinical or clinical protocols or regulatory requirements or for other reasons, our preclinical studies or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89"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9"/>
          <w:szCs w:val="19"/>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5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expect to rely in the future on the use of dedicated manufacturing suites in third-party facilities or on third parties general manufacturing facilities to manufacture our product candidates, and we may rely on third parties to develop processes and testing methods for our products, if approved. Our business could be adversely affected if we are unable to use third-party manufacturing suites or if the third-party manufacturers fail to develop appropriate processes and testing methods to provide us with sufficient quantities of our product candidates or fail to do so at acceptable quality levels or prices.</w:t>
      </w:r>
    </w:p>
    <w:p>
      <w:pPr>
        <w:spacing w:after="0" w:line="8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if approved. We will need to negotiate and maintain contractual arrangements with these outside vendors for the supply of our product candidates and we may not be able to do so on favorable terms.</w:t>
      </w:r>
    </w:p>
    <w:p>
      <w:pPr>
        <w:spacing w:after="0" w:line="7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limited control over the ability of our contract manufacturers to maintain adequate quality control, quality assurance, qualified personnel, their equipment and facilities and any applicable licenses or approvals. If the FDA or a comparable foreign regulatory authority does not approve these facilities for the manufacture of our product candidates or if it withdraws any such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93"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auto"/>
        </w:rPr>
        <w:t>Our anticipated reliance on a limited number of third-party manufacturers exposes us to a number of risks, including the following:</w:t>
      </w:r>
    </w:p>
    <w:p>
      <w:pPr>
        <w:spacing w:after="0" w:line="64" w:lineRule="exact"/>
        <w:rPr>
          <w:sz w:val="20"/>
          <w:szCs w:val="20"/>
          <w:color w:val="auto"/>
        </w:rPr>
      </w:pPr>
    </w:p>
    <w:p>
      <w:pPr>
        <w:ind w:left="240" w:right="20" w:hanging="240"/>
        <w:spacing w:after="0" w:line="258" w:lineRule="auto"/>
        <w:tabs>
          <w:tab w:leader="none" w:pos="2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identify manufacturers on acceptable terms or at all because the number of potential manufacturers is limited and the FDA or other comparable foreign regulatory authority must inspect any manufacturers for cGMP compliance as part of our marketing application;</w:t>
      </w:r>
    </w:p>
    <w:p>
      <w:pPr>
        <w:spacing w:after="0" w:line="81" w:lineRule="exact"/>
        <w:rPr>
          <w:rFonts w:ascii="Arial" w:cs="Arial" w:eastAsia="Arial" w:hAnsi="Arial"/>
          <w:sz w:val="20"/>
          <w:szCs w:val="20"/>
          <w:color w:val="auto"/>
        </w:rPr>
      </w:pPr>
    </w:p>
    <w:p>
      <w:pPr>
        <w:ind w:left="240" w:right="300" w:hanging="240"/>
        <w:spacing w:after="0" w:line="258" w:lineRule="auto"/>
        <w:tabs>
          <w:tab w:leader="none" w:pos="2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processes and testing methods may need to be transferred to a new manufacturer, or we or others on our behalf may need to develop substantially equivalent processes and testing methods for, the production of our product candidates;</w:t>
      </w:r>
    </w:p>
    <w:p>
      <w:pPr>
        <w:spacing w:after="0" w:line="81" w:lineRule="exact"/>
        <w:rPr>
          <w:rFonts w:ascii="Arial" w:cs="Arial" w:eastAsia="Arial" w:hAnsi="Arial"/>
          <w:sz w:val="20"/>
          <w:szCs w:val="20"/>
          <w:color w:val="auto"/>
        </w:rPr>
      </w:pPr>
    </w:p>
    <w:p>
      <w:pPr>
        <w:ind w:left="240" w:right="200" w:hanging="240"/>
        <w:spacing w:after="0" w:line="276" w:lineRule="auto"/>
        <w:tabs>
          <w:tab w:leader="none" w:pos="2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manufacturers might be unable to timely manufacture our product candidates or produce the quantity and quality required to meet our clinical and commercial needs, if any;</w:t>
      </w:r>
    </w:p>
    <w:p>
      <w:pPr>
        <w:spacing w:after="0" w:line="64" w:lineRule="exact"/>
        <w:rPr>
          <w:rFonts w:ascii="Arial" w:cs="Arial" w:eastAsia="Arial" w:hAnsi="Arial"/>
          <w:sz w:val="20"/>
          <w:szCs w:val="20"/>
          <w:color w:val="auto"/>
        </w:rPr>
      </w:pPr>
    </w:p>
    <w:p>
      <w:pPr>
        <w:ind w:left="240" w:right="20" w:hanging="240"/>
        <w:spacing w:after="0" w:line="276" w:lineRule="auto"/>
        <w:tabs>
          <w:tab w:leader="none" w:pos="2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contract manufacturers may not be able to execute our manufacturing procedures and other logistical support requirements appropriately;</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80"/>
          </w:cols>
          <w:pgMar w:left="1080" w:top="1060" w:right="1080" w:bottom="175" w:gutter="0" w:footer="0" w:header="0"/>
          <w:type w:val="continuous"/>
        </w:sectPr>
      </w:pPr>
    </w:p>
    <w:bookmarkStart w:id="58" w:name="page59"/>
    <w:bookmarkEnd w:id="58"/>
    <w:p>
      <w:pPr>
        <w:ind w:left="240" w:right="20" w:hanging="240"/>
        <w:spacing w:after="0" w:line="258" w:lineRule="auto"/>
        <w:tabs>
          <w:tab w:leader="none" w:pos="24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81" w:lineRule="exact"/>
        <w:rPr>
          <w:rFonts w:ascii="Arial" w:cs="Arial" w:eastAsia="Arial" w:hAnsi="Arial"/>
          <w:sz w:val="20"/>
          <w:szCs w:val="20"/>
          <w:color w:val="auto"/>
        </w:rPr>
      </w:pPr>
    </w:p>
    <w:p>
      <w:pPr>
        <w:ind w:left="240" w:right="120" w:hanging="240"/>
        <w:spacing w:after="0" w:line="252" w:lineRule="auto"/>
        <w:tabs>
          <w:tab w:leader="none" w:pos="24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contract manufacturers are subject to ongoing periodic unannounced inspection by the FDA or other comparable foreign regulatory authority and corresponding state agencies to ensure strict compliance with cGMP and other government regulations and corresponding foreign standards and we have no control over third-party manufacturers’ compliance with these changing and tightening regulations and standards;</w:t>
      </w:r>
    </w:p>
    <w:p>
      <w:pPr>
        <w:spacing w:after="0" w:line="87" w:lineRule="exact"/>
        <w:rPr>
          <w:rFonts w:ascii="Arial" w:cs="Arial" w:eastAsia="Arial" w:hAnsi="Arial"/>
          <w:sz w:val="20"/>
          <w:szCs w:val="20"/>
          <w:color w:val="auto"/>
        </w:rPr>
      </w:pPr>
    </w:p>
    <w:p>
      <w:pPr>
        <w:ind w:left="240" w:right="520" w:hanging="240"/>
        <w:spacing w:after="0" w:line="276" w:lineRule="auto"/>
        <w:tabs>
          <w:tab w:leader="none" w:pos="24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own, or may have to share, the intellectual property rights to any improvements made by our third-party manufacturers in the manufacturing process for our product candidates;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manufacturers could breach or terminate their agreements with us;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manufacturers may experience change of control of their ownership including ownership by a competitor,</w:t>
      </w:r>
    </w:p>
    <w:p>
      <w:pPr>
        <w:spacing w:after="0" w:line="133" w:lineRule="exact"/>
        <w:rPr>
          <w:rFonts w:ascii="Arial" w:cs="Arial" w:eastAsia="Arial" w:hAnsi="Arial"/>
          <w:sz w:val="20"/>
          <w:szCs w:val="20"/>
          <w:color w:val="auto"/>
        </w:rPr>
      </w:pPr>
    </w:p>
    <w:p>
      <w:pPr>
        <w:jc w:val="both"/>
        <w:ind w:left="240" w:right="40" w:hanging="240"/>
        <w:spacing w:after="0" w:line="258" w:lineRule="auto"/>
        <w:tabs>
          <w:tab w:leader="none" w:pos="24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raw materials and components used in the manufacturing process, particularly those for which we have no other source or supplier, may not be available at acceptable prices, or at all, or may not be suitable or acceptable for use due to material or component defects;</w:t>
      </w:r>
    </w:p>
    <w:p>
      <w:pPr>
        <w:spacing w:after="0" w:line="81" w:lineRule="exact"/>
        <w:rPr>
          <w:rFonts w:ascii="Arial" w:cs="Arial" w:eastAsia="Arial" w:hAnsi="Arial"/>
          <w:sz w:val="20"/>
          <w:szCs w:val="20"/>
          <w:color w:val="auto"/>
        </w:rPr>
      </w:pPr>
    </w:p>
    <w:p>
      <w:pPr>
        <w:ind w:left="240" w:right="180" w:hanging="240"/>
        <w:spacing w:after="0" w:line="276" w:lineRule="auto"/>
        <w:tabs>
          <w:tab w:leader="none" w:pos="24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contract manufacturers and critical reagent suppliers may be subject to inclement weather, as well as natural or man-made disasters; and</w:t>
      </w:r>
    </w:p>
    <w:p>
      <w:pPr>
        <w:spacing w:after="0" w:line="64" w:lineRule="exact"/>
        <w:rPr>
          <w:rFonts w:ascii="Arial" w:cs="Arial" w:eastAsia="Arial" w:hAnsi="Arial"/>
          <w:sz w:val="20"/>
          <w:szCs w:val="20"/>
          <w:color w:val="auto"/>
        </w:rPr>
      </w:pPr>
    </w:p>
    <w:p>
      <w:pPr>
        <w:ind w:left="240" w:right="40" w:hanging="240"/>
        <w:spacing w:after="0" w:line="258" w:lineRule="auto"/>
        <w:tabs>
          <w:tab w:leader="none" w:pos="24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contract manufacturers may have unacceptable or inconsistent product quality success rates and yields, and we have no direct control over our contract manufacturers’ ability to maintain adequate quality control, quality assurance, qualified personnel, their equipment and facilities and any applicable licenses or approvals.</w:t>
      </w:r>
    </w:p>
    <w:p>
      <w:pPr>
        <w:spacing w:after="0" w:line="6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addition, from time to time we have relied upon, and may continue to rely upon, third-party contract manufacturers that are based in jurisdictions outside the United States. Legislation was proposed that, if enacted, could have negatively impact U.S. funding for certain biotechnology providers having relationships with foreign adversaries or which pose a threat to national security. If any of our third-party manufacturers are impacted by these legislative proposals, the potential downstream adverse impacts on us are unknown but may include supply chain disruptions or delays.</w:t>
      </w:r>
    </w:p>
    <w:p>
      <w:pPr>
        <w:spacing w:after="0" w:line="77"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Our business could be materially adversely affected by any business disruptions to our third-party providers that could materially adversely affect our potential future revenue and financial condition and increase our costs and expenses. Each of these risks could delay or prevent the initiation or completion of any clinical trials or the approval of any of our product candidates by the FDA or other comparable foreign regulatory authority,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or other comparable foreign regulatory authority could place significant restrictions on our company until deficiencies are remedied.</w:t>
      </w:r>
    </w:p>
    <w:p>
      <w:pPr>
        <w:spacing w:after="0" w:line="82"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currently, and may in the future, depend on single-source suppliers for some of the ingredients, raw materials, components and materials used in, and development activities required to manufacture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be able to supply materials or services to us at cost that are acceptable to us,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ectPr>
          <w:pgSz w:w="12240" w:h="15840" w:orient="portrait"/>
          <w:cols w:equalWidth="0" w:num="1">
            <w:col w:w="10080"/>
          </w:cols>
          <w:pgMar w:left="1080" w:top="1074"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080"/>
          </w:cols>
          <w:pgMar w:left="1080" w:top="1074" w:right="1080" w:bottom="175" w:gutter="0" w:footer="0" w:header="0"/>
          <w:type w:val="continuous"/>
        </w:sectPr>
      </w:pPr>
    </w:p>
    <w:bookmarkStart w:id="59" w:name="page60"/>
    <w:bookmarkEnd w:id="59"/>
    <w:p>
      <w:pPr>
        <w:spacing w:after="0" w:line="244" w:lineRule="auto"/>
        <w:rPr>
          <w:sz w:val="20"/>
          <w:szCs w:val="20"/>
          <w:color w:val="auto"/>
        </w:rPr>
      </w:pPr>
      <w:r>
        <w:rPr>
          <w:rFonts w:ascii="Times New Roman" w:cs="Times New Roman" w:eastAsia="Times New Roman" w:hAnsi="Times New Roman"/>
          <w:sz w:val="20"/>
          <w:szCs w:val="20"/>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or adversely impact the quality of our product candidates.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 candidates,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86"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third-party manufacturers use hazardous and biological materials in a manner that causes injury or violates applicable law, we may be liable for damages.</w:t>
      </w:r>
    </w:p>
    <w:p>
      <w:pPr>
        <w:spacing w:after="0" w:line="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research and development activities involve the controlled use of potentially hazardous substances, including chemical and biological materials, by our third-party manufacturers. Our manufacturers may use highly flammable reagents at high reaction temperature, are subject to federal, state and local laws and regulations in the United States and their country governing the use, manufacture, storage, handling and disposal of medical and hazardous materials. Although we believe that our manufacturers’ procedures for using, handling, storing and disposing of these materials comply with legally prescribed standards and regulations,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8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4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 collaborations involving our product candidates are subject to numerous risks, which may include the following:</w:t>
      </w:r>
    </w:p>
    <w:p>
      <w:pPr>
        <w:spacing w:after="0" w:line="134" w:lineRule="exact"/>
        <w:rPr>
          <w:sz w:val="20"/>
          <w:szCs w:val="20"/>
          <w:color w:val="auto"/>
        </w:rPr>
      </w:pPr>
    </w:p>
    <w:p>
      <w:pPr>
        <w:ind w:left="240" w:hanging="240"/>
        <w:spacing w:after="0"/>
        <w:tabs>
          <w:tab w:leader="none" w:pos="2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a collaboration;</w:t>
      </w:r>
    </w:p>
    <w:p>
      <w:pPr>
        <w:spacing w:after="0" w:line="133" w:lineRule="exact"/>
        <w:rPr>
          <w:rFonts w:ascii="Arial" w:cs="Arial" w:eastAsia="Arial" w:hAnsi="Arial"/>
          <w:sz w:val="20"/>
          <w:szCs w:val="20"/>
          <w:color w:val="auto"/>
        </w:rPr>
      </w:pPr>
    </w:p>
    <w:p>
      <w:pPr>
        <w:ind w:left="240" w:right="160" w:hanging="240"/>
        <w:spacing w:after="0" w:line="252" w:lineRule="auto"/>
        <w:tabs>
          <w:tab w:leader="none" w:pos="2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87" w:lineRule="exact"/>
        <w:rPr>
          <w:rFonts w:ascii="Arial" w:cs="Arial" w:eastAsia="Arial" w:hAnsi="Arial"/>
          <w:sz w:val="20"/>
          <w:szCs w:val="20"/>
          <w:color w:val="auto"/>
        </w:rPr>
      </w:pPr>
    </w:p>
    <w:p>
      <w:pPr>
        <w:ind w:left="240" w:right="340" w:hanging="240"/>
        <w:spacing w:after="0" w:line="258" w:lineRule="auto"/>
        <w:tabs>
          <w:tab w:leader="none" w:pos="2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81" w:lineRule="exact"/>
        <w:rPr>
          <w:rFonts w:ascii="Arial" w:cs="Arial" w:eastAsia="Arial" w:hAnsi="Arial"/>
          <w:sz w:val="20"/>
          <w:szCs w:val="20"/>
          <w:color w:val="auto"/>
        </w:rPr>
      </w:pPr>
    </w:p>
    <w:p>
      <w:pPr>
        <w:ind w:left="240" w:right="100" w:hanging="240"/>
        <w:spacing w:after="0" w:line="276" w:lineRule="auto"/>
        <w:tabs>
          <w:tab w:leader="none" w:pos="2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 candidates;</w:t>
      </w:r>
    </w:p>
    <w:p>
      <w:pPr>
        <w:spacing w:after="0" w:line="64" w:lineRule="exact"/>
        <w:rPr>
          <w:rFonts w:ascii="Arial" w:cs="Arial" w:eastAsia="Arial" w:hAnsi="Arial"/>
          <w:sz w:val="20"/>
          <w:szCs w:val="20"/>
          <w:color w:val="auto"/>
        </w:rPr>
      </w:pPr>
    </w:p>
    <w:p>
      <w:pPr>
        <w:ind w:left="240" w:right="80" w:hanging="240"/>
        <w:spacing w:after="0" w:line="276" w:lineRule="auto"/>
        <w:tabs>
          <w:tab w:leader="none" w:pos="2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 collaborator with marketing and distribution rights to one or more products may not commit sufficient resources to their marketing and distribution;</w:t>
      </w:r>
    </w:p>
    <w:p>
      <w:pPr>
        <w:spacing w:after="0" w:line="64" w:lineRule="exact"/>
        <w:rPr>
          <w:rFonts w:ascii="Arial" w:cs="Arial" w:eastAsia="Arial" w:hAnsi="Arial"/>
          <w:sz w:val="20"/>
          <w:szCs w:val="20"/>
          <w:color w:val="auto"/>
        </w:rPr>
      </w:pPr>
    </w:p>
    <w:p>
      <w:pPr>
        <w:ind w:left="240" w:right="180" w:hanging="240"/>
        <w:spacing w:after="0" w:line="258" w:lineRule="auto"/>
        <w:tabs>
          <w:tab w:leader="none" w:pos="2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080"/>
          </w:cols>
          <w:pgMar w:left="1080" w:top="1060" w:right="1080" w:bottom="175" w:gutter="0" w:footer="0" w:header="0"/>
          <w:type w:val="continuous"/>
        </w:sectPr>
      </w:pPr>
    </w:p>
    <w:bookmarkStart w:id="60" w:name="page61"/>
    <w:bookmarkEnd w:id="60"/>
    <w:p>
      <w:pPr>
        <w:jc w:val="both"/>
        <w:ind w:left="240" w:right="520" w:hanging="240"/>
        <w:spacing w:after="0" w:line="258" w:lineRule="auto"/>
        <w:tabs>
          <w:tab w:leader="none" w:pos="2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81" w:lineRule="exact"/>
        <w:rPr>
          <w:rFonts w:ascii="Arial" w:cs="Arial" w:eastAsia="Arial" w:hAnsi="Arial"/>
          <w:sz w:val="20"/>
          <w:szCs w:val="20"/>
          <w:color w:val="auto"/>
        </w:rPr>
      </w:pPr>
    </w:p>
    <w:p>
      <w:pPr>
        <w:ind w:left="240" w:right="880" w:hanging="240"/>
        <w:spacing w:after="0" w:line="276" w:lineRule="auto"/>
        <w:tabs>
          <w:tab w:leader="none" w:pos="2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or commercialization of the applicable product candidates; and</w:t>
      </w:r>
    </w:p>
    <w:p>
      <w:pPr>
        <w:spacing w:after="0" w:line="64" w:lineRule="exact"/>
        <w:rPr>
          <w:rFonts w:ascii="Arial" w:cs="Arial" w:eastAsia="Arial" w:hAnsi="Arial"/>
          <w:sz w:val="20"/>
          <w:szCs w:val="20"/>
          <w:color w:val="auto"/>
        </w:rPr>
      </w:pPr>
    </w:p>
    <w:p>
      <w:pPr>
        <w:ind w:left="240" w:right="60" w:hanging="240"/>
        <w:spacing w:after="0" w:line="276" w:lineRule="auto"/>
        <w:tabs>
          <w:tab w:leader="none" w:pos="2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own or co-own intellectual property covering our product candidates that results from our collaborating with them, and in such cases, we would not have the exclusive right to commercialize such intellectual property.</w:t>
      </w:r>
    </w:p>
    <w:p>
      <w:pPr>
        <w:spacing w:after="0" w:line="5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Furthermore, if conflicts arise between our future corporate or academic collaborators or strategic partners and us, the other party may act in a manner adverse to us and could limit our ability to implement our strategies.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86"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83" w:lineRule="exact"/>
        <w:rPr>
          <w:sz w:val="20"/>
          <w:szCs w:val="20"/>
          <w:color w:val="auto"/>
        </w:rPr>
      </w:pPr>
    </w:p>
    <w:p>
      <w:pPr>
        <w:ind w:left="240" w:hanging="240"/>
        <w:spacing w:after="0"/>
        <w:tabs>
          <w:tab w:leader="none" w:pos="24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operating expenses and cash requirements;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assumption of additional indebtedness or contingent liabilities;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our equity securities;</w:t>
      </w:r>
    </w:p>
    <w:p>
      <w:pPr>
        <w:spacing w:after="0" w:line="133" w:lineRule="exact"/>
        <w:rPr>
          <w:rFonts w:ascii="Arial" w:cs="Arial" w:eastAsia="Arial" w:hAnsi="Arial"/>
          <w:sz w:val="20"/>
          <w:szCs w:val="20"/>
          <w:color w:val="auto"/>
        </w:rPr>
      </w:pPr>
    </w:p>
    <w:p>
      <w:pPr>
        <w:ind w:left="240" w:right="360" w:hanging="240"/>
        <w:spacing w:after="0" w:line="276" w:lineRule="auto"/>
        <w:tabs>
          <w:tab w:leader="none" w:pos="24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assimilation of operations, intellectual property and products of an acquired company, including difficulties associated with integrating new personnel;</w:t>
      </w:r>
    </w:p>
    <w:p>
      <w:pPr>
        <w:spacing w:after="0" w:line="64" w:lineRule="exact"/>
        <w:rPr>
          <w:rFonts w:ascii="Arial" w:cs="Arial" w:eastAsia="Arial" w:hAnsi="Arial"/>
          <w:sz w:val="20"/>
          <w:szCs w:val="20"/>
          <w:color w:val="auto"/>
        </w:rPr>
      </w:pPr>
    </w:p>
    <w:p>
      <w:pPr>
        <w:ind w:left="240" w:right="20" w:hanging="240"/>
        <w:spacing w:after="0" w:line="276" w:lineRule="auto"/>
        <w:tabs>
          <w:tab w:leader="none" w:pos="24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diversion of our management’s attention from our existing programs and initiatives in pursuing such a strategic merger or acquisition;</w:t>
      </w:r>
    </w:p>
    <w:p>
      <w:pPr>
        <w:spacing w:after="0" w:line="64" w:lineRule="exact"/>
        <w:rPr>
          <w:rFonts w:ascii="Arial" w:cs="Arial" w:eastAsia="Arial" w:hAnsi="Arial"/>
          <w:sz w:val="20"/>
          <w:szCs w:val="20"/>
          <w:color w:val="auto"/>
        </w:rPr>
      </w:pPr>
    </w:p>
    <w:p>
      <w:pPr>
        <w:ind w:left="240" w:right="1060" w:hanging="240"/>
        <w:spacing w:after="0" w:line="276" w:lineRule="auto"/>
        <w:tabs>
          <w:tab w:leader="none" w:pos="24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retention of key employees, the loss of key personnel and uncertainties in our ability to maintain key business relationships;</w:t>
      </w:r>
    </w:p>
    <w:p>
      <w:pPr>
        <w:spacing w:after="0" w:line="64" w:lineRule="exact"/>
        <w:rPr>
          <w:rFonts w:ascii="Arial" w:cs="Arial" w:eastAsia="Arial" w:hAnsi="Arial"/>
          <w:sz w:val="20"/>
          <w:szCs w:val="20"/>
          <w:color w:val="auto"/>
        </w:rPr>
      </w:pPr>
    </w:p>
    <w:p>
      <w:pPr>
        <w:ind w:left="240" w:right="120" w:hanging="240"/>
        <w:spacing w:after="0" w:line="276" w:lineRule="auto"/>
        <w:tabs>
          <w:tab w:leader="none" w:pos="24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risks and uncertainties associated with the other party to such a transaction, including the prospects of that party and their existing products or product candidates and marketing approvals; and</w:t>
      </w:r>
    </w:p>
    <w:p>
      <w:pPr>
        <w:spacing w:after="0" w:line="64" w:lineRule="exact"/>
        <w:rPr>
          <w:rFonts w:ascii="Arial" w:cs="Arial" w:eastAsia="Arial" w:hAnsi="Arial"/>
          <w:sz w:val="20"/>
          <w:szCs w:val="20"/>
          <w:color w:val="auto"/>
        </w:rPr>
      </w:pPr>
    </w:p>
    <w:p>
      <w:pPr>
        <w:ind w:left="240" w:right="980" w:hanging="240"/>
        <w:spacing w:after="0" w:line="276" w:lineRule="auto"/>
        <w:tabs>
          <w:tab w:leader="none" w:pos="24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generate revenue from acquired technology and/or products sufficient to meet our objectives in undertaking the acquisition or even to offset the associated acquisition and maintenance costs.</w:t>
      </w:r>
    </w:p>
    <w:p>
      <w:pPr>
        <w:spacing w:after="0" w:line="5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1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maintain, enforce and adequately protect our patents and other intellectual property rights with respect to our technology and product candidates, or if the scope of our patents or other intellectual property rights are not sufficiently broad, our competitors could develop and commercialize technology and products similar or identical to ours, and our ability to successfully develop and commercialize our technology or product candidates may be adversely affected.</w:t>
      </w:r>
    </w:p>
    <w:p>
      <w:pPr>
        <w:sectPr>
          <w:pgSz w:w="12240" w:h="15840" w:orient="portrait"/>
          <w:cols w:equalWidth="0" w:num="1">
            <w:col w:w="10080"/>
          </w:cols>
          <w:pgMar w:left="1080" w:top="1074"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080"/>
          </w:cols>
          <w:pgMar w:left="1080" w:top="1074" w:right="1080" w:bottom="175" w:gutter="0" w:footer="0" w:header="0"/>
          <w:type w:val="continuous"/>
        </w:sectPr>
      </w:pPr>
    </w:p>
    <w:bookmarkStart w:id="61" w:name="page62"/>
    <w:bookmarkEnd w:id="61"/>
    <w:p>
      <w:pPr>
        <w:ind w:right="40"/>
        <w:spacing w:after="0" w:line="246" w:lineRule="auto"/>
        <w:rPr>
          <w:sz w:val="20"/>
          <w:szCs w:val="20"/>
          <w:color w:val="auto"/>
        </w:rPr>
      </w:pPr>
      <w:r>
        <w:rPr>
          <w:rFonts w:ascii="Times New Roman" w:cs="Times New Roman" w:eastAsia="Times New Roman" w:hAnsi="Times New Roman"/>
          <w:sz w:val="20"/>
          <w:szCs w:val="20"/>
          <w:color w:val="auto"/>
        </w:rPr>
        <w:t>We rely on a combination of patent applications, trade secret protection and confidentiality agreements to protect the intellectual property related to our technology and product candidates, and our success depends in large part on our ability to obtain and maintain patent protection in the United States and other countries with respect to such technology and product candidates.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strength of patents in the biotechnology and pharmaceutical field involves complex legal, factual and scientific questions and can be uncertain.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w:t>
      </w:r>
    </w:p>
    <w:p>
      <w:pPr>
        <w:spacing w:after="0" w:line="7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The patent applications that we own may fail to result in issued patents with claims that cover our technology or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technology or product candidates, third parties may challenge the inventorship, ownership, validity, enforceability or scope of such patents, which may result in such patents being narrowed or invalidated, or being held unenforceable. Our pending and future patent applications may not issue to protect our technology or product candidates or which effectively prevent others from developing, manufacturing or commercializing competitive technologies and product candidates.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 and beyond.</w:t>
      </w:r>
    </w:p>
    <w:p>
      <w:pPr>
        <w:spacing w:after="0" w:line="89"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color w:val="auto"/>
        </w:rPr>
        <w:t>If the breadth or strength of protection provided or potentially provided by the patents and patent applications we hold with respect to our technology or product candidates is threatened, it could dissuade companies from collaborating with us to develop, and threaten our ability to commercialize, our product candidates. Furthermore, even if our patents and patent applications are unchallenged, they may not adequately protect our intellectual property, provide exclusivity for our technology and product candidates or prevent others from designing around our claims. In addition, no assurances can be given that third parties will not create similar or alternative technologies, products or methods that achieve similar results without infringing upon our patents. Any of these outcomes could impair our ability to prevent competition from third parties, which may have an adverse impact on our business.</w:t>
      </w:r>
    </w:p>
    <w:p>
      <w:pPr>
        <w:spacing w:after="0" w:line="8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w:t>
      </w:r>
    </w:p>
    <w:p>
      <w:pPr>
        <w:spacing w:after="0" w:line="7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litigation, opposition, interference, derivation, post 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60"/>
          </w:cols>
          <w:pgMar w:left="1080" w:top="1060" w:right="1100" w:bottom="175" w:gutter="0" w:footer="0" w:header="0"/>
          <w:type w:val="continuous"/>
        </w:sectPr>
      </w:pPr>
    </w:p>
    <w:bookmarkStart w:id="62" w:name="page63"/>
    <w:bookmarkEnd w:id="62"/>
    <w:p>
      <w:pPr>
        <w:ind w:right="180"/>
        <w:spacing w:after="0" w:line="244" w:lineRule="auto"/>
        <w:rPr>
          <w:sz w:val="20"/>
          <w:szCs w:val="20"/>
          <w:color w:val="auto"/>
        </w:rPr>
      </w:pPr>
      <w:r>
        <w:rPr>
          <w:rFonts w:ascii="Times New Roman" w:cs="Times New Roman" w:eastAsia="Times New Roman" w:hAnsi="Times New Roman"/>
          <w:sz w:val="20"/>
          <w:szCs w:val="20"/>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8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However, trade secrets can be difficult to protect and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even then, the license may not be available on commercially reasonable terms. 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w:t>
      </w:r>
    </w:p>
    <w:p>
      <w:pPr>
        <w:spacing w:after="0" w:line="8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We seek to protect our proprietary technology and processes, in part, by entering into confidentiality agreements with parties who have access to them, such as our employees,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w:t>
      </w:r>
    </w:p>
    <w:p>
      <w:pPr>
        <w:spacing w:after="0" w:line="80"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77" w:lineRule="exact"/>
        <w:rPr>
          <w:sz w:val="20"/>
          <w:szCs w:val="20"/>
          <w:color w:val="auto"/>
        </w:rPr>
      </w:pPr>
    </w:p>
    <w:p>
      <w:pPr>
        <w:jc w:val="both"/>
        <w:ind w:right="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Our success depends in part on our ability to protect our intellectual property rights. It is difficult and costly to protect our proprietary rights and technology, and we may not be able to protect our intellectual property rights throughout the world.</w:t>
      </w:r>
    </w:p>
    <w:p>
      <w:pPr>
        <w:spacing w:after="0" w:line="2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Our commercial success will depend in large part on obtaining and maintaining patent, trademark and trade secret protection of our proprietary technologies and product candidates and any future products. These candidates include icovamenib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technology, product and product candidates is dependent upon the extent to which we have rights under valid and enforceable patents or trade secrets that cover these activities.</w:t>
      </w:r>
    </w:p>
    <w:p>
      <w:pPr>
        <w:spacing w:after="0" w:line="8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patent prosecution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8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If we delay in filing a patent application, and a competitor files a patent application on the same or a similar technology before we do, we may face a limited ability to secure patent rights or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080"/>
          </w:cols>
          <w:pgMar w:left="1080" w:top="1060" w:right="1080" w:bottom="175" w:gutter="0" w:footer="0" w:header="0"/>
          <w:type w:val="continuous"/>
        </w:sectPr>
      </w:pPr>
    </w:p>
    <w:bookmarkStart w:id="63" w:name="page64"/>
    <w:bookmarkEnd w:id="63"/>
    <w:p>
      <w:pPr>
        <w:ind w:right="360"/>
        <w:spacing w:after="0" w:line="258" w:lineRule="auto"/>
        <w:rPr>
          <w:sz w:val="20"/>
          <w:szCs w:val="20"/>
          <w:color w:val="auto"/>
        </w:rPr>
      </w:pPr>
      <w:r>
        <w:rPr>
          <w:rFonts w:ascii="Times New Roman" w:cs="Times New Roman" w:eastAsia="Times New Roman" w:hAnsi="Times New Roman"/>
          <w:sz w:val="20"/>
          <w:szCs w:val="20"/>
          <w:color w:val="auto"/>
        </w:rPr>
        <w:t>If the competitor files a patent application on such an advance before we do, then we may no longer be able to protect the technology or product, we may require a license from the competitor, and if then the license may not be available on commercially reasonable terms.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8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4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8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commercially-reasonable terms or at all). Any efforts to enforce our intellectual property rights are also likely to be costly and may divert the efforts of our scientific and management personnel.</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80"/>
          </w:cols>
          <w:pgMar w:left="1080" w:top="1060" w:right="1080" w:bottom="175" w:gutter="0" w:footer="0" w:header="0"/>
          <w:type w:val="continuous"/>
        </w:sectPr>
      </w:pPr>
    </w:p>
    <w:bookmarkStart w:id="64" w:name="page65"/>
    <w:bookmarkEnd w:id="64"/>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4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Competitors and other third parties may infringe or otherwise violate our or our future licensor’s patents, trademarks, copyrights or other intellectual property. To counter infringement or other violations, we may be required to file infringement, misappropriation or other intellectual property-related claims against such parties, which can be expensive and time consuming.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such a case, we could ultimately be forced to cease use of such marks. In any intellectual property litigation, even if we are successful, any award of monetary damages or other remedy we receive may not be commercially valuable. The outcome following legal assertions of invalidity and unenforceability is unpredictable.</w:t>
      </w:r>
    </w:p>
    <w:p>
      <w:pPr>
        <w:spacing w:after="0" w:line="6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7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8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We may be required to protect our patents through procedures created to attack the validity of a patent at the USPTO. The USPTO hears post-grant proceedings, including post grant review (PGR),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060"/>
          </w:cols>
          <w:pgMar w:left="1080" w:top="1060" w:right="1100" w:bottom="175" w:gutter="0" w:footer="0" w:header="0"/>
          <w:type w:val="continuous"/>
        </w:sectPr>
      </w:pPr>
    </w:p>
    <w:bookmarkStart w:id="65" w:name="page66"/>
    <w:bookmarkEnd w:id="65"/>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4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Competitors and other third parties may infringe or otherwise violate our or our future licensor’s patents, trademarks, copyrights or other intellectual property. To counter infringement or other violations, we may be required to file infringement, misappropriation or other intellectual property-related claims against such parties, which can be expensive and time consuming.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such a case, we could ultimately be forced to cease use of such marks. In any intellectual property litigation, even if we are successful, any award of monetary damages or other remedy we receive may not be commercially valuable. The outcome following legal assertions of invalidity and unenforceability is unpredictable.</w:t>
      </w:r>
    </w:p>
    <w:p>
      <w:pPr>
        <w:spacing w:after="0" w:line="6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7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8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We may be required to protect our patents through procedures created to attack the validity of a patent at the USPTO. The USPTO hears post-grant proceedings, including post grant review (PGR),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8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U.S. patent law, or laws in other countries, could diminish the value of patents in general, thereby impairing our ability to protect our technology, products and product candidates.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060"/>
          </w:cols>
          <w:pgMar w:left="1080" w:top="1060" w:right="1100" w:bottom="175" w:gutter="0" w:footer="0" w:header="0"/>
          <w:type w:val="continuous"/>
        </w:sectPr>
      </w:pPr>
    </w:p>
    <w:bookmarkStart w:id="66" w:name="page67"/>
    <w:bookmarkEnd w:id="66"/>
    <w:p>
      <w:pPr>
        <w:ind w:right="20"/>
        <w:spacing w:after="0" w:line="242" w:lineRule="auto"/>
        <w:rPr>
          <w:sz w:val="20"/>
          <w:szCs w:val="20"/>
          <w:color w:val="auto"/>
        </w:rPr>
      </w:pPr>
      <w:r>
        <w:rPr>
          <w:rFonts w:ascii="Times New Roman" w:cs="Times New Roman" w:eastAsia="Times New Roman" w:hAnsi="Times New Roman"/>
          <w:sz w:val="20"/>
          <w:szCs w:val="20"/>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or future licensor’s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of our patents and other intellectual property.</w:t>
      </w:r>
    </w:p>
    <w:p>
      <w:pPr>
        <w:spacing w:after="0" w:line="12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technology or product candidates. Also, former employees may become employed by competitors who develop similar technology or product candidates, and could assist the competitor in designing around our patents or trade secrets. While it is our policy to require our employees and contractors who may be involved in the development of our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technology or product candidates. Even if we are successful in defending against such claims, litigation could result in substantial costs and be a distraction to management and other employees.</w:t>
      </w:r>
    </w:p>
    <w:p>
      <w:pPr>
        <w:spacing w:after="0" w:line="83"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color w:val="auto"/>
        </w:rPr>
        <w:t>Any of the foregoing could have a material adverse effect on our business, financial condition, results of operations and prospects.</w:t>
      </w:r>
    </w:p>
    <w:p>
      <w:pPr>
        <w:spacing w:after="0" w:line="4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use and will continue to use registered and/or unregistered trademarks or trade names to brand and market ourselves and any products that we develop.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9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80"/>
          </w:cols>
          <w:pgMar w:left="1080" w:top="1060" w:right="1080" w:bottom="175" w:gutter="0" w:footer="0" w:header="0"/>
          <w:type w:val="continuous"/>
        </w:sectPr>
      </w:pPr>
    </w:p>
    <w:bookmarkStart w:id="67" w:name="page68"/>
    <w:bookmarkEnd w:id="67"/>
    <w:p>
      <w:pPr>
        <w:ind w:right="20"/>
        <w:spacing w:after="0" w:line="244" w:lineRule="auto"/>
        <w:rPr>
          <w:sz w:val="20"/>
          <w:szCs w:val="20"/>
          <w:color w:val="auto"/>
        </w:rPr>
      </w:pPr>
      <w:r>
        <w:rPr>
          <w:rFonts w:ascii="Times New Roman" w:cs="Times New Roman" w:eastAsia="Times New Roman" w:hAnsi="Times New Roman"/>
          <w:sz w:val="20"/>
          <w:szCs w:val="20"/>
          <w:color w:val="auto"/>
        </w:rPr>
        <w:t>Our commercial success depends upon our ability to develop, manufacture, market and sell our technology, product candidates and products and use our proprietary technologies without infringing the proprietary rights of third parties. U.S. and foreign issued patents and pending patent applications, which are owned by third parties, exist in the fields relating to our technology, product candidates and products. As the biotechnology and pharmaceutical industries expand and more patents are issued, the risk increases that others may assert our technology, product candidates or products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technology, product candidates and products.</w:t>
      </w:r>
    </w:p>
    <w:p>
      <w:pPr>
        <w:spacing w:after="0" w:line="8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technology, product candidates and/or products infringe or misappropriate their intellectual property rights.</w:t>
      </w:r>
    </w:p>
    <w:p>
      <w:pPr>
        <w:spacing w:after="0" w:line="7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If a third party claims that we infringe or misappropriate its intellectual property rights, we may face a number of issues, including, but not limited to: infringement, misappropriation and other intellectual property related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or misappropriation was willful, we could be ordered to pay treble damages and the patent owner’s attorneys’ fees; a court prohibiting us from developing, manufacturing, marketing or selling our products or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technology, product candidates or products so they do not infringe such third party patents; redesign may not be possible or may require substantial monetary expenditures and time.</w:t>
      </w:r>
    </w:p>
    <w:p>
      <w:pPr>
        <w:spacing w:after="0" w:line="86"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7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 xml:space="preserve">We may choose to challenge the patentability of claims in a third party’s U.S. patent by requesting that the USPTO review the patent claims in </w:t>
      </w:r>
      <w:r>
        <w:rPr>
          <w:rFonts w:ascii="Times New Roman" w:cs="Times New Roman" w:eastAsia="Times New Roman" w:hAnsi="Times New Roman"/>
          <w:sz w:val="20"/>
          <w:szCs w:val="20"/>
          <w:i w:val="1"/>
          <w:iCs w:val="1"/>
          <w:color w:val="auto"/>
        </w:rPr>
        <w:t>ex-parte</w:t>
      </w:r>
      <w:r>
        <w:rPr>
          <w:rFonts w:ascii="Times New Roman" w:cs="Times New Roman" w:eastAsia="Times New Roman" w:hAnsi="Times New Roman"/>
          <w:sz w:val="20"/>
          <w:szCs w:val="20"/>
          <w:color w:val="auto"/>
        </w:rPr>
        <w:t xml:space="preserve"> re-exam,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technology, product candidates or products.</w:t>
      </w:r>
    </w:p>
    <w:p>
      <w:pPr>
        <w:spacing w:after="0" w:line="8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may lead to unfavorable publicity that harms our reputation and causes the market price of our common stock to decline.</w:t>
      </w:r>
    </w:p>
    <w:p>
      <w:pPr>
        <w:spacing w:after="0" w:line="4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ectPr>
          <w:pgSz w:w="12240" w:h="15840" w:orient="portrait"/>
          <w:cols w:equalWidth="0" w:num="1">
            <w:col w:w="10080"/>
          </w:cols>
          <w:pgMar w:left="1080" w:top="1060" w:right="1080" w:bottom="175"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080"/>
          </w:cols>
          <w:pgMar w:left="1080" w:top="1060" w:right="1080" w:bottom="175" w:gutter="0" w:footer="0" w:header="0"/>
          <w:type w:val="continuous"/>
        </w:sectPr>
      </w:pPr>
    </w:p>
    <w:bookmarkStart w:id="68" w:name="page69"/>
    <w:bookmarkEnd w:id="68"/>
    <w:p>
      <w:pPr>
        <w:ind w:right="20"/>
        <w:spacing w:after="0" w:line="242" w:lineRule="auto"/>
        <w:rPr>
          <w:sz w:val="20"/>
          <w:szCs w:val="20"/>
          <w:color w:val="auto"/>
        </w:rPr>
      </w:pPr>
      <w:r>
        <w:rPr>
          <w:rFonts w:ascii="Times New Roman" w:cs="Times New Roman" w:eastAsia="Times New Roman" w:hAnsi="Times New Roman"/>
          <w:sz w:val="20"/>
          <w:szCs w:val="20"/>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88" w:lineRule="exact"/>
        <w:rPr>
          <w:sz w:val="20"/>
          <w:szCs w:val="20"/>
          <w:color w:val="auto"/>
        </w:rPr>
      </w:pPr>
    </w:p>
    <w:p>
      <w:pPr>
        <w:jc w:val="both"/>
        <w:ind w:right="4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any future agreements under which we license intellectual property rights from third parties or otherwise experience disruptions to our business relationships with any licensors, we could lose license rights that are important to our business.</w:t>
      </w:r>
    </w:p>
    <w:p>
      <w:pPr>
        <w:spacing w:after="0" w:line="6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growth of our business may depend in part on our ability to acquire or in-license additional proprietary rights from third parties in the future. For example, our programs may involve additional product candidates that may require the use of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Thus, 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8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8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may need to obtain licenses in the future from third parties to advance our research or allow commercialization of our technology, product candidates or products, and we cannot provide any assurances that there are no third-party patents which might be enforced against our technology, product candidates or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technology, product candidates or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8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Licensing of intellectual property from third parties may become of critical importance to our business, which involves complex legal, business and scientific issues. Disputes may arise between us and our future licensors regarding intellectual property subject to a license agreement, including:</w:t>
      </w:r>
    </w:p>
    <w:p>
      <w:pPr>
        <w:spacing w:after="0" w:line="83" w:lineRule="exact"/>
        <w:rPr>
          <w:sz w:val="20"/>
          <w:szCs w:val="20"/>
          <w:color w:val="auto"/>
        </w:rPr>
      </w:pPr>
    </w:p>
    <w:p>
      <w:pPr>
        <w:ind w:left="240" w:hanging="240"/>
        <w:spacing w:after="0"/>
        <w:tabs>
          <w:tab w:leader="none" w:pos="24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3" w:lineRule="exact"/>
        <w:rPr>
          <w:rFonts w:ascii="Arial" w:cs="Arial" w:eastAsia="Arial" w:hAnsi="Arial"/>
          <w:sz w:val="20"/>
          <w:szCs w:val="20"/>
          <w:color w:val="auto"/>
        </w:rPr>
      </w:pPr>
    </w:p>
    <w:p>
      <w:pPr>
        <w:ind w:left="240" w:right="220" w:hanging="240"/>
        <w:spacing w:after="0" w:line="276" w:lineRule="auto"/>
        <w:tabs>
          <w:tab w:leader="none" w:pos="24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whether and the extent to which our technology and processes infringe on intellectual property of the licensor that is not subject to the licensing agreement;</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right to sublicense patents and other rights to third parties;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080"/>
          </w:cols>
          <w:pgMar w:left="1080" w:top="1060" w:right="1080" w:bottom="175" w:gutter="0" w:footer="0" w:header="0"/>
          <w:type w:val="continuous"/>
        </w:sectPr>
      </w:pPr>
    </w:p>
    <w:bookmarkStart w:id="69" w:name="page70"/>
    <w:bookmarkEnd w:id="69"/>
    <w:p>
      <w:pPr>
        <w:ind w:left="240" w:right="1040" w:hanging="240"/>
        <w:spacing w:after="0" w:line="276" w:lineRule="auto"/>
        <w:tabs>
          <w:tab w:leader="none" w:pos="24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our diligence obligations with respect to the use of the licensed technology in relation to our development and commercialization of our product candidates, and what activities satisfy those diligence obligations;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our right to transfer or assign the license; and</w:t>
      </w:r>
    </w:p>
    <w:p>
      <w:pPr>
        <w:spacing w:after="0" w:line="133" w:lineRule="exact"/>
        <w:rPr>
          <w:rFonts w:ascii="Arial" w:cs="Arial" w:eastAsia="Arial" w:hAnsi="Arial"/>
          <w:sz w:val="20"/>
          <w:szCs w:val="20"/>
          <w:color w:val="auto"/>
        </w:rPr>
      </w:pPr>
    </w:p>
    <w:p>
      <w:pPr>
        <w:ind w:left="240" w:right="20" w:hanging="240"/>
        <w:spacing w:after="0" w:line="276" w:lineRule="auto"/>
        <w:tabs>
          <w:tab w:leader="none" w:pos="24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our licensors and us and our partners.</w:t>
      </w:r>
    </w:p>
    <w:p>
      <w:pPr>
        <w:spacing w:after="0" w:line="5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If disputes over intellectual property that we license in the future prevent or impair our ability to maintain our licensing arrangements on commercially reasonable terms, we may not be able to successfully develop and commercialize the affected technology, product candidates or products, which would have a material adverse effect on our business.</w:t>
      </w:r>
    </w:p>
    <w:p>
      <w:pPr>
        <w:spacing w:after="0" w:line="6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12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3" w:lineRule="exact"/>
        <w:rPr>
          <w:sz w:val="20"/>
          <w:szCs w:val="20"/>
          <w:color w:val="auto"/>
        </w:rPr>
      </w:pPr>
    </w:p>
    <w:p>
      <w:pPr>
        <w:ind w:left="240" w:right="60" w:hanging="240"/>
        <w:spacing w:after="0" w:line="276"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make product candidates that are similar to ours but that are not covered by the claims of the patents that we own;</w:t>
      </w:r>
    </w:p>
    <w:p>
      <w:pPr>
        <w:spacing w:after="0" w:line="64" w:lineRule="exact"/>
        <w:rPr>
          <w:rFonts w:ascii="Arial" w:cs="Arial" w:eastAsia="Arial" w:hAnsi="Arial"/>
          <w:sz w:val="20"/>
          <w:szCs w:val="20"/>
          <w:color w:val="auto"/>
        </w:rPr>
      </w:pPr>
    </w:p>
    <w:p>
      <w:pPr>
        <w:ind w:left="240" w:right="100" w:hanging="240"/>
        <w:spacing w:after="0" w:line="276"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license partners or current or future collaborators, might not have been the first to make the inventions covered by the issued patent or pending patent applications that we license or may own in the future;</w:t>
      </w:r>
    </w:p>
    <w:p>
      <w:pPr>
        <w:spacing w:after="0" w:line="64" w:lineRule="exact"/>
        <w:rPr>
          <w:rFonts w:ascii="Arial" w:cs="Arial" w:eastAsia="Arial" w:hAnsi="Arial"/>
          <w:sz w:val="20"/>
          <w:szCs w:val="20"/>
          <w:color w:val="auto"/>
        </w:rPr>
      </w:pPr>
    </w:p>
    <w:p>
      <w:pPr>
        <w:ind w:left="240" w:right="580" w:hanging="240"/>
        <w:spacing w:after="0" w:line="276"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license partners or current or future collaborators, might not have been the first to file patent applications covering certain of our or their inventions;</w:t>
      </w:r>
    </w:p>
    <w:p>
      <w:pPr>
        <w:spacing w:after="0" w:line="64" w:lineRule="exact"/>
        <w:rPr>
          <w:rFonts w:ascii="Arial" w:cs="Arial" w:eastAsia="Arial" w:hAnsi="Arial"/>
          <w:sz w:val="20"/>
          <w:szCs w:val="20"/>
          <w:color w:val="auto"/>
        </w:rPr>
      </w:pPr>
    </w:p>
    <w:p>
      <w:pPr>
        <w:ind w:left="240" w:right="720" w:hanging="240"/>
        <w:spacing w:after="0" w:line="276"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owned or in-licensed intellectual property rights;</w:t>
      </w:r>
    </w:p>
    <w:p>
      <w:pPr>
        <w:spacing w:after="0" w:line="64" w:lineRule="exact"/>
        <w:rPr>
          <w:rFonts w:ascii="Arial" w:cs="Arial" w:eastAsia="Arial" w:hAnsi="Arial"/>
          <w:sz w:val="20"/>
          <w:szCs w:val="20"/>
          <w:color w:val="auto"/>
        </w:rPr>
      </w:pPr>
    </w:p>
    <w:p>
      <w:pPr>
        <w:ind w:left="240" w:right="240" w:hanging="240"/>
        <w:spacing w:after="0" w:line="276"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our owned and in-licensed pending patent applications or those we may own or in-license in the future will not lead to issued patents;</w:t>
      </w:r>
    </w:p>
    <w:p>
      <w:pPr>
        <w:spacing w:after="0" w:line="64" w:lineRule="exact"/>
        <w:rPr>
          <w:rFonts w:ascii="Arial" w:cs="Arial" w:eastAsia="Arial" w:hAnsi="Arial"/>
          <w:sz w:val="20"/>
          <w:szCs w:val="20"/>
          <w:color w:val="auto"/>
        </w:rPr>
      </w:pPr>
    </w:p>
    <w:p>
      <w:pPr>
        <w:ind w:left="240" w:right="120" w:hanging="240"/>
        <w:spacing w:after="0" w:line="276"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issued patents that we hold rights to may be held invalid or unenforceable, including as a result of legal challenges by our competitors;</w:t>
      </w:r>
    </w:p>
    <w:p>
      <w:pPr>
        <w:spacing w:after="0" w:line="64" w:lineRule="exact"/>
        <w:rPr>
          <w:rFonts w:ascii="Arial" w:cs="Arial" w:eastAsia="Arial" w:hAnsi="Arial"/>
          <w:sz w:val="20"/>
          <w:szCs w:val="20"/>
          <w:color w:val="auto"/>
        </w:rPr>
      </w:pPr>
    </w:p>
    <w:p>
      <w:pPr>
        <w:jc w:val="both"/>
        <w:ind w:left="240" w:right="280" w:hanging="240"/>
        <w:spacing w:after="0" w:line="258"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1" w:lineRule="exact"/>
        <w:rPr>
          <w:rFonts w:ascii="Arial" w:cs="Arial" w:eastAsia="Arial" w:hAnsi="Arial"/>
          <w:sz w:val="20"/>
          <w:szCs w:val="20"/>
          <w:color w:val="auto"/>
        </w:rPr>
      </w:pPr>
    </w:p>
    <w:p>
      <w:pPr>
        <w:ind w:left="240" w:hanging="240"/>
        <w:spacing w:after="0" w:line="276"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we cannot ensure that any of our patents, or any of our pending patent applications, if issued, or those of our licensors, will include claims having a scope sufficient to protect our product candidates;</w:t>
      </w:r>
    </w:p>
    <w:p>
      <w:pPr>
        <w:spacing w:after="0" w:line="64" w:lineRule="exact"/>
        <w:rPr>
          <w:rFonts w:ascii="Arial" w:cs="Arial" w:eastAsia="Arial" w:hAnsi="Arial"/>
          <w:sz w:val="20"/>
          <w:szCs w:val="20"/>
          <w:color w:val="auto"/>
        </w:rPr>
      </w:pPr>
    </w:p>
    <w:p>
      <w:pPr>
        <w:ind w:left="240" w:right="720" w:hanging="240"/>
        <w:spacing w:after="0" w:line="276"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we cannot ensure that any patents issued to us or our licensors will provide a basis for an exclusive market for our commercially viable product candidates or will provide us with any competitive advantages;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we cannot ensure that our commercial activities or product candidates will not infringe upon the patents of others;</w:t>
      </w:r>
    </w:p>
    <w:p>
      <w:pPr>
        <w:spacing w:after="0" w:line="133" w:lineRule="exact"/>
        <w:rPr>
          <w:rFonts w:ascii="Arial" w:cs="Arial" w:eastAsia="Arial" w:hAnsi="Arial"/>
          <w:sz w:val="20"/>
          <w:szCs w:val="20"/>
          <w:color w:val="auto"/>
        </w:rPr>
      </w:pPr>
    </w:p>
    <w:p>
      <w:pPr>
        <w:ind w:left="240" w:right="520" w:hanging="240"/>
        <w:spacing w:after="0" w:line="276"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we cannot ensure that we will be able to successfully commercialize our product candidates on a substantial scale, if approved, before the relevant patents that we own or license expire;</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or intellectual property rights of others may harm our business; and</w:t>
      </w:r>
    </w:p>
    <w:p>
      <w:pPr>
        <w:spacing w:after="0" w:line="133" w:lineRule="exact"/>
        <w:rPr>
          <w:rFonts w:ascii="Arial" w:cs="Arial" w:eastAsia="Arial" w:hAnsi="Arial"/>
          <w:sz w:val="20"/>
          <w:szCs w:val="20"/>
          <w:color w:val="auto"/>
        </w:rPr>
      </w:pPr>
    </w:p>
    <w:p>
      <w:pPr>
        <w:ind w:left="240" w:right="900" w:hanging="240"/>
        <w:spacing w:after="0" w:line="276" w:lineRule="auto"/>
        <w:tabs>
          <w:tab w:leader="none" w:pos="2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 party may subsequently file a patent covering such intellectual property.</w:t>
      </w:r>
    </w:p>
    <w:p>
      <w:pPr>
        <w:spacing w:after="0" w:line="5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auto"/>
        </w:rPr>
        <w:t>Should any of these events occur, they could have a material adverse effect on our business, financial condition, results of operations and prospects.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ectPr>
          <w:pgSz w:w="12240" w:h="15840" w:orient="portrait"/>
          <w:cols w:equalWidth="0" w:num="1">
            <w:col w:w="10080"/>
          </w:cols>
          <w:pgMar w:left="1080" w:top="1074" w:right="1080" w:bottom="175"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80"/>
          </w:cols>
          <w:pgMar w:left="1080" w:top="1074" w:right="1080" w:bottom="175" w:gutter="0" w:footer="0" w:header="0"/>
          <w:type w:val="continuous"/>
        </w:sectPr>
      </w:pPr>
    </w:p>
    <w:bookmarkStart w:id="70" w:name="page71"/>
    <w:bookmarkEnd w:id="70"/>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price of our stock has been and is likely to continue to be volatile, and you may not be able to resell shares of our common stock at or above the price you paid.</w:t>
      </w:r>
    </w:p>
    <w:p>
      <w:pPr>
        <w:spacing w:after="0" w:line="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 trading price of our common stock has been and is likely to be highly volatile and could be subject to wide fluctuations in response to various factors, some of which are beyond our control, including limited trading volume. In addition to the factors discussed in this “Risk Factors” section and elsewhere herein, these factors include:</w:t>
      </w:r>
    </w:p>
    <w:p>
      <w:pPr>
        <w:spacing w:after="0" w:line="83" w:lineRule="exact"/>
        <w:rPr>
          <w:sz w:val="20"/>
          <w:szCs w:val="20"/>
          <w:color w:val="auto"/>
        </w:rPr>
      </w:pPr>
    </w:p>
    <w:p>
      <w:pPr>
        <w:ind w:left="240" w:right="6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progress, costs and results of our ongoing, planned or any future clinical trials, clinical development programs or preclinical studies;</w:t>
      </w:r>
    </w:p>
    <w:p>
      <w:pPr>
        <w:spacing w:after="0" w:line="64" w:lineRule="exact"/>
        <w:rPr>
          <w:rFonts w:ascii="Arial" w:cs="Arial" w:eastAsia="Arial" w:hAnsi="Arial"/>
          <w:sz w:val="20"/>
          <w:szCs w:val="20"/>
          <w:color w:val="auto"/>
        </w:rPr>
      </w:pPr>
    </w:p>
    <w:p>
      <w:pPr>
        <w:ind w:left="240" w:right="14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commencement, enrollment, progress or results of clinical trials of our product candidates or any future clinical trials we may conduct, or changes in the development status of our product candidates;</w:t>
      </w:r>
    </w:p>
    <w:p>
      <w:pPr>
        <w:spacing w:after="0" w:line="64" w:lineRule="exact"/>
        <w:rPr>
          <w:rFonts w:ascii="Arial" w:cs="Arial" w:eastAsia="Arial" w:hAnsi="Arial"/>
          <w:sz w:val="20"/>
          <w:szCs w:val="20"/>
          <w:color w:val="auto"/>
        </w:rPr>
      </w:pPr>
    </w:p>
    <w:p>
      <w:pPr>
        <w:ind w:left="240" w:right="28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adverse results or delays in preclinical studies and clinical trials such as the clinical hold on our INDs for the Phase I/II clinical trials of icovamenib in type 2 and type 1 diabetes, from June 2024 to September 2024;</w:t>
      </w:r>
    </w:p>
    <w:p>
      <w:pPr>
        <w:spacing w:after="0" w:line="64" w:lineRule="exact"/>
        <w:rPr>
          <w:rFonts w:ascii="Arial" w:cs="Arial" w:eastAsia="Arial" w:hAnsi="Arial"/>
          <w:sz w:val="20"/>
          <w:szCs w:val="20"/>
          <w:color w:val="auto"/>
        </w:rPr>
      </w:pPr>
    </w:p>
    <w:p>
      <w:pPr>
        <w:ind w:left="240" w:right="12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decision to initiate a clinical trial, not to initiate a clinical trial, or to terminate an existing clinical trial, including due to the suspension of a clinical trial by the FDA or other regulatory authorities;</w:t>
      </w:r>
    </w:p>
    <w:p>
      <w:pPr>
        <w:spacing w:after="0" w:line="64" w:lineRule="exact"/>
        <w:rPr>
          <w:rFonts w:ascii="Arial" w:cs="Arial" w:eastAsia="Arial" w:hAnsi="Arial"/>
          <w:sz w:val="20"/>
          <w:szCs w:val="20"/>
          <w:color w:val="auto"/>
        </w:rPr>
      </w:pPr>
    </w:p>
    <w:p>
      <w:pPr>
        <w:ind w:left="240" w:right="8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any delay in our regulatory filings or any adverse regulatory decisions, including failure to receive regulatory approval of our product candidates;</w:t>
      </w:r>
    </w:p>
    <w:p>
      <w:pPr>
        <w:spacing w:after="0" w:line="64" w:lineRule="exact"/>
        <w:rPr>
          <w:rFonts w:ascii="Arial" w:cs="Arial" w:eastAsia="Arial" w:hAnsi="Arial"/>
          <w:sz w:val="20"/>
          <w:szCs w:val="20"/>
          <w:color w:val="auto"/>
        </w:rPr>
      </w:pPr>
    </w:p>
    <w:p>
      <w:pPr>
        <w:ind w:left="240" w:right="18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or regulations applicable to our product candidates and any future products, including but not limited to clinical trial requirements for approvals;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adverse developments concerning our manufacturers or our manufacturing plans;</w:t>
      </w:r>
    </w:p>
    <w:p>
      <w:pPr>
        <w:spacing w:after="0" w:line="133" w:lineRule="exact"/>
        <w:rPr>
          <w:rFonts w:ascii="Arial" w:cs="Arial" w:eastAsia="Arial" w:hAnsi="Arial"/>
          <w:sz w:val="20"/>
          <w:szCs w:val="20"/>
          <w:color w:val="auto"/>
        </w:rPr>
      </w:pPr>
    </w:p>
    <w:p>
      <w:pPr>
        <w:ind w:left="24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obtain adequate supply for any of our product candidates or the components thereof, or inability to do so at acceptable prices;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establish collaborations if needed;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commercialize our product candidates;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key scientific or management personnel;</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serious safety concerns related to the use of our product candidates;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introduction of new products or services offered by us or our competitors;</w:t>
      </w:r>
    </w:p>
    <w:p>
      <w:pPr>
        <w:spacing w:after="0" w:line="133" w:lineRule="exact"/>
        <w:rPr>
          <w:rFonts w:ascii="Arial" w:cs="Arial" w:eastAsia="Arial" w:hAnsi="Arial"/>
          <w:sz w:val="20"/>
          <w:szCs w:val="20"/>
          <w:color w:val="auto"/>
        </w:rPr>
      </w:pPr>
    </w:p>
    <w:p>
      <w:pPr>
        <w:ind w:left="240" w:right="48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significant acquisitions, strategic partnerships, joint ventures or capital commitments by us or our competitors;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effectively manage our growth;</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develop our product candidates for the treatment of type 1 and type 2 diabetes or other metabolic diseases;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variations in quarterly operating results;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cash position;</w:t>
      </w:r>
    </w:p>
    <w:p>
      <w:pPr>
        <w:spacing w:after="0" w:line="133" w:lineRule="exact"/>
        <w:rPr>
          <w:rFonts w:ascii="Arial" w:cs="Arial" w:eastAsia="Arial" w:hAnsi="Arial"/>
          <w:sz w:val="20"/>
          <w:szCs w:val="20"/>
          <w:color w:val="auto"/>
        </w:rPr>
      </w:pPr>
    </w:p>
    <w:p>
      <w:pPr>
        <w:ind w:left="240" w:right="32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meet the estimates and projections of the investment community or that we may otherwise provide to the public;</w:t>
      </w:r>
    </w:p>
    <w:p>
      <w:pPr>
        <w:spacing w:after="0" w:line="64" w:lineRule="exact"/>
        <w:rPr>
          <w:rFonts w:ascii="Arial" w:cs="Arial" w:eastAsia="Arial" w:hAnsi="Arial"/>
          <w:sz w:val="20"/>
          <w:szCs w:val="20"/>
          <w:color w:val="auto"/>
        </w:rPr>
      </w:pPr>
    </w:p>
    <w:p>
      <w:pPr>
        <w:ind w:left="240" w:right="84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publication of research reports about us or our industry, or menin inhibitors in particular, or positive or negative recommendations or withdrawal of research coverage by securities analysts;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overall performance of the equity markets;</w:t>
      </w:r>
    </w:p>
    <w:p>
      <w:pPr>
        <w:spacing w:after="0" w:line="133" w:lineRule="exact"/>
        <w:rPr>
          <w:rFonts w:ascii="Arial" w:cs="Arial" w:eastAsia="Arial" w:hAnsi="Arial"/>
          <w:sz w:val="20"/>
          <w:szCs w:val="20"/>
          <w:color w:val="auto"/>
        </w:rPr>
      </w:pPr>
    </w:p>
    <w:p>
      <w:pPr>
        <w:ind w:left="240" w:right="500" w:hanging="240"/>
        <w:spacing w:after="0" w:line="276" w:lineRule="auto"/>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sales of our common stock or securities exercisable for or convertible into shares of our common stock, by us or our stockholders in the future;</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accounting practices;</w:t>
      </w:r>
    </w:p>
    <w:p>
      <w:pPr>
        <w:sectPr>
          <w:pgSz w:w="12240" w:h="15840" w:orient="portrait"/>
          <w:cols w:equalWidth="0" w:num="1">
            <w:col w:w="10040"/>
          </w:cols>
          <w:pgMar w:left="1080" w:top="1060" w:right="1120" w:bottom="175"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040"/>
          </w:cols>
          <w:pgMar w:left="1080" w:top="1060" w:right="1120" w:bottom="175" w:gutter="0" w:footer="0" w:header="0"/>
          <w:type w:val="continuous"/>
        </w:sectPr>
      </w:pPr>
    </w:p>
    <w:bookmarkStart w:id="71" w:name="page72"/>
    <w:bookmarkEnd w:id="71"/>
    <w:p>
      <w:pPr>
        <w:ind w:left="240" w:hanging="240"/>
        <w:spacing w:after="0"/>
        <w:tabs>
          <w:tab w:leader="none" w:pos="2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ineffectiveness of our internal controls;</w:t>
      </w:r>
    </w:p>
    <w:p>
      <w:pPr>
        <w:spacing w:after="0" w:line="133" w:lineRule="exact"/>
        <w:rPr>
          <w:rFonts w:ascii="Arial" w:cs="Arial" w:eastAsia="Arial" w:hAnsi="Arial"/>
          <w:sz w:val="20"/>
          <w:szCs w:val="20"/>
          <w:color w:val="auto"/>
        </w:rPr>
      </w:pPr>
    </w:p>
    <w:p>
      <w:pPr>
        <w:ind w:left="240" w:right="200" w:hanging="240"/>
        <w:spacing w:after="0" w:line="276" w:lineRule="auto"/>
        <w:tabs>
          <w:tab w:leader="none" w:pos="2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disputes or other developments relating to intellectual property or proprietary rights, including patents, litigation matters and our ability to obtain patent protection for our technologies;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lawsuits, including intellectual property or stockholder litigation;</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any natural disasters or public health emergencies;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inflationary pressures and general economic, political, industry and market conditions; and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other events or factors, many of which are beyond our control.</w:t>
      </w:r>
    </w:p>
    <w:p>
      <w:pPr>
        <w:spacing w:after="0" w:line="119"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color w:val="auto"/>
        </w:rPr>
        <w:t>The realization of any of the above risks or any of a broad range of other risks, including those described in this “Risk Factors” section, could have a dramatic and adverse impact on the market price of our common stock.</w:t>
      </w:r>
    </w:p>
    <w:p>
      <w:pPr>
        <w:spacing w:after="0" w:line="4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volatile. In addition, broad market and industry factors may negatively affect the market price of our common stock, regardless of our actual operating performance. If the market price of our common stock does not exceed the price at which you purchased shares of our common stock,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82"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existing stockholders, restrict our operations or require us to relinquish rights to our technologies or product candidates.</w:t>
      </w:r>
    </w:p>
    <w:p>
      <w:pPr>
        <w:spacing w:after="0" w:line="4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preferences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8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4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w:t>
      </w:r>
    </w:p>
    <w:p>
      <w:pPr>
        <w:spacing w:after="0" w:line="7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We have also registered or intend to register all shares of our common stock subject to options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our directors, executive officers and certain affiliates have established or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ectPr>
          <w:pgSz w:w="12240" w:h="15840" w:orient="portrait"/>
          <w:cols w:equalWidth="0" w:num="1">
            <w:col w:w="10060"/>
          </w:cols>
          <w:pgMar w:left="1080" w:top="1074"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060"/>
          </w:cols>
          <w:pgMar w:left="1080" w:top="1074" w:right="1100" w:bottom="175" w:gutter="0" w:footer="0" w:header="0"/>
          <w:type w:val="continuous"/>
        </w:sectPr>
      </w:pPr>
    </w:p>
    <w:bookmarkStart w:id="72" w:name="page73"/>
    <w:bookmarkEnd w:id="72"/>
    <w:p>
      <w:pPr>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common stock or rights to purchase common stock, including pursuant to our equity incentive plans or upon the exercise of outstanding warrants, would result in additional dilution of the percentage ownership of our stockholders and could cause our stock price to fall.</w:t>
      </w:r>
    </w:p>
    <w:p>
      <w:pPr>
        <w:spacing w:after="0" w:line="6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In October 2022, we filed a registration statement on Form S-3 relating to the registration of our common stock, preferred stock, debt securities, warrants and units or any combination thereof. In November 2022, we entered into our 2022 ATM Program, which provides for the offering, issuance and sale by us of shares of our common stock from time to time for aggregate gross proceeds of up to $100 million in sales deemed to be “at-the-market offerings” as defined by the Securities Act. During the year ended December 31, 2025, we received aggregate proceeds from our 2022 ATM Program of $4.9 million, net of commissions and offering costs, from the issuance of</w:t>
      </w:r>
    </w:p>
    <w:p>
      <w:pPr>
        <w:spacing w:after="0" w:line="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2,271,122 shares of our common stock. In April 2023, we sold 5,750,000 shares of common stock at $30.00 per share for gross proceeds of $172.5 million under the registration statement on Form S-3. In June 2025,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In October 2025, pursuant to a registration statement on Form S-3 filed in August 2025,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14,024,389 shares of common stock at a per share exercise price of $2.50, which included the underwriters’ partial exercise to purchase additional common warrants. As of December 31, 2025, all pre-funded warrants issued in the June 2025 and October 2025 underwritten public offerings have been registered but any exercises of the common stock warrants issued in the June 2025 or October 2025 underwritten public offerings and any additional sales or issuances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are also authorized to grant stock options and other equity-based awards to our employees, directors and consultants pursuant to our 2021 Plan and our 2023 Inducement Equity Plan (the Inducement Plan). The number of shares available for future grant under the 2021 Plan will automatically increase each year on January 1, from January 1, 2022 to January 1, 2031, by the lesser of (A) five percent of the shares of Common Stock outstanding on the last day of the immediately preceding fiscal year and (B) such smaller number of shares as determined by the Board or the Committee (as defined in the 2021 Plan). We have also reserved shares of common stock for issuance pursuant to our ESPP which number of shares will automatically increase each year on January 1, from January 1, 2022 to January 1, 2031, by the lesser of (i) one percent of the shares of Common Stock outstanding on the last day of the immediately preceding fiscal year and (ii) such number of shares as may be determined by the Board (as defined in the ESPP); provided, however, no more than 4,500,000 shares may be issued under the ESPP. Currently, we plan to register any increase in the number of shares available for issuance under the 2021 Plan, the ESPP and the Inducement Plan promptly following the effectiveness of any such increase. If our Board elects to increase the number of shares available for future grant under the 2021 Plan, the ESPP or the Inducement Plan, our stockholders may experience additional dilution, and our stock price may fall.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failure to meet the continued listing requirements of Nasdaq could result in a delisting of our securities.</w:t>
      </w:r>
    </w:p>
    <w:p>
      <w:pPr>
        <w:spacing w:after="0" w:line="12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We must continue to satisfy Nasdaq continued listing requirements, including, among other things, certain corporate governance requirements such as Nasdaq Listing Rule 5605(c)(2)(A) (Rule 5605(c)(2)(A)), which requires companies listed on The Nasdaq Stock Market LLC (Nasdaq) to have an audit committee consisting of three independent directors. In March 2025, we notified the Listing Qualifications Department of Nasdaq that we were not in compliance with Rule 5605(c)(2)(A) due to having only two members on the audit committee of our Board. In July 2025, we appointed Julianne Averill to serve as a member of the Board and our audit committee and regained compliance with Rule 5605(c)(2)(A). However, there can be no assurance that we will be able to continue to satisfy Nasdaq’s continued listing requirements with respect to audit committee composition or otherwise. If we fail to comply with Nasdaq’s continued listing requirements, our common stock could cease to be listed for trading on Nasdaq and instead be available for trading only over-the-counter, which could further depress our stock price.</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080"/>
          </w:cols>
          <w:pgMar w:left="1080" w:top="1060" w:right="1080" w:bottom="175" w:gutter="0" w:footer="0" w:header="0"/>
          <w:type w:val="continuous"/>
        </w:sectPr>
      </w:pPr>
    </w:p>
    <w:bookmarkStart w:id="73" w:name="page74"/>
    <w:bookmarkEnd w:id="73"/>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management and directors own our stock and may be able to exert influence over matters subject to stockholder approval.</w:t>
      </w:r>
    </w:p>
    <w:p>
      <w:pPr>
        <w:spacing w:after="0" w:line="4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Our executive officers, directors and their respective affiliates beneficially own approximately 5% of our outstanding voting stock as of December 31, 2025. These stockholders, acting together, may be able to impact matters requiring stockholder approval, particularly if their collective ownership in our company increases.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on our capital stock, so any returns will be limited to the value of our stock.</w:t>
      </w:r>
    </w:p>
    <w:p>
      <w:pPr>
        <w:spacing w:after="0" w:line="120"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could delay or prevent a change of control of our company or changes in our Board that our stockholders might consider favorable. These provisions, among other things:</w:t>
      </w:r>
    </w:p>
    <w:p>
      <w:pPr>
        <w:spacing w:after="0" w:line="83" w:lineRule="exact"/>
        <w:rPr>
          <w:sz w:val="20"/>
          <w:szCs w:val="20"/>
          <w:color w:val="auto"/>
        </w:rPr>
      </w:pPr>
    </w:p>
    <w:p>
      <w:pPr>
        <w:ind w:left="240" w:hanging="240"/>
        <w:spacing w:after="0"/>
        <w:tabs>
          <w:tab w:leader="none" w:pos="2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 classified Board so that not all members of our Board are elected at one time;</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permit only the Board to establish the number of directors and fill vacancies on the Board;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provide that directors may only be removed “for cause” and only with the approval of two-thirds of our stockholders;</w:t>
      </w:r>
    </w:p>
    <w:p>
      <w:pPr>
        <w:spacing w:after="0" w:line="133" w:lineRule="exact"/>
        <w:rPr>
          <w:rFonts w:ascii="Arial" w:cs="Arial" w:eastAsia="Arial" w:hAnsi="Arial"/>
          <w:sz w:val="20"/>
          <w:szCs w:val="20"/>
          <w:color w:val="auto"/>
        </w:rPr>
      </w:pPr>
    </w:p>
    <w:p>
      <w:pPr>
        <w:ind w:left="240" w:right="220" w:hanging="240"/>
        <w:spacing w:after="0" w:line="276" w:lineRule="auto"/>
        <w:tabs>
          <w:tab w:leader="none" w:pos="2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the issuance of “blank check” preferred stock that our Board could use to implement a stockholder rights plan (poison pill);</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eliminate the ability of our stockholders to call special meetings of stockholders;</w:t>
      </w:r>
    </w:p>
    <w:p>
      <w:pPr>
        <w:spacing w:after="0" w:line="133" w:lineRule="exact"/>
        <w:rPr>
          <w:rFonts w:ascii="Arial" w:cs="Arial" w:eastAsia="Arial" w:hAnsi="Arial"/>
          <w:sz w:val="20"/>
          <w:szCs w:val="20"/>
          <w:color w:val="auto"/>
        </w:rPr>
      </w:pPr>
    </w:p>
    <w:p>
      <w:pPr>
        <w:ind w:left="240" w:right="480" w:hanging="240"/>
        <w:spacing w:after="0" w:line="276" w:lineRule="auto"/>
        <w:tabs>
          <w:tab w:leader="none" w:pos="2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prohibit stockholder action by written consent, which requires all stockholder actions to be taken at a meeting of our stockholders;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prohibit cumulative voting;</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to amend the bylaws;</w:t>
      </w:r>
    </w:p>
    <w:p>
      <w:pPr>
        <w:spacing w:after="0" w:line="133" w:lineRule="exact"/>
        <w:rPr>
          <w:rFonts w:ascii="Arial" w:cs="Arial" w:eastAsia="Arial" w:hAnsi="Arial"/>
          <w:sz w:val="20"/>
          <w:szCs w:val="20"/>
          <w:color w:val="auto"/>
        </w:rPr>
      </w:pPr>
    </w:p>
    <w:p>
      <w:pPr>
        <w:ind w:left="240" w:right="20" w:hanging="240"/>
        <w:spacing w:after="0" w:line="276" w:lineRule="auto"/>
        <w:tabs>
          <w:tab w:leader="none" w:pos="2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or for proposing matters that can be acted upon by stockholders at annual stockholder meetings; and</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require a super-majority vote of stockholders to amend some provisions described above.</w:t>
      </w:r>
    </w:p>
    <w:p>
      <w:pPr>
        <w:spacing w:after="0" w:line="11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7"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ectPr>
          <w:pgSz w:w="12240" w:h="15840" w:orient="portrait"/>
          <w:cols w:equalWidth="0" w:num="1">
            <w:col w:w="10040"/>
          </w:cols>
          <w:pgMar w:left="1080" w:top="1060"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040"/>
          </w:cols>
          <w:pgMar w:left="1080" w:top="1060" w:right="1120" w:bottom="175" w:gutter="0" w:footer="0" w:header="0"/>
          <w:type w:val="continuous"/>
        </w:sectPr>
      </w:pPr>
    </w:p>
    <w:bookmarkStart w:id="74" w:name="page75"/>
    <w:bookmarkEnd w:id="74"/>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report. Nothing in our amended and restated certificate of incorporation or amended and restated bylaws precludes stockholders that assert claims under the Exchange Act from bringing such claims in state or federal court, subject to applicable law.</w:t>
      </w:r>
    </w:p>
    <w:p>
      <w:pPr>
        <w:spacing w:after="0" w:line="7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20"/>
          <w:szCs w:val="20"/>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9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4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provide that we will indemnify our directors and officers, in each case to the fullest extent permitted by Delaware law.</w:t>
      </w:r>
    </w:p>
    <w:p>
      <w:pPr>
        <w:spacing w:after="0" w:line="4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In addition, as permitted by Section 145 of the DGCL, our amended and restated bylaws and our indemnification agreements that we have entered into with our directors and officers provide that:</w:t>
      </w:r>
    </w:p>
    <w:p>
      <w:pPr>
        <w:spacing w:after="0" w:line="64" w:lineRule="exact"/>
        <w:rPr>
          <w:sz w:val="20"/>
          <w:szCs w:val="20"/>
          <w:color w:val="auto"/>
        </w:rPr>
      </w:pPr>
    </w:p>
    <w:p>
      <w:pPr>
        <w:ind w:left="240" w:right="100" w:hanging="240"/>
        <w:spacing w:after="0" w:line="249" w:lineRule="auto"/>
        <w:tabs>
          <w:tab w:leader="none" w:pos="2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0" w:lineRule="exact"/>
        <w:rPr>
          <w:rFonts w:ascii="Arial" w:cs="Arial" w:eastAsia="Arial" w:hAnsi="Arial"/>
          <w:sz w:val="20"/>
          <w:szCs w:val="20"/>
          <w:color w:val="auto"/>
        </w:rPr>
      </w:pPr>
    </w:p>
    <w:p>
      <w:pPr>
        <w:ind w:left="240" w:right="100" w:hanging="240"/>
        <w:spacing w:after="0" w:line="276" w:lineRule="auto"/>
        <w:tabs>
          <w:tab w:leader="none" w:pos="2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we may, in our discretion, indemnify employees and agents in those circumstances where indemnification is permitted by applicable law;</w:t>
      </w:r>
    </w:p>
    <w:p>
      <w:pPr>
        <w:spacing w:after="0" w:line="64" w:lineRule="exact"/>
        <w:rPr>
          <w:rFonts w:ascii="Arial" w:cs="Arial" w:eastAsia="Arial" w:hAnsi="Arial"/>
          <w:sz w:val="20"/>
          <w:szCs w:val="20"/>
          <w:color w:val="auto"/>
        </w:rPr>
      </w:pPr>
    </w:p>
    <w:p>
      <w:pPr>
        <w:jc w:val="both"/>
        <w:ind w:left="240" w:right="80" w:hanging="240"/>
        <w:spacing w:after="0" w:line="258" w:lineRule="auto"/>
        <w:tabs>
          <w:tab w:leader="none" w:pos="2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81" w:lineRule="exact"/>
        <w:rPr>
          <w:rFonts w:ascii="Arial" w:cs="Arial" w:eastAsia="Arial" w:hAnsi="Arial"/>
          <w:sz w:val="20"/>
          <w:szCs w:val="20"/>
          <w:color w:val="auto"/>
        </w:rPr>
      </w:pPr>
    </w:p>
    <w:p>
      <w:pPr>
        <w:ind w:left="240" w:right="60" w:hanging="240"/>
        <w:spacing w:after="0" w:line="258" w:lineRule="auto"/>
        <w:tabs>
          <w:tab w:leader="none" w:pos="2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we will not be obligated pursuant to our amended and restated bylaws to indemnify a person with respect to proceedings initiated by that person against us or our other indemnitees, except with respect to proceedings authorized by our Board or brought to enforce a right to indemnification;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080"/>
          </w:cols>
          <w:pgMar w:left="1080" w:top="1060" w:right="1080" w:bottom="175" w:gutter="0" w:footer="0" w:header="0"/>
          <w:type w:val="continuous"/>
        </w:sectPr>
      </w:pPr>
    </w:p>
    <w:bookmarkStart w:id="75" w:name="page76"/>
    <w:bookmarkEnd w:id="75"/>
    <w:p>
      <w:pPr>
        <w:ind w:left="240" w:right="140" w:hanging="240"/>
        <w:spacing w:after="0" w:line="258" w:lineRule="auto"/>
        <w:tabs>
          <w:tab w:leader="none" w:pos="2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81" w:lineRule="exact"/>
        <w:rPr>
          <w:rFonts w:ascii="Arial" w:cs="Arial" w:eastAsia="Arial" w:hAnsi="Arial"/>
          <w:sz w:val="20"/>
          <w:szCs w:val="20"/>
          <w:color w:val="auto"/>
        </w:rPr>
      </w:pPr>
    </w:p>
    <w:p>
      <w:pPr>
        <w:ind w:left="240" w:right="140" w:hanging="240"/>
        <w:spacing w:after="0" w:line="276" w:lineRule="auto"/>
        <w:tabs>
          <w:tab w:leader="none" w:pos="2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retroactively amend our amended and restated bylaw provisions to reduce our indemnification obligations to directors, officers, employees and agents.</w:t>
      </w:r>
    </w:p>
    <w:p>
      <w:pPr>
        <w:spacing w:after="0" w:line="5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securities litigation, which is expensive and could divert management attention.</w:t>
      </w:r>
    </w:p>
    <w:p>
      <w:pPr>
        <w:spacing w:after="0" w:line="120"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7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4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In addition, we measure compensation cost for stock- 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auto"/>
        </w:rPr>
        <w:t>Furthermore, our operating results may fluctuate due to a variety of other factors, many of which are outside of our control and may be difficult to predict, including the following:</w:t>
      </w:r>
    </w:p>
    <w:p>
      <w:pPr>
        <w:spacing w:after="0" w:line="64" w:lineRule="exact"/>
        <w:rPr>
          <w:sz w:val="20"/>
          <w:szCs w:val="20"/>
          <w:color w:val="auto"/>
        </w:rPr>
      </w:pPr>
    </w:p>
    <w:p>
      <w:pPr>
        <w:ind w:left="240" w:right="480" w:hanging="240"/>
        <w:spacing w:after="0" w:line="304" w:lineRule="auto"/>
        <w:tabs>
          <w:tab w:leader="none" w:pos="2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39" w:lineRule="exact"/>
        <w:rPr>
          <w:rFonts w:ascii="Arial" w:cs="Arial" w:eastAsia="Arial" w:hAnsi="Arial"/>
          <w:sz w:val="19"/>
          <w:szCs w:val="19"/>
          <w:color w:val="auto"/>
        </w:rPr>
      </w:pPr>
    </w:p>
    <w:p>
      <w:pPr>
        <w:ind w:left="240" w:hanging="240"/>
        <w:spacing w:after="0"/>
        <w:tabs>
          <w:tab w:leader="none" w:pos="24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enroll participants in clinical trials and the timing of enrollment;</w:t>
      </w:r>
    </w:p>
    <w:p>
      <w:pPr>
        <w:spacing w:after="0" w:line="133" w:lineRule="exact"/>
        <w:rPr>
          <w:rFonts w:ascii="Arial" w:cs="Arial" w:eastAsia="Arial" w:hAnsi="Arial"/>
          <w:sz w:val="20"/>
          <w:szCs w:val="20"/>
          <w:color w:val="auto"/>
        </w:rPr>
      </w:pPr>
    </w:p>
    <w:p>
      <w:pPr>
        <w:ind w:left="240" w:hanging="240"/>
        <w:spacing w:after="0" w:line="258" w:lineRule="auto"/>
        <w:tabs>
          <w:tab w:leader="none" w:pos="24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81" w:lineRule="exact"/>
        <w:rPr>
          <w:rFonts w:ascii="Arial" w:cs="Arial" w:eastAsia="Arial" w:hAnsi="Arial"/>
          <w:sz w:val="20"/>
          <w:szCs w:val="20"/>
          <w:color w:val="auto"/>
        </w:rPr>
      </w:pPr>
    </w:p>
    <w:p>
      <w:pPr>
        <w:ind w:left="240" w:right="500" w:hanging="240"/>
        <w:spacing w:after="0" w:line="276" w:lineRule="auto"/>
        <w:tabs>
          <w:tab w:leader="none" w:pos="24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will or may incur to acquire or develop additional product candidates and technologies or other assets;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outcomes of clinical trials for our current and future product candidates, or competing product candidates;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the need to conduct unanticipated clinical trials or trials that are larger or more complex than anticipated;</w:t>
      </w:r>
    </w:p>
    <w:p>
      <w:pPr>
        <w:spacing w:after="0" w:line="133" w:lineRule="exact"/>
        <w:rPr>
          <w:rFonts w:ascii="Arial" w:cs="Arial" w:eastAsia="Arial" w:hAnsi="Arial"/>
          <w:sz w:val="20"/>
          <w:szCs w:val="20"/>
          <w:color w:val="auto"/>
        </w:rPr>
      </w:pPr>
    </w:p>
    <w:p>
      <w:pPr>
        <w:ind w:left="240" w:right="280" w:hanging="240"/>
        <w:spacing w:after="0" w:line="258" w:lineRule="auto"/>
        <w:tabs>
          <w:tab w:leader="none" w:pos="24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81" w:lineRule="exact"/>
        <w:rPr>
          <w:rFonts w:ascii="Arial" w:cs="Arial" w:eastAsia="Arial" w:hAnsi="Arial"/>
          <w:sz w:val="20"/>
          <w:szCs w:val="20"/>
          <w:color w:val="auto"/>
        </w:rPr>
      </w:pPr>
    </w:p>
    <w:p>
      <w:pPr>
        <w:ind w:left="240" w:hanging="240"/>
        <w:spacing w:after="0"/>
        <w:tabs>
          <w:tab w:leader="none" w:pos="24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any delays in regulatory review or approval of our product candidates;</w:t>
      </w:r>
    </w:p>
    <w:p>
      <w:pPr>
        <w:spacing w:after="0" w:line="133" w:lineRule="exact"/>
        <w:rPr>
          <w:rFonts w:ascii="Arial" w:cs="Arial" w:eastAsia="Arial" w:hAnsi="Arial"/>
          <w:sz w:val="20"/>
          <w:szCs w:val="20"/>
          <w:color w:val="auto"/>
        </w:rPr>
      </w:pPr>
    </w:p>
    <w:p>
      <w:pPr>
        <w:ind w:left="240" w:right="280" w:hanging="240"/>
        <w:spacing w:after="0" w:line="276" w:lineRule="auto"/>
        <w:tabs>
          <w:tab w:leader="none" w:pos="24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our future product candidates, if approved, which may fluctuate significantly and be difficult to predict;</w:t>
      </w:r>
    </w:p>
    <w:p>
      <w:pPr>
        <w:spacing w:after="0" w:line="64" w:lineRule="exact"/>
        <w:rPr>
          <w:rFonts w:ascii="Arial" w:cs="Arial" w:eastAsia="Arial" w:hAnsi="Arial"/>
          <w:sz w:val="20"/>
          <w:szCs w:val="20"/>
          <w:color w:val="auto"/>
        </w:rPr>
      </w:pPr>
    </w:p>
    <w:p>
      <w:pPr>
        <w:ind w:left="240" w:right="160" w:hanging="240"/>
        <w:spacing w:after="0" w:line="276" w:lineRule="auto"/>
        <w:tabs>
          <w:tab w:leader="none" w:pos="24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the risk/benefit profile, cost and reimbursement policies with respect to our product candidates, if approved, and existing and potential future products that compete with our product candidates;</w:t>
      </w:r>
    </w:p>
    <w:p>
      <w:pPr>
        <w:sectPr>
          <w:pgSz w:w="12240" w:h="15840" w:orient="portrait"/>
          <w:cols w:equalWidth="0" w:num="1">
            <w:col w:w="10060"/>
          </w:cols>
          <w:pgMar w:left="1080" w:top="1074" w:right="1100" w:bottom="175"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060"/>
          </w:cols>
          <w:pgMar w:left="1080" w:top="1074" w:right="1100" w:bottom="175" w:gutter="0" w:footer="0" w:header="0"/>
          <w:type w:val="continuous"/>
        </w:sectPr>
      </w:pPr>
    </w:p>
    <w:bookmarkStart w:id="76" w:name="page77"/>
    <w:bookmarkEnd w:id="76"/>
    <w:p>
      <w:pPr>
        <w:ind w:left="240" w:right="940" w:hanging="240"/>
        <w:spacing w:after="0" w:line="276" w:lineRule="auto"/>
        <w:tabs>
          <w:tab w:leader="none" w:pos="2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commercialize our product candidates, if approved, inside and outside of the United States, either independently or working with third parties;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future collaborations, licensing or other arrangements;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adequately support future growth;</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unforeseen business disruptions that increase our costs or expenses;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133" w:lineRule="exact"/>
        <w:rPr>
          <w:rFonts w:ascii="Arial" w:cs="Arial" w:eastAsia="Arial" w:hAnsi="Arial"/>
          <w:sz w:val="20"/>
          <w:szCs w:val="20"/>
          <w:color w:val="auto"/>
        </w:rPr>
      </w:pPr>
    </w:p>
    <w:p>
      <w:pPr>
        <w:ind w:left="240" w:hanging="240"/>
        <w:spacing w:after="0" w:line="249" w:lineRule="auto"/>
        <w:tabs>
          <w:tab w:leader="none" w:pos="2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tariffs (including tariffs that have been or may in the future be imposed by the United States or other countries),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and</w:t>
      </w:r>
    </w:p>
    <w:p>
      <w:pPr>
        <w:spacing w:after="0" w:line="90" w:lineRule="exact"/>
        <w:rPr>
          <w:rFonts w:ascii="Arial" w:cs="Arial" w:eastAsia="Arial" w:hAnsi="Arial"/>
          <w:sz w:val="20"/>
          <w:szCs w:val="20"/>
          <w:color w:val="auto"/>
        </w:rPr>
      </w:pPr>
    </w:p>
    <w:p>
      <w:pPr>
        <w:ind w:left="240" w:hanging="240"/>
        <w:spacing w:after="0"/>
        <w:tabs>
          <w:tab w:leader="none" w:pos="2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the changing and volatile global economic and political environment.</w:t>
      </w:r>
    </w:p>
    <w:p>
      <w:pPr>
        <w:spacing w:after="0" w:line="11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82"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will continue to incur significant costs as a result of operating as a public company, and our management will be required to devote substantial time to new compliance initiatives.</w:t>
      </w:r>
    </w:p>
    <w:p>
      <w:pPr>
        <w:spacing w:after="0" w:line="4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are subject to the reporting requirements of the Securities Exchange Act of 1934, as amended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under the Dodd-Frank Wall Street Reform and Consumer Protection Act, the SEC has adopted significant corporate governance and executive compensation related rules and regulations, such as “say on pay” and proxy access. While emerging growth companies are permitted to implement many of these requirements over a longer period and up to five years from the pricing of the IPO, we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8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increase our net loss and may require us to reduce costs in other areas of our business or increase the prices of any products that we develop,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w:t>
      </w:r>
    </w:p>
    <w:p>
      <w:pPr>
        <w:sectPr>
          <w:pgSz w:w="12240" w:h="15840" w:orient="portrait"/>
          <w:cols w:equalWidth="0" w:num="1">
            <w:col w:w="10060"/>
          </w:cols>
          <w:pgMar w:left="1080" w:top="1074"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060"/>
          </w:cols>
          <w:pgMar w:left="1080" w:top="1074" w:right="1100" w:bottom="175" w:gutter="0" w:footer="0" w:header="0"/>
          <w:type w:val="continuous"/>
        </w:sectPr>
      </w:pPr>
    </w:p>
    <w:bookmarkStart w:id="77" w:name="page78"/>
    <w:bookmarkEnd w:id="77"/>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As a result of being a public company, we are obligated to develop and maintain proper and effective controls over financial reporting. If we fail to maintain proper and effective internal controls over financial reporting in the future, our ability to produce accurate and timely financial statements could be impaired, which could harm our operating results, investors’ views of us and, as a result, the value of our common stock.</w:t>
      </w:r>
    </w:p>
    <w:p>
      <w:pPr>
        <w:spacing w:after="0" w:line="7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Pursuant to Section 404 of Sarbanes-Oxley Act, our management is required to report upon the effectiveness of our internal controls over financial reporting. However, while we remain an “emerging growth company,” as defined in the JOBS Act, or a smaller reporting company with less than $100 million in revenue, we will not be required to include an attestation report on internal control over financial reporting issued by our independent registered public accounting firm. The rules governing the standards that must be met for management to assess our internal controls over financial reporting are complex and require significant documentation, testing, and possible remediation. To comply with the requirements of being a reporting company under the Exchange Act,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controls over financial reporting is effective, investors may lose confidence in our financial reporting, and the trading price of our common stock may decline.</w:t>
      </w:r>
    </w:p>
    <w:p>
      <w:pPr>
        <w:spacing w:after="0" w:line="8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previously identified a significant deficiency in our internal controls over financial reporting pertaining to our fiscal year ended December 31, 2024 and although it has been remediated,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results of operations or cash flows. If we are unable to conclude that our internal controls over financial reporting is effective, or if our independent registered public accounting firm determines we have a material weakness or significant deficiency in our internal controls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or significant deficiencies in our internal controls over financial reporting, or to implement or maintain other effective control systems required of public companies, could also restrict our future access to the capital markets.</w:t>
      </w:r>
    </w:p>
    <w:p>
      <w:pPr>
        <w:spacing w:after="0" w:line="8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controls over financial reporting and disclosure controls and procedures. Effective internal controls are necessary for us to produce reliable financial reports and are important to help prevent financial fraud. We are required to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and we may experience difficulty in meeting these reporting requirements in a timely manner.</w:t>
      </w:r>
    </w:p>
    <w:p>
      <w:pPr>
        <w:spacing w:after="0" w:line="8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which may result in substantial costs. Any disruptions or difficulties in implementing or using our finance and accounting systems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the Nasdaq Global Select Market, the SEC or other regulatory authorities.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080"/>
          </w:cols>
          <w:pgMar w:left="1080" w:top="1060" w:right="1080" w:bottom="175"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12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Future changes in financial accounting standards or practices may cause adverse and unexpected revenue fluctuations and adversely affect our reported results of operations.</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For additional information, see the section of this Annual Report on Form 10-K titled “Financial Statements and Supplementary Data—Notes to Financial Statements—Recent Accounting Pronouncements.”</w:t>
      </w:r>
    </w:p>
    <w:p>
      <w:pPr>
        <w:spacing w:after="0" w:line="86"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4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We are an emerging growth company and, for as long as we continue to be an emerging growth company, we intend to take advantage of exemptions from various reporting requirements that are applicable to other public companies that are not emerging growth companies, including:</w:t>
      </w:r>
    </w:p>
    <w:p>
      <w:pPr>
        <w:spacing w:after="0" w:line="83" w:lineRule="exact"/>
        <w:rPr>
          <w:sz w:val="20"/>
          <w:szCs w:val="20"/>
          <w:color w:val="auto"/>
        </w:rPr>
      </w:pPr>
    </w:p>
    <w:p>
      <w:pPr>
        <w:ind w:left="240" w:hanging="240"/>
        <w:spacing w:after="0"/>
        <w:tabs>
          <w:tab w:leader="none" w:pos="2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not being required to comply with the auditor attestation requirements of Section 404 of the Sarbanes-Oxley Act;</w:t>
      </w:r>
    </w:p>
    <w:p>
      <w:pPr>
        <w:spacing w:after="0" w:line="133" w:lineRule="exact"/>
        <w:rPr>
          <w:rFonts w:ascii="Arial" w:cs="Arial" w:eastAsia="Arial" w:hAnsi="Arial"/>
          <w:sz w:val="20"/>
          <w:szCs w:val="20"/>
          <w:color w:val="auto"/>
        </w:rPr>
      </w:pPr>
    </w:p>
    <w:p>
      <w:pPr>
        <w:jc w:val="both"/>
        <w:ind w:left="240" w:right="300" w:hanging="240"/>
        <w:spacing w:after="0" w:line="258" w:lineRule="auto"/>
        <w:tabs>
          <w:tab w:leader="none" w:pos="2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1" w:lineRule="exact"/>
        <w:rPr>
          <w:rFonts w:ascii="Arial" w:cs="Arial" w:eastAsia="Arial" w:hAnsi="Arial"/>
          <w:sz w:val="20"/>
          <w:szCs w:val="20"/>
          <w:color w:val="auto"/>
        </w:rPr>
      </w:pPr>
    </w:p>
    <w:p>
      <w:pPr>
        <w:ind w:left="240" w:hanging="240"/>
        <w:spacing w:after="0"/>
        <w:tabs>
          <w:tab w:leader="none" w:pos="2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reduced disclosure obligations regarding executive compensation and our periodic reports and proxy statements; and</w:t>
      </w:r>
    </w:p>
    <w:p>
      <w:pPr>
        <w:spacing w:after="0" w:line="133" w:lineRule="exact"/>
        <w:rPr>
          <w:rFonts w:ascii="Arial" w:cs="Arial" w:eastAsia="Arial" w:hAnsi="Arial"/>
          <w:sz w:val="20"/>
          <w:szCs w:val="20"/>
          <w:color w:val="auto"/>
        </w:rPr>
      </w:pPr>
    </w:p>
    <w:p>
      <w:pPr>
        <w:ind w:left="240" w:right="400" w:hanging="240"/>
        <w:spacing w:after="0" w:line="276" w:lineRule="auto"/>
        <w:tabs>
          <w:tab w:leader="none" w:pos="2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exemptions from the requirements of holding non-binding advisory stockholder votes on executive compensation and stockholder approval of any golden parachute payments not previously approved.</w:t>
      </w:r>
    </w:p>
    <w:p>
      <w:pPr>
        <w:spacing w:after="0" w:line="5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 billion in non-convertible debt securities during the prior three-year period; and (iv) December 31, 2026.</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and our periodic reports and proxy statements.</w:t>
      </w:r>
    </w:p>
    <w:p>
      <w:pPr>
        <w:spacing w:after="0" w:line="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060"/>
          </w:cols>
          <w:pgMar w:left="1080" w:top="1060" w:right="1100" w:bottom="175" w:gutter="0" w:footer="0" w:header="0"/>
          <w:type w:val="continuous"/>
        </w:sectPr>
      </w:pPr>
    </w:p>
    <w:bookmarkStart w:id="79" w:name="page80"/>
    <w:bookmarkEnd w:id="79"/>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OBBBA enacted many significant changes to the U.S. tax laws. Future guidance from the Internal Revenue Service and other tax authorities with respect to the OBBBA may affect us, and certain aspects of the OBBBA could be repealed or modified in future legislation. In addition, it is uncertain if and to what extent various states will conform to the OBBBA or any other newly enacted federal tax legislation. Changes in the realization of net deferred tax assets relating to our operations, the taxation of foreign earnings, and the deductibility of expenses under the OBBBA or future reform legislation could have a material impact on the value of our deferred tax assets, could result in significant one-time charges, and could increase our future U.S. tax expense.</w:t>
      </w:r>
    </w:p>
    <w:p>
      <w:pPr>
        <w:spacing w:after="0" w:line="86"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Unstable market and economic conditions may have serious adverse consequences on our business, financial condition and stock price.</w:t>
      </w:r>
    </w:p>
    <w:p>
      <w:pPr>
        <w:spacing w:after="0" w:line="4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global credit and financial markets have recently experienced extreme volatility and disruptions, including severely diminished liquidity and credit availability, declines in consumer confidence, declines in economic growth, increases in unemployment rates, uncertainty about economic stability and changes in fiscal policy, including higher interest rates.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89"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For example, on October 1, 2025, the U.S. federal government shutdown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80"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our security measures are compromised, or the security, confidentiality, integrity, or availability of our information technology, software, services, communications or data is compromised, limited or fails, this could result in a material adverse impact.</w:t>
      </w:r>
    </w:p>
    <w:p>
      <w:pPr>
        <w:spacing w:after="0" w:line="6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If we or third parties related to us (such as our partners, CROs, and CMOs) experience any material cybersecurity incidents that result in any deletion or destruction of, unauthorized access to, loss of, unauthorized acquisition or disclosure of, or inadvertent exposure or disclosure of, sensitive, confidential, or proprietary information, including trade secrets, other intellectual property, and personal information (Sensitive Information), or a compromise related to the security, confidentiality, integrity or availability of our (or their) information technology, software, services, communications, or data, it may result in a material adverse impact, including without limitation, regulatory investigations or enforcement actions, litigation, indemnity obligations, delays to the development and commercialization of our product candidates, disruption of our programs, negative publicity, and financial loss. Attacks upon information technology systems are increasing in their frequency, levels of persistence, sophistication and intensity, and are being conducted by sophisticated and organized groups and individuals with a wide range of motives and expertise. Systems containing Sensitive Information are vulnerable to service interruptions, malfunction, natural disasters, terrorism, war, software and hardware failures, telecommunication and electrical failures, theft or loss from inadvertent or intentional actions by employees, contractors, consultants, business partners and/or other third parties, malware, malicious code (such as viruses and worms), software bugs, ransomware, denial-of-service attacks (including credential stuffing), social engineering and other means that affect service reliability and threaten the security, confidentiality, integrity and availability of information.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080"/>
          </w:cols>
          <w:pgMar w:left="1080" w:top="1060" w:right="1080" w:bottom="175" w:gutter="0" w:footer="0" w:header="0"/>
          <w:type w:val="continuous"/>
        </w:sectPr>
      </w:pPr>
    </w:p>
    <w:bookmarkStart w:id="80" w:name="page81"/>
    <w:bookmarkEnd w:id="80"/>
    <w:p>
      <w:pPr>
        <w:ind w:right="40"/>
        <w:spacing w:after="0" w:line="243" w:lineRule="auto"/>
        <w:rPr>
          <w:sz w:val="20"/>
          <w:szCs w:val="20"/>
          <w:color w:val="auto"/>
        </w:rPr>
      </w:pPr>
      <w:r>
        <w:rPr>
          <w:rFonts w:ascii="Times New Roman" w:cs="Times New Roman" w:eastAsia="Times New Roman" w:hAnsi="Times New Roman"/>
          <w:sz w:val="20"/>
          <w:szCs w:val="20"/>
          <w:color w:val="auto"/>
        </w:rPr>
        <w:t>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Such threats are prevalent and continue to rise, are increasingly difficult to detect, and now include potential attacks enhanced or facilitated by artificial intelligence. We or third parties related to us may also experience cybersecurity incidents, data breaches or other compromises that may remain undetected for an extended period. Further, we have outsourced elements of our information technology infrastructure, and as a result a number of third-party vendors may or could have access to our Sensitive Information. If our third-party vendors fail to protect their information technology systems and our confidential and proprietary information, we may also be vulnerable to disruptions in service and unauthorized access or misuse of our Sensitive Information. Like other companies in our industry, we, and third parties related to us, have experienced threats and cybersecurity incidents relating to our information technology systems and infrastructure.</w:t>
      </w:r>
    </w:p>
    <w:p>
      <w:pPr>
        <w:spacing w:after="0" w:line="8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While we implement commercially reasonable information security safeguards, consistent with companies of the same size and scope as ours, there is no guarantee that our security efforts and our investment in information technology, or the efforts or investments of CROs, consultants or other third parties related to us, will prevent breakdowns, data breaches or other cybersecurity incidents that cause loss, destruction, unavailability, alteration, misuse, or dissemination of, or damage to, Sensitive Information that could have a material adverse impact.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data breaches, cybersecurity incidents, or other compromises could result in the loss, misappropriation and/or unauthorized access, use or disclosure or other compromise of, or the prevention of access to, data (including trade secrets or other confidential information, intellectual property, proprietary business information and personal information and Sensitive Information), which could result in a material adverse impact including financial, legal, business and reputational harm. For example, any such event that leads to unauthorized access, use, or disclosure of personal information, including personal information regarding our clinical trial participants or employees, could harm our reputation directly, compel us to comply with federal and/or state breach notification laws and foreign law equivalents, subject us to mandatory corrective action, and otherwise subject us to liability under privacy, data protection, and information security laws and regulations, including litigation and governmental investigations and fines or penalties, which could result in significant legal and financial exposure and reputational damages that could potentially have a material adverse impact.</w:t>
      </w:r>
    </w:p>
    <w:p>
      <w:pPr>
        <w:spacing w:after="0" w:line="8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Notifications and follow-up actions related to a cybersecurity incident or data breach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cybersecurity incidents and data breaches, and we may face increased costs and requirements to expend substantial resources in the event of an actual or perceived security breach, incident, or compromise. We also rely on third parties to manufacture our product candidates, and similar material events relating to their computer systems could also have a material adverse impact. To the extent that any disruption or data breach, cybersecurity incident, or compromise were to result in a loss, destruction, misuse,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applicable privacy, data protection, and information security laws and regulations.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spacing w:after="0" w:line="9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Moreover, our use of new and evolving technologies, such as artificial intelligence, in our operations and the operations of third parties upon which we rely, presents new risks and challenges that could negatively impact our business, including cybersecurity, data privacy, IT, intellectual property, regulatory, legal, operational, competitive, reputational, and other risks and challenges. For example, our use of artificial intelligence-based software may lead to inadvertent release, disclosure, or compromise of Sensitive Information or other confidential information through the use of generative artificial intelligence tools, or other cybersecurity incidents may arise that may impact us.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080"/>
          </w:cols>
          <w:pgMar w:left="1080" w:top="1060" w:right="1080" w:bottom="175" w:gutter="0" w:footer="0" w:header="0"/>
          <w:type w:val="continuous"/>
        </w:sectPr>
      </w:pPr>
    </w:p>
    <w:bookmarkStart w:id="81" w:name="page82"/>
    <w:bookmarkEnd w:id="81"/>
    <w:p>
      <w:pPr>
        <w:spacing w:after="0" w:line="249" w:lineRule="auto"/>
        <w:rPr>
          <w:sz w:val="20"/>
          <w:szCs w:val="20"/>
          <w:color w:val="auto"/>
        </w:rPr>
      </w:pPr>
      <w:r>
        <w:rPr>
          <w:rFonts w:ascii="Times New Roman" w:cs="Times New Roman" w:eastAsia="Times New Roman" w:hAnsi="Times New Roman"/>
          <w:sz w:val="20"/>
          <w:szCs w:val="20"/>
          <w:color w:val="auto"/>
        </w:rPr>
        <w:t>Our insurance policies, including cybersecurity liability insurance, may not be adequate to compensate us for the potential losses arising from any such cybersecurity incident, data breach, or compromise.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77"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89"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6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4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8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negatively impacted by corporate citizenship and environmental, social and corporate governance (ESG) matters and/or our reporting of such matters.</w:t>
      </w:r>
    </w:p>
    <w:p>
      <w:pPr>
        <w:spacing w:after="0" w:line="49"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20"/>
          <w:szCs w:val="20"/>
          <w:color w:val="auto"/>
        </w:rPr>
        <w:t>There is an increasing focus from certain investors, consumers, and other stakeholders concerning corporate citizenship and sustainability matters. We could be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Geopolitical events and conditions could adversely affect our business, financial condition and operating results.</w:t>
      </w:r>
    </w:p>
    <w:p>
      <w:pPr>
        <w:spacing w:after="0" w:line="1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the demand for, and our ability to sell, our products and services, cause disruptions to our supply chain, and, ultimately, could adversely affect our business. Global conflicts, including Russia’s invasion of Ukraine, conflicts in the Middle East, and heightened tensions in the Pacific region, have significantly elevated global geopolitical tensions and security concerns. Economic sanctions, export controls, and other trade restrictions could directly and indirectly result in the disruption of our business and supply chain. Although we do not have any clinical trial sites or operations in the currently affected regions, if the current conflict expands further into the region or continues, resulting heightened economic sanctions from the United States and the international community, in addition to environmental regulations, could limit our ability to procure or use certain materials or manufacturing slots for the products needed for our clinical trials, which could lead to delays in these trials. We continue to monitor any adverse impact that the outbreak of war and the subsequent institution of sanctions by the United States and other countries may have on the global economy in general, on our business and operations and on the businesses and operations of our suppliers and third parties with whom we conduct business.</w:t>
      </w:r>
    </w:p>
    <w:p>
      <w:pPr>
        <w:sectPr>
          <w:pgSz w:w="12240" w:h="15840" w:orient="portrait"/>
          <w:cols w:equalWidth="0" w:num="1">
            <w:col w:w="10040"/>
          </w:cols>
          <w:pgMar w:left="1080" w:top="1060"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40"/>
          </w:cols>
          <w:pgMar w:left="1080" w:top="1060" w:right="1120" w:bottom="175" w:gutter="0" w:footer="0" w:header="0"/>
          <w:type w:val="continuous"/>
        </w:sectPr>
      </w:pPr>
    </w:p>
    <w:bookmarkStart w:id="82" w:name="page83"/>
    <w:bookmarkEnd w:id="82"/>
    <w:p>
      <w:pPr>
        <w:spacing w:after="0" w:line="242" w:lineRule="auto"/>
        <w:rPr>
          <w:sz w:val="20"/>
          <w:szCs w:val="20"/>
          <w:color w:val="auto"/>
        </w:rPr>
      </w:pPr>
      <w:r>
        <w:rPr>
          <w:rFonts w:ascii="Times New Roman" w:cs="Times New Roman" w:eastAsia="Times New Roman" w:hAnsi="Times New Roman"/>
          <w:sz w:val="20"/>
          <w:szCs w:val="20"/>
          <w:color w:val="auto"/>
        </w:rPr>
        <w:t>Significant political, trade, or regulatory developments in the jurisdictions in which we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on September 25, 2025, the current U.S. administration announced a 100% tariff on brand-name or patented drugs unless pharmaceutical companies expand their manufacturing operations in the U.S. While pharmaceutical products are currently excluded from the baseline and "reciprocal" tariffs imposed by the U.S., such tariffs still apply to the raw materials and other products necessary for the manufacture and formulation of our product candidates. The current U.S. administration has threatened to continue to broadly impose tariffs and increase existing tariffs, which could lead to corresponding punitive actions by the countries with which the U.S. trades. Historically, tariffs have led to increased trade and political tensions. In response to tariffs, other countries have implemented or threatened to implement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92"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U.S. Congress, the Trump administration, or any new administration may make substantial changes to fiscal, tax, and other federal policies that may adversely affect our business.</w:t>
      </w:r>
    </w:p>
    <w:p>
      <w:pPr>
        <w:spacing w:after="0" w:line="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ESG matters may impact our business and reputation.</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to the changing rules and regulations related to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w:t>
      </w:r>
    </w:p>
    <w:p>
      <w:pPr>
        <w:spacing w:after="0" w:line="8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080"/>
          </w:cols>
          <w:pgMar w:left="1080" w:top="1060" w:right="1080" w:bottom="175"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2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regularly assess risks from cybersecurity threats; monitor our information systems for potential vulnerabilities; and test those systems pursuant to our internal information technology policies which are inclusive of cybersecurity policies, processes, and practices. To protect our information systems from cybersecurity threats, we use various security tools that are designed to help identify, escalate, investigate, resolve, and recover from security incidents in a timely manner. Our Cybersecurity Committee, which is comprised of representatives from our business operations and support functions, assesses risks based on current risks we are aware of, probability and potential impact to key business systems and processes. Risks that are considered high are incorporated into our overall risk management program. A mitigation plan is developed for each identified high risk, with progress reported to the Cybersecurity Committee and tracked as part of our overall risk management program overseen by the Audit Committee of our Board of Directors.</w:t>
      </w:r>
    </w:p>
    <w:p>
      <w:pPr>
        <w:spacing w:after="0" w:line="8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collaborate with third party vendors as deemed necessary to assess the effectiveness of our information technology environment, which is inclusive of our cybersecurity prevention and response systems and processes. These third party vendors include cybersecurity assessors, consultants, and other external cybersecurity experts to assist in the identification, verification, and validation of cybersecurity risks, as well as to support associated mitigation plans when necessary. We have implemented a third-party cybersecurity risk management process to conduct due diligence on external entities that are determined to be of higher risk due to the Sensitive Information that they have access to, including those that perform cybersecurity services.</w:t>
      </w:r>
    </w:p>
    <w:p>
      <w:pPr>
        <w:spacing w:after="0" w:line="8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Cybersecurity threats, including those resulting from any previous cybersecurity incidents, have not materially affected our Company, including our business strategy, results of operations, or financial condition. We do not believe that cybersecurity threats resulting from any previous cybersecurity incidents of which we are aware are reasonably likely to materially affect our Company. Refer to the risk factor captioned “If our security measures are compromised, or the security, confidentiality, integrity, or availability of our information technology, software, services, communications, or data is compromised, limited, or fails, this could result in a material adverse impact” in Part I, Item 1A. “Risk Factors” for additional description of cybersecurity risks and potential related impacts on our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Our Board oversees our risk management process, including as it pertains to cybersecurity risks, directly and through its committees. The Audit Committee of the Board oversees our risk management program, which focuses on the most significant risks we face in the short-, intermediate-, and long-term timeframe. Audit Committee meetings include discussions of specific risk areas throughout the year, including, among others, those relating to cybersecurity threats, when applicable, and reports from management on our enterprise risk profile on an annual basis. The Audit Committee reviews our information technology environment risk, which is inclusive of our cybersecurity risk profile with management on a periodic basis using key performance and/or risk indicators. These key performance indicators are metrics and measurements designed to assess the prevention, detection, and mitigation efforts of our cybersecurity program, as well as our remediation of cybersecurity incidents, as applicable.</w:t>
      </w:r>
    </w:p>
    <w:p>
      <w:pPr>
        <w:spacing w:after="0" w:line="8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We take a risk-based approach to cybersecurity and have implemented cybersecurity policies throughout our operations that are designed to address cybersecurity threats and incidents. Our Head of Information Technology and the Cybersecurity Committee are responsible for the establishment and maintenance of our cybersecurity program, as well as the assessment and management of cybersecurity risks. The current Head of Information Technology has over 20 years of experience in information security and possesses the education, skills, experience, and industry certifications expected by our company of an individual assigned to these duties. The Head of Information Technology provides periodic updates on our information technology environment risk, which is inclusive of our cybersecurity risk profile, to the Board, which includes the Audit Committee members.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color w:val="auto"/>
        </w:rPr>
        <w:t>We currently lease approximately 18,796 square feet of office space in San Carlos, California under two leases which expire in January 2027. We believe these facilities are sufficient to meet our near-term needs and that any additional space we may require will be available on commercially reasonable terms.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080"/>
          </w:cols>
          <w:pgMar w:left="1080" w:top="1056" w:right="1080" w:bottom="175"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060"/>
          </w:cols>
          <w:pgMar w:left="1080" w:top="1056" w:right="1100" w:bottom="175" w:gutter="0" w:footer="0" w:header="0"/>
          <w:type w:val="continuous"/>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6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Our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has been listed on the Nasdaq Global Select Market under the symbol “BMEA” since April 16,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 to that date, there was no public trading market for our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2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As of March 18, 2026, there were 29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4"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9"/>
          <w:szCs w:val="19"/>
          <w:color w:val="auto"/>
        </w:rPr>
        <w:t>We have never declared or paid cash dividends on our capital stock to investors. We currently intend to retain all available funds and any future earnings to support operations and to finance the growth and development of our business. We do not intend to declare or pay any cash dividends on our capital stock in the foreseeable future.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the terms of any future debt or preferred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 January 1, 2022, we have not issued any unregistered securities.</w:t>
      </w:r>
    </w:p>
    <w:p>
      <w:pPr>
        <w:spacing w:after="0" w:line="236" w:lineRule="exact"/>
        <w:rPr>
          <w:sz w:val="20"/>
          <w:szCs w:val="20"/>
          <w:color w:val="auto"/>
        </w:rPr>
      </w:pPr>
    </w:p>
    <w:p>
      <w:pPr>
        <w:ind w:right="4320"/>
        <w:spacing w:after="0" w:line="407" w:lineRule="auto"/>
        <w:rPr>
          <w:sz w:val="20"/>
          <w:szCs w:val="20"/>
          <w:color w:val="auto"/>
        </w:rPr>
      </w:pPr>
      <w:r>
        <w:rPr>
          <w:rFonts w:ascii="Times New Roman" w:cs="Times New Roman" w:eastAsia="Times New Roman" w:hAnsi="Times New Roman"/>
          <w:sz w:val="20"/>
          <w:szCs w:val="20"/>
          <w:b w:val="1"/>
          <w:bCs w:val="1"/>
          <w:color w:val="auto"/>
        </w:rPr>
        <w:t xml:space="preserve">Purchases of Equity Securities by Issuers and Affiliated Purchasers </w:t>
      </w:r>
      <w:r>
        <w:rPr>
          <w:rFonts w:ascii="Times New Roman" w:cs="Times New Roman" w:eastAsia="Times New Roman" w:hAnsi="Times New Roman"/>
          <w:sz w:val="20"/>
          <w:szCs w:val="20"/>
          <w:color w:val="auto"/>
        </w:rPr>
        <w:t>None.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 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We are a clinical- stage diabetes and obesity medicines company dedicated to developing novel small molecule therapies to treat and improve the lives of patients with metabolic diseases. A covalent small molecule drug is a synthetic compound that forms a permanent bond to its target protein and offers a number of potential advantages over conventional non-covalent drugs, including greater target selectivity, lower drug exposure, and the ability to drive a deeper, more durable response.</w:t>
      </w:r>
    </w:p>
    <w:p>
      <w:pPr>
        <w:spacing w:after="0" w:line="5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Our lead clinical program’s drug candidate, icovamenib, is currently being developed as an orally bioavailable, and selective, covalent inhibitor of menin in two clinical and multiple preclinical studies, investigating icovamenib’s potential in type 1 and type 2 diabetes, as well as its impact in obesity. Menin serves as a checkpoint to prevent beta cell proliferation. Thus, the data support that inhibiting menin via icovamenib has the potential to enable the proliferation, preservation, and reactivation of healthy, functional beta cells capable of producing insulin, thereby leading to long-term glycemic control in patients with type 1 and type 2 diabetes.</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060"/>
          </w:cols>
          <w:pgMar w:left="1080" w:top="1056" w:right="1100" w:bottom="175" w:gutter="0" w:footer="0" w:header="0"/>
          <w:type w:val="continuous"/>
        </w:sectPr>
      </w:pPr>
    </w:p>
    <w:bookmarkStart w:id="86" w:name="page87"/>
    <w:bookmarkEnd w:id="86"/>
    <w:p>
      <w:pPr>
        <w:ind w:right="40"/>
        <w:spacing w:after="0" w:line="262" w:lineRule="auto"/>
        <w:rPr>
          <w:sz w:val="20"/>
          <w:szCs w:val="20"/>
          <w:color w:val="auto"/>
        </w:rPr>
      </w:pPr>
      <w:r>
        <w:rPr>
          <w:rFonts w:ascii="Times New Roman" w:cs="Times New Roman" w:eastAsia="Times New Roman" w:hAnsi="Times New Roman"/>
          <w:sz w:val="19"/>
          <w:szCs w:val="19"/>
          <w:color w:val="auto"/>
        </w:rPr>
        <w:t>In preclinical studies, the administration of icovamenib has produced a pronounced effect in preclinical models of diabetes, normalizing glucose levels during treatment and even after drug washout. In October 2025, we reported 52-week results from our Phase II COVALENT-111 trial of icovamenib in type 2 diabetes. Results from our type 1 diabetes trial (COVALENT-</w:t>
      </w:r>
    </w:p>
    <w:p>
      <w:pPr>
        <w:spacing w:after="0" w:line="2" w:lineRule="exact"/>
        <w:rPr>
          <w:sz w:val="20"/>
          <w:szCs w:val="20"/>
          <w:color w:val="auto"/>
        </w:rPr>
      </w:pPr>
    </w:p>
    <w:p>
      <w:pPr>
        <w:ind w:right="100"/>
        <w:spacing w:after="0" w:line="248" w:lineRule="auto"/>
        <w:tabs>
          <w:tab w:leader="none" w:pos="41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still outstanding. As of December 31, 2025 icovamenib is now being evaluated across two ongoing Phase II clinical trials (COVALENT-211 and COVALENT-212) in type 2 diabetes.</w:t>
      </w:r>
    </w:p>
    <w:p>
      <w:pPr>
        <w:spacing w:after="0" w:line="77"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auto"/>
        </w:rPr>
        <w:t>With our strategic focus to become a diabetes and obesity medicines company, we are concluding our studies exploring icovamenib’s potential in oncology and plan to explore partnerships to further advance our oncology assets (BMF-500, a covalent inhibitor of FLT3, currently in a Phase I trial), while concentrating internal resources on metabolic disorders.</w:t>
      </w:r>
    </w:p>
    <w:p>
      <w:pPr>
        <w:spacing w:after="0" w:line="6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In September 2025, we announced that BMF-650, our investigational, next-generation, oral small molecule GLP-1 RA, received IND-clearance from the FDA. Initiation of our Phase I GLP-131 trial for BMF-650 in obese, otherwise healthy volunteers is ongoing, and data is anticipated in the second quarter of 2026. With its unique pharmacokinetic profile and enhanced bioavailability, we believe BMF-650 has the potential to provide a best-in-class therapeutic option for diabetes and obesity.</w:t>
      </w:r>
    </w:p>
    <w:p>
      <w:pPr>
        <w:spacing w:after="0" w:line="7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Since commencing operations in 2017, we have devoted substantially all of our efforts and financial resources to conducting research and development activities, including drug discovery and preclinical studies, establishing and maintaining our intellectual property portfolio, the manufacturing of clinical and research material, organizing and staffing our company, business planning, raising capital and providing general and administrative support for these operations. We have not generated any revenue from product sales and, as a result, we have never been profitable and have incurred net losses since commencement of our operations.</w:t>
      </w:r>
    </w:p>
    <w:p>
      <w:pPr>
        <w:spacing w:after="0" w:line="8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As of December 31, 2025, we had an accumulated deficit of $449.0 million. We incurred net losses of $61.8 million and $138.4 million for the years ended December 31, 2025 and 2024, respectively. Based on our current operating plan, we believe that our existing cash and cash equivalents, and restricted cash as of December 31, 2025, without any future financing, will only be sufficient to fund our operations into the first quarter of 2027. We expect to continue to incur significant expenses and operating losses for the foreseeable future, and our net losses may fluctuate significantly from period to period, depending on the timing of and expenditures on our planned research and development activities.</w:t>
      </w:r>
    </w:p>
    <w:p>
      <w:pPr>
        <w:spacing w:after="0" w:line="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We do not expect to generate revenue from product sales unless and until we obtain regulatory approval for and commercialize a product candidate, and we cannot assure you that we will ever generate significant revenue or profits. We expect that our expenses will continue to increase for the foreseeable future. We expect to continue to incur significant losses for the foreseeable future, and we expect these losses to increase substantially if and as we:</w:t>
      </w:r>
    </w:p>
    <w:p>
      <w:pPr>
        <w:spacing w:after="0" w:line="88" w:lineRule="exact"/>
        <w:rPr>
          <w:sz w:val="20"/>
          <w:szCs w:val="20"/>
          <w:color w:val="auto"/>
        </w:rPr>
      </w:pPr>
    </w:p>
    <w:p>
      <w:pPr>
        <w:ind w:left="240" w:hanging="240"/>
        <w:spacing w:after="0"/>
        <w:tabs>
          <w:tab w:leader="none" w:pos="2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conduct our ongoing preclinical studies and our two Phase II clinical trials of icovamenib in type 2 and type 1 diabetes;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seek marketing approvals for any product candidates that successfully complete clinical trials;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continue our research and development efforts and submit additional INDs;</w:t>
      </w:r>
    </w:p>
    <w:p>
      <w:pPr>
        <w:spacing w:after="0" w:line="133" w:lineRule="exact"/>
        <w:rPr>
          <w:rFonts w:ascii="Arial" w:cs="Arial" w:eastAsia="Arial" w:hAnsi="Arial"/>
          <w:sz w:val="20"/>
          <w:szCs w:val="20"/>
          <w:color w:val="auto"/>
        </w:rPr>
      </w:pPr>
    </w:p>
    <w:p>
      <w:pPr>
        <w:ind w:left="240" w:right="180" w:hanging="240"/>
        <w:spacing w:after="0" w:line="276" w:lineRule="auto"/>
        <w:tabs>
          <w:tab w:leader="none" w:pos="2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any delays or encounter any issues with any of the above, including but not limited to failed studies, complex results, safety issues or other regulatory challenges;</w:t>
      </w:r>
    </w:p>
    <w:p>
      <w:pPr>
        <w:spacing w:after="0" w:line="64" w:lineRule="exact"/>
        <w:rPr>
          <w:rFonts w:ascii="Arial" w:cs="Arial" w:eastAsia="Arial" w:hAnsi="Arial"/>
          <w:sz w:val="20"/>
          <w:szCs w:val="20"/>
          <w:color w:val="auto"/>
        </w:rPr>
      </w:pPr>
    </w:p>
    <w:p>
      <w:pPr>
        <w:ind w:left="240" w:right="120" w:hanging="240"/>
        <w:spacing w:after="0" w:line="276" w:lineRule="auto"/>
        <w:tabs>
          <w:tab w:leader="none" w:pos="2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obtain, expand, maintain, enforce and protect our intellectual property portfolio;</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hire additional clinical, regulatory and scientific personnel; and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operate as a public company.</w:t>
      </w:r>
    </w:p>
    <w:p>
      <w:pPr>
        <w:spacing w:after="0" w:line="11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We will need to raise additional capital in the future to fund our operations, including to conduct and complete clinical trials for any product candidates. If sufficient funds on acceptable terms are not available when needed, we could be required to significantly reduce our operating expenses and delay, reduce the scope of, or eliminate one or more of our development programs.</w:t>
      </w:r>
    </w:p>
    <w:p>
      <w:pPr>
        <w:spacing w:after="0" w:line="7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We currently rely, and expect to continue to rely, on third parties for the manufacture of our product candidates. All of our product candidates are novel small molecules and are manufactured in synthetic processes from available or custom synthesized starting materials. The chemistry is scalable and uses commonly available pharmaceutical equipment in the manufacturing process. We expect to continue to develop product candidates that can be produced cost-effectively at contract manufacturing facilities. In addition, we do not yet have a marketing or sales organization or commercial infrastructure. Accordingly, we will incur significant expenses to develop a marketing and sales organization and commercial infrastructure in advance of generating any product sales.</w:t>
      </w:r>
    </w:p>
    <w:p>
      <w:pPr>
        <w:sectPr>
          <w:pgSz w:w="12240" w:h="15840" w:orient="portrait"/>
          <w:cols w:equalWidth="0" w:num="1">
            <w:col w:w="10080"/>
          </w:cols>
          <w:pgMar w:left="1080" w:top="1060" w:right="1080" w:bottom="175"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080"/>
          </w:cols>
          <w:pgMar w:left="1080" w:top="1060" w:right="1080" w:bottom="175" w:gutter="0" w:footer="0" w:header="0"/>
          <w:type w:val="continuous"/>
        </w:sectPr>
      </w:pPr>
    </w:p>
    <w:bookmarkStart w:id="87" w:name="page88"/>
    <w:bookmarkEnd w:id="87"/>
    <w:p>
      <w:pPr>
        <w:ind w:right="40"/>
        <w:spacing w:after="0" w:line="243" w:lineRule="auto"/>
        <w:rPr>
          <w:sz w:val="20"/>
          <w:szCs w:val="20"/>
          <w:color w:val="auto"/>
        </w:rPr>
      </w:pPr>
      <w:r>
        <w:rPr>
          <w:rFonts w:ascii="Times New Roman" w:cs="Times New Roman" w:eastAsia="Times New Roman" w:hAnsi="Times New Roman"/>
          <w:sz w:val="20"/>
          <w:szCs w:val="20"/>
          <w:color w:val="auto"/>
        </w:rPr>
        <w:t>In April 2021, we completed our initial public offering (IPO) and issued an aggregate of 9,000,000 shares of our common stock at a price of $17.00 per share. Subsequent to the close, an additional 823,532 shares were issued in connection with the partial exercise by the underwriters of their option to purchase additional shares of common stock. In addition, immediately prior to the closing of the IPO, all outstanding shares of our convertible preferred stock automatically converted into 7,064,925 shares of common stock. Proceeds from the IPO, net of underwriting discounts and commissions and offering costs were $152.8 million. On April 3, 2023, we issued and sold 5,750,000 shares of common stock, which included 750,000 shares sold pursuant to the exercise of the underwriters’ over-allotment option, at a public offering price of $30.00 per share in an underwritten public offering pursuant to a shelf registration on Form S-3. Our net proceeds from the offering were $161.8 million, after deducting underwriting discounts and commissions and offering costs of $10.7 million. During the twelve months ended December 31, 2025, we issued 2,271,122 shares of our common stock for aggregate proceeds of $4.9 million, net of commissions and offering costs from our 2022 ATM Program.</w:t>
      </w:r>
    </w:p>
    <w:p>
      <w:pPr>
        <w:spacing w:after="0" w:line="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 June 2025,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In July 2025, in connection with the June 2025 underwritten public offering, the underwriters partially exercised their over-allotment option to purchase an additional 1,381,262 shares of common stock at an offering price of $2.00 per share. The aggregate gross proceeds from the offering, including the proceeds from the underwriters' over-allotment option, were approximately $42.8 million, before deducting underwriting discounts and commissions and offering costs.</w:t>
      </w:r>
    </w:p>
    <w:p>
      <w:pPr>
        <w:spacing w:after="0" w:line="8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In October 2025,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14,024,389 shares of common stock at a per share exercise price of $2.50, which included the underwriters' partial exercise of their over-allotment option to purchase additional common warrants. The aggregate gross proceeds from the offering, including the proceeds from the underwriters' over-allotment option, were approximately $25.0 million, before deducting underwriting discounts and commissions and offering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Operating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To date, we have not generated any revenue and do not expect to generate any revenue from the sale of products in the near future.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118"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color w:val="auto"/>
        </w:rPr>
        <w:t>Our research and development expenses consist primarily of external and internal costs incurred in connection with the research and development of our research programs and product candidates.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External costs include:</w:t>
      </w:r>
    </w:p>
    <w:p>
      <w:pPr>
        <w:spacing w:after="0" w:line="134" w:lineRule="exact"/>
        <w:rPr>
          <w:sz w:val="20"/>
          <w:szCs w:val="20"/>
          <w:color w:val="auto"/>
        </w:rPr>
      </w:pPr>
    </w:p>
    <w:p>
      <w:pPr>
        <w:ind w:left="280" w:right="720" w:hanging="280"/>
        <w:spacing w:after="0" w:line="276" w:lineRule="auto"/>
        <w:tabs>
          <w:tab w:leader="none" w:pos="2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expenses incurred under agreements with third-party CMOs, CROs, research and development service providers, academic research institutions and consulting costs; and</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laboratory expenses, including supplies and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Internal costs include:</w:t>
      </w:r>
    </w:p>
    <w:p>
      <w:pPr>
        <w:spacing w:after="0" w:line="134" w:lineRule="exact"/>
        <w:rPr>
          <w:sz w:val="20"/>
          <w:szCs w:val="20"/>
          <w:color w:val="auto"/>
        </w:rPr>
      </w:pPr>
    </w:p>
    <w:p>
      <w:pPr>
        <w:ind w:left="280" w:right="500" w:hanging="280"/>
        <w:spacing w:after="0" w:line="276" w:lineRule="auto"/>
        <w:tabs>
          <w:tab w:leader="none" w:pos="28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personnel-related expenses, including salaries, benefits and stock-based compensation for personnel in research and product development roles; and</w:t>
      </w:r>
    </w:p>
    <w:p>
      <w:pPr>
        <w:spacing w:after="0" w:line="64" w:lineRule="exact"/>
        <w:rPr>
          <w:rFonts w:ascii="Arial" w:cs="Arial" w:eastAsia="Arial" w:hAnsi="Arial"/>
          <w:sz w:val="20"/>
          <w:szCs w:val="20"/>
          <w:color w:val="auto"/>
        </w:rPr>
      </w:pPr>
    </w:p>
    <w:p>
      <w:pPr>
        <w:ind w:left="280" w:hanging="280"/>
        <w:spacing w:after="0"/>
        <w:tabs>
          <w:tab w:leader="none" w:pos="28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facilities and other allocated expenses, including expenses for rent and facilities maintenance, and depreciation.</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direct costs by stage of program, clinical or preclinical. However, we do not track indirect costs on a program specific or stage of program basis because these costs are deployed across multiple programs and, as such, are not separately classified.</w:t>
      </w:r>
    </w:p>
    <w:p>
      <w:pPr>
        <w:spacing w:after="0" w:line="64"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9"/>
          <w:szCs w:val="19"/>
          <w:color w:val="auto"/>
        </w:rPr>
        <w:t>We expect our research and development expenses to increase substantially during the next few years as we seek to initiate and complete clinical trials, pursue regulatory approval of icovamenib and advance BMF-650 and our other programs</w:t>
      </w:r>
    </w:p>
    <w:p>
      <w:pPr>
        <w:sectPr>
          <w:pgSz w:w="12240" w:h="15840" w:orient="portrait"/>
          <w:cols w:equalWidth="0" w:num="1">
            <w:col w:w="10040"/>
          </w:cols>
          <w:pgMar w:left="1080" w:top="1060" w:right="1120" w:bottom="175" w:gutter="0" w:footer="0" w:header="0"/>
        </w:sect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040"/>
          </w:cols>
          <w:pgMar w:left="1080" w:top="1060" w:right="1120" w:bottom="175" w:gutter="0" w:footer="0" w:header="0"/>
          <w:type w:val="continuous"/>
        </w:sectPr>
      </w:pPr>
    </w:p>
    <w:bookmarkStart w:id="88" w:name="page89"/>
    <w:bookmarkEnd w:id="88"/>
    <w:p>
      <w:pPr>
        <w:ind w:right="60"/>
        <w:spacing w:after="0" w:line="249" w:lineRule="auto"/>
        <w:rPr>
          <w:sz w:val="20"/>
          <w:szCs w:val="20"/>
          <w:color w:val="auto"/>
        </w:rPr>
      </w:pPr>
      <w:r>
        <w:rPr>
          <w:rFonts w:ascii="Times New Roman" w:cs="Times New Roman" w:eastAsia="Times New Roman" w:hAnsi="Times New Roman"/>
          <w:sz w:val="20"/>
          <w:szCs w:val="20"/>
          <w:color w:val="auto"/>
        </w:rPr>
        <w:t>through preclinical and clinical development. Predicting the timing or the final cost to complete our clinical program or validation of our manufacturing and supply processes is difficult and delays may occur because of many factors. The process of conducting the necessary preclinical and clinical research to obtain regulatory approval is costly and time-consuming. To the extent that our product candidates continue to advance into clinical trials, as well as advance into larger and later stage clinical trials, our expenses will increase substantially and may become more variable.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future research and development costs may vary significantly based on a wide variety of factors, such as:</w:t>
      </w:r>
    </w:p>
    <w:p>
      <w:pPr>
        <w:spacing w:after="0" w:line="134" w:lineRule="exact"/>
        <w:rPr>
          <w:sz w:val="20"/>
          <w:szCs w:val="20"/>
          <w:color w:val="auto"/>
        </w:rPr>
      </w:pPr>
    </w:p>
    <w:p>
      <w:pPr>
        <w:ind w:left="240" w:right="100" w:hanging="240"/>
        <w:spacing w:after="0" w:line="252" w:lineRule="auto"/>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rate of progress, expense and results of our ongoing clinical trials, including our ongoing Phase II clinical trial of icovamenib in type 2 diabetes and Phase II clinical trial of icovamenib in type 1 diabetes, enrollment in our Phase I clinical trial for BMF-650, as well as any future preclinical development and clinical trials of our product candidates, and other research and development activities we may conduct;</w:t>
      </w:r>
    </w:p>
    <w:p>
      <w:pPr>
        <w:spacing w:after="0" w:line="87"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uncertainties in clinical trial design and the interpretation of clinical trial data;</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per participant trial costs;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duration, scope and number of trials required for approval;</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sites included in the trials;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participants who participate in the trials;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countries in which the trials are conducted;</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length of time required to enroll eligible participants;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drop-out or discontinuation rates of participants;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safety and efficacy profiles of our product candidates;</w:t>
      </w:r>
    </w:p>
    <w:p>
      <w:pPr>
        <w:spacing w:after="0" w:line="133" w:lineRule="exact"/>
        <w:rPr>
          <w:rFonts w:ascii="Arial" w:cs="Arial" w:eastAsia="Arial" w:hAnsi="Arial"/>
          <w:sz w:val="20"/>
          <w:szCs w:val="20"/>
          <w:color w:val="auto"/>
        </w:rPr>
      </w:pPr>
    </w:p>
    <w:p>
      <w:pPr>
        <w:ind w:left="240" w:right="340" w:hanging="240"/>
        <w:spacing w:after="0" w:line="276" w:lineRule="auto"/>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receipt, and terms of any approvals from applicable regulatory authorities including the FDA and non-U.S. regulators;</w:t>
      </w:r>
    </w:p>
    <w:p>
      <w:pPr>
        <w:spacing w:after="0" w:line="64" w:lineRule="exact"/>
        <w:rPr>
          <w:rFonts w:ascii="Arial" w:cs="Arial" w:eastAsia="Arial" w:hAnsi="Arial"/>
          <w:sz w:val="20"/>
          <w:szCs w:val="20"/>
          <w:color w:val="auto"/>
        </w:rPr>
      </w:pPr>
    </w:p>
    <w:p>
      <w:pPr>
        <w:ind w:left="240" w:hanging="240"/>
        <w:spacing w:after="0" w:line="276" w:lineRule="auto"/>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a continued acceptable safety profile of our product candidates following approval, if any, of any of our product candidates;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and changing government regulation and regulatory guidance;</w:t>
      </w:r>
    </w:p>
    <w:p>
      <w:pPr>
        <w:spacing w:after="0" w:line="133" w:lineRule="exact"/>
        <w:rPr>
          <w:rFonts w:ascii="Arial" w:cs="Arial" w:eastAsia="Arial" w:hAnsi="Arial"/>
          <w:sz w:val="20"/>
          <w:szCs w:val="20"/>
          <w:color w:val="auto"/>
        </w:rPr>
      </w:pPr>
    </w:p>
    <w:p>
      <w:pPr>
        <w:ind w:left="240" w:hanging="240"/>
        <w:spacing w:after="0" w:line="276" w:lineRule="auto"/>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clinical and commercial manufacturing capabilities or making arrangements with third-party manufacturers in order to ensure that we or our third-party manufacturers are able to make product successfully;</w:t>
      </w:r>
    </w:p>
    <w:p>
      <w:pPr>
        <w:spacing w:after="0" w:line="64" w:lineRule="exact"/>
        <w:rPr>
          <w:rFonts w:ascii="Arial" w:cs="Arial" w:eastAsia="Arial" w:hAnsi="Arial"/>
          <w:sz w:val="20"/>
          <w:szCs w:val="20"/>
          <w:color w:val="auto"/>
        </w:rPr>
      </w:pPr>
    </w:p>
    <w:p>
      <w:pPr>
        <w:ind w:left="240" w:right="260" w:hanging="240"/>
        <w:spacing w:after="0" w:line="276" w:lineRule="auto"/>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any business interruptions to our operations or to those of the third parties with whom we work in light of adverse global market conditions; and</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establish additional strategic collaborations or other arrangements.</w:t>
      </w:r>
    </w:p>
    <w:p>
      <w:pPr>
        <w:spacing w:after="0" w:line="11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 change in the outcome of any of these variables with respect to the development of any or our product candidates could significantly change the costs and timing associated with the development of that product candidate. The actual probability of success for our product candidates may be affected by a variety of factors, including the safety and efficacy of our product candidates, investment in our clinical programs, manufacturing capability and competition with other products and product candidates. As a result of these variables, we are unable to determine the duration and completion costs of our research and development projects or when and to what extent we will generate revenue from the commercialization and sale of our product candidates. We may never succeed in achieving regulatory approval for any of our product candidates.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1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consist principally of personnel-related costs including payroll and stock-based compensation expense for personnel in executive, finance, human resources, business and corporate development, and other administrative functions, professional fees for legal, consulting, and accounting services, rent and other facilities costs, depreciation, and other general operating expenses not otherwise classified as research and development expenses.</w:t>
      </w:r>
    </w:p>
    <w:p>
      <w:pPr>
        <w:spacing w:after="0" w:line="7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increase substantially during the next few years as a result of staff expansion and additional occupancy costs, as well as costs associated with being a public company, including compliance with the rules and regulations of the SEC and those of any national securities exchange on which our securities are traded, higher legal and auditing fees, investor relations costs, higher insurance premiums and other compliance costs associated with being a public company. We also expect that our future intellectual property expenses may increase as we expand our product portfolio of product candidates due to advances in our research and development programs.</w:t>
      </w:r>
    </w:p>
    <w:p>
      <w:pPr>
        <w:sectPr>
          <w:pgSz w:w="12240" w:h="15840" w:orient="portrait"/>
          <w:cols w:equalWidth="0" w:num="1">
            <w:col w:w="10060"/>
          </w:cols>
          <w:pgMar w:left="1080" w:top="1060" w:right="1100" w:bottom="175"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060"/>
          </w:cols>
          <w:pgMar w:left="1080" w:top="1060" w:right="1100" w:bottom="175"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11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Impairment of long-lived assets consists of a one-time impairment charge, primarily for laboratory equipment and leasehold improvements (see Note 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fair value of common warrant liability</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Change in fair value of common warrant liability consists of revaluation of the common warrants issued in connection with the June and October 2025 underwritten public offerings (see Note 5). The common warrants are re-measured at each balance sheet 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and Other Income,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and other income, net consists primarily of interest income earned on our cash and cash equivalents.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2025 and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periods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00" w:type="dxa"/>
            <w:vAlign w:val="bottom"/>
            <w:gridSpan w:val="6"/>
          </w:tcPr>
          <w:p>
            <w:pPr>
              <w:ind w:lef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8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760" w:type="dxa"/>
            <w:vAlign w:val="bottom"/>
            <w:tcBorders>
              <w:top w:val="single" w:sz="8" w:color="EAEAEA"/>
            </w:tcBorders>
            <w:shd w:val="clear" w:color="auto" w:fill="EAEAEA"/>
          </w:tcPr>
          <w:p>
            <w:pPr>
              <w:spacing w:after="0"/>
              <w:rPr>
                <w:sz w:val="20"/>
                <w:szCs w:val="20"/>
                <w:color w:val="auto"/>
              </w:rPr>
            </w:pPr>
          </w:p>
        </w:tc>
        <w:tc>
          <w:tcPr>
            <w:tcW w:w="220" w:type="dxa"/>
            <w:vAlign w:val="bottom"/>
            <w:tcBorders>
              <w:top w:val="single" w:sz="8" w:color="auto"/>
            </w:tcBorders>
            <w:shd w:val="clear" w:color="auto" w:fill="EAEAEA"/>
          </w:tcPr>
          <w:p>
            <w:pPr>
              <w:spacing w:after="0"/>
              <w:rPr>
                <w:sz w:val="20"/>
                <w:szCs w:val="20"/>
                <w:color w:val="auto"/>
              </w:rPr>
            </w:pPr>
          </w:p>
        </w:tc>
        <w:tc>
          <w:tcPr>
            <w:tcW w:w="1120" w:type="dxa"/>
            <w:vAlign w:val="bottom"/>
            <w:tcBorders>
              <w:top w:val="single" w:sz="8" w:color="auto"/>
            </w:tcBorders>
            <w:shd w:val="clear" w:color="auto" w:fill="EAEAEA"/>
          </w:tcPr>
          <w:p>
            <w:pPr>
              <w:spacing w:after="0"/>
              <w:rPr>
                <w:sz w:val="20"/>
                <w:szCs w:val="20"/>
                <w:color w:val="auto"/>
              </w:rPr>
            </w:pPr>
          </w:p>
        </w:tc>
        <w:tc>
          <w:tcPr>
            <w:tcW w:w="160" w:type="dxa"/>
            <w:vAlign w:val="bottom"/>
            <w:tcBorders>
              <w:top w:val="single" w:sz="8" w:color="EAEAEA"/>
            </w:tcBorders>
            <w:shd w:val="clear" w:color="auto" w:fill="EAEAEA"/>
          </w:tcPr>
          <w:p>
            <w:pPr>
              <w:spacing w:after="0"/>
              <w:rPr>
                <w:sz w:val="20"/>
                <w:szCs w:val="20"/>
                <w:color w:val="auto"/>
              </w:rPr>
            </w:pPr>
          </w:p>
        </w:tc>
        <w:tc>
          <w:tcPr>
            <w:tcW w:w="100" w:type="dxa"/>
            <w:vAlign w:val="bottom"/>
            <w:tcBorders>
              <w:top w:val="single" w:sz="8" w:color="EAEAEA"/>
            </w:tcBorders>
            <w:shd w:val="clear" w:color="auto" w:fill="EAEAEA"/>
          </w:tcPr>
          <w:p>
            <w:pPr>
              <w:spacing w:after="0"/>
              <w:rPr>
                <w:sz w:val="20"/>
                <w:szCs w:val="20"/>
                <w:color w:val="auto"/>
              </w:rPr>
            </w:pPr>
          </w:p>
        </w:tc>
        <w:tc>
          <w:tcPr>
            <w:tcW w:w="280" w:type="dxa"/>
            <w:vAlign w:val="bottom"/>
            <w:tcBorders>
              <w:top w:val="single" w:sz="8" w:color="auto"/>
            </w:tcBorders>
            <w:shd w:val="clear" w:color="auto" w:fill="EAEAEA"/>
          </w:tcPr>
          <w:p>
            <w:pPr>
              <w:spacing w:after="0"/>
              <w:rPr>
                <w:sz w:val="20"/>
                <w:szCs w:val="20"/>
                <w:color w:val="auto"/>
              </w:rPr>
            </w:pPr>
          </w:p>
        </w:tc>
        <w:tc>
          <w:tcPr>
            <w:tcW w:w="1080" w:type="dxa"/>
            <w:vAlign w:val="bottom"/>
            <w:tcBorders>
              <w:top w:val="single" w:sz="8" w:color="auto"/>
            </w:tcBorders>
            <w:shd w:val="clear" w:color="auto" w:fill="EAEAEA"/>
          </w:tcPr>
          <w:p>
            <w:pPr>
              <w:spacing w:after="0"/>
              <w:rPr>
                <w:sz w:val="20"/>
                <w:szCs w:val="20"/>
                <w:color w:val="auto"/>
              </w:rPr>
            </w:pPr>
          </w:p>
        </w:tc>
        <w:tc>
          <w:tcPr>
            <w:tcW w:w="160" w:type="dxa"/>
            <w:vAlign w:val="bottom"/>
            <w:tcBorders>
              <w:top w:val="single" w:sz="8" w:color="EAEAEA"/>
            </w:tcBorders>
            <w:shd w:val="clear" w:color="auto" w:fill="EAEAEA"/>
          </w:tcPr>
          <w:p>
            <w:pPr>
              <w:spacing w:after="0"/>
              <w:rPr>
                <w:sz w:val="20"/>
                <w:szCs w:val="20"/>
                <w:color w:val="auto"/>
              </w:rPr>
            </w:pPr>
          </w:p>
        </w:tc>
        <w:tc>
          <w:tcPr>
            <w:tcW w:w="80" w:type="dxa"/>
            <w:vAlign w:val="bottom"/>
            <w:tcBorders>
              <w:top w:val="single" w:sz="8" w:color="EAEAEA"/>
            </w:tcBorders>
            <w:shd w:val="clear" w:color="auto" w:fill="EAEAEA"/>
          </w:tcPr>
          <w:p>
            <w:pPr>
              <w:spacing w:after="0"/>
              <w:rPr>
                <w:sz w:val="20"/>
                <w:szCs w:val="20"/>
                <w:color w:val="auto"/>
              </w:rPr>
            </w:pPr>
          </w:p>
        </w:tc>
        <w:tc>
          <w:tcPr>
            <w:tcW w:w="180" w:type="dxa"/>
            <w:vAlign w:val="bottom"/>
            <w:tcBorders>
              <w:top w:val="single" w:sz="8" w:color="auto"/>
            </w:tcBorders>
            <w:shd w:val="clear" w:color="auto" w:fill="EAEAEA"/>
          </w:tcPr>
          <w:p>
            <w:pPr>
              <w:spacing w:after="0"/>
              <w:rPr>
                <w:sz w:val="20"/>
                <w:szCs w:val="20"/>
                <w:color w:val="auto"/>
              </w:rPr>
            </w:pPr>
          </w:p>
        </w:tc>
        <w:tc>
          <w:tcPr>
            <w:tcW w:w="1180" w:type="dxa"/>
            <w:vAlign w:val="bottom"/>
            <w:tcBorders>
              <w:top w:val="single" w:sz="8" w:color="auto"/>
            </w:tcBorders>
            <w:shd w:val="clear" w:color="auto" w:fill="EAEAEA"/>
          </w:tcPr>
          <w:p>
            <w:pPr>
              <w:spacing w:after="0"/>
              <w:rPr>
                <w:sz w:val="20"/>
                <w:szCs w:val="20"/>
                <w:color w:val="auto"/>
              </w:rPr>
            </w:pPr>
          </w:p>
        </w:tc>
        <w:tc>
          <w:tcPr>
            <w:tcW w:w="8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76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61,979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118,085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(56,106)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76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19,328</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25,985</w:t>
            </w:r>
          </w:p>
        </w:tc>
        <w:tc>
          <w:tcPr>
            <w:tcW w:w="1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(6,657)</w:t>
            </w:r>
          </w:p>
        </w:tc>
        <w:tc>
          <w:tcPr>
            <w:tcW w:w="0" w:type="dxa"/>
            <w:vAlign w:val="bottom"/>
          </w:tcPr>
          <w:p>
            <w:pPr>
              <w:spacing w:after="0"/>
              <w:rPr>
                <w:sz w:val="1"/>
                <w:szCs w:val="1"/>
                <w:color w:val="auto"/>
              </w:rPr>
            </w:pPr>
          </w:p>
        </w:tc>
      </w:tr>
      <w:tr>
        <w:trPr>
          <w:trHeight w:val="244"/>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Borders>
              <w:top w:val="single" w:sz="8" w:color="EAEAEA"/>
            </w:tcBorders>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760" w:type="dxa"/>
            <w:vAlign w:val="bottom"/>
            <w:tcBorders>
              <w:top w:val="single" w:sz="8" w:color="EAEAEA"/>
            </w:tcBorders>
            <w:shd w:val="clear" w:color="auto" w:fill="EAEAEA"/>
          </w:tcPr>
          <w:p>
            <w:pPr>
              <w:spacing w:after="0"/>
              <w:rPr>
                <w:sz w:val="20"/>
                <w:szCs w:val="20"/>
                <w:color w:val="auto"/>
              </w:rPr>
            </w:pPr>
          </w:p>
        </w:tc>
        <w:tc>
          <w:tcPr>
            <w:tcW w:w="220" w:type="dxa"/>
            <w:vAlign w:val="bottom"/>
            <w:tcBorders>
              <w:top w:val="single" w:sz="8" w:color="auto"/>
              <w:bottom w:val="single" w:sz="8" w:color="auto"/>
            </w:tcBorders>
            <w:shd w:val="clear" w:color="auto" w:fill="EAEAEA"/>
          </w:tcPr>
          <w:p>
            <w:pPr>
              <w:spacing w:after="0"/>
              <w:rPr>
                <w:sz w:val="20"/>
                <w:szCs w:val="20"/>
                <w:color w:val="auto"/>
              </w:rPr>
            </w:pPr>
          </w:p>
        </w:tc>
        <w:tc>
          <w:tcPr>
            <w:tcW w:w="11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83,512</w:t>
            </w:r>
          </w:p>
        </w:tc>
        <w:tc>
          <w:tcPr>
            <w:tcW w:w="160" w:type="dxa"/>
            <w:vAlign w:val="bottom"/>
            <w:tcBorders>
              <w:top w:val="single" w:sz="8" w:color="EAEAEA"/>
            </w:tcBorders>
            <w:shd w:val="clear" w:color="auto" w:fill="EAEAEA"/>
          </w:tcPr>
          <w:p>
            <w:pPr>
              <w:spacing w:after="0"/>
              <w:rPr>
                <w:sz w:val="20"/>
                <w:szCs w:val="20"/>
                <w:color w:val="auto"/>
              </w:rPr>
            </w:pPr>
          </w:p>
        </w:tc>
        <w:tc>
          <w:tcPr>
            <w:tcW w:w="100" w:type="dxa"/>
            <w:vAlign w:val="bottom"/>
            <w:tcBorders>
              <w:top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auto"/>
            </w:tcBorders>
            <w:shd w:val="clear" w:color="auto" w:fill="EAEAEA"/>
          </w:tcPr>
          <w:p>
            <w:pPr>
              <w:spacing w:after="0"/>
              <w:rPr>
                <w:sz w:val="20"/>
                <w:szCs w:val="20"/>
                <w:color w:val="auto"/>
              </w:rPr>
            </w:pPr>
          </w:p>
        </w:tc>
        <w:tc>
          <w:tcPr>
            <w:tcW w:w="10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144,070</w:t>
            </w:r>
          </w:p>
        </w:tc>
        <w:tc>
          <w:tcPr>
            <w:tcW w:w="160" w:type="dxa"/>
            <w:vAlign w:val="bottom"/>
            <w:tcBorders>
              <w:top w:val="single" w:sz="8" w:color="EAEAEA"/>
            </w:tcBorders>
            <w:shd w:val="clear" w:color="auto" w:fill="EAEAEA"/>
          </w:tcPr>
          <w:p>
            <w:pPr>
              <w:spacing w:after="0"/>
              <w:rPr>
                <w:sz w:val="20"/>
                <w:szCs w:val="20"/>
                <w:color w:val="auto"/>
              </w:rPr>
            </w:pPr>
          </w:p>
        </w:tc>
        <w:tc>
          <w:tcPr>
            <w:tcW w:w="80" w:type="dxa"/>
            <w:vAlign w:val="bottom"/>
            <w:tcBorders>
              <w:top w:val="single" w:sz="8" w:color="EAEAEA"/>
            </w:tcBorders>
            <w:shd w:val="clear" w:color="auto" w:fill="EAEAEA"/>
          </w:tcPr>
          <w:p>
            <w:pPr>
              <w:spacing w:after="0"/>
              <w:rPr>
                <w:sz w:val="20"/>
                <w:szCs w:val="20"/>
                <w:color w:val="auto"/>
              </w:rPr>
            </w:pPr>
          </w:p>
        </w:tc>
        <w:tc>
          <w:tcPr>
            <w:tcW w:w="180" w:type="dxa"/>
            <w:vAlign w:val="bottom"/>
            <w:tcBorders>
              <w:top w:val="single" w:sz="8" w:color="auto"/>
              <w:bottom w:val="single" w:sz="8" w:color="auto"/>
            </w:tcBorders>
            <w:shd w:val="clear" w:color="auto" w:fill="EAEAEA"/>
          </w:tcPr>
          <w:p>
            <w:pPr>
              <w:spacing w:after="0"/>
              <w:rPr>
                <w:sz w:val="20"/>
                <w:szCs w:val="20"/>
                <w:color w:val="auto"/>
              </w:rPr>
            </w:pPr>
          </w:p>
        </w:tc>
        <w:tc>
          <w:tcPr>
            <w:tcW w:w="1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(60,558)</w:t>
            </w:r>
          </w:p>
        </w:tc>
        <w:tc>
          <w:tcPr>
            <w:tcW w:w="8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(144,070)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6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Change in fair value of common warrant liability</w:t>
            </w:r>
          </w:p>
        </w:tc>
        <w:tc>
          <w:tcPr>
            <w:tcW w:w="76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19,857</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24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19,857</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other income, net</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(3,786)</w:t>
            </w:r>
          </w:p>
        </w:tc>
        <w:tc>
          <w:tcPr>
            <w:tcW w:w="0" w:type="dxa"/>
            <w:vAlign w:val="bottom"/>
          </w:tcPr>
          <w:p>
            <w:pPr>
              <w:spacing w:after="0"/>
              <w:rPr>
                <w:sz w:val="1"/>
                <w:szCs w:val="1"/>
                <w:color w:val="auto"/>
              </w:rPr>
            </w:pPr>
          </w:p>
        </w:tc>
      </w:tr>
      <w:tr>
        <w:trPr>
          <w:trHeight w:val="239"/>
        </w:trPr>
        <w:tc>
          <w:tcPr>
            <w:tcW w:w="468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loss</w:t>
            </w:r>
          </w:p>
        </w:tc>
        <w:tc>
          <w:tcPr>
            <w:tcW w:w="760" w:type="dxa"/>
            <w:vAlign w:val="bottom"/>
            <w:tcBorders>
              <w:top w:val="single" w:sz="8" w:color="EAEAEA"/>
            </w:tcBorders>
            <w:shd w:val="clear" w:color="auto" w:fill="EAEAEA"/>
          </w:tcPr>
          <w:p>
            <w:pPr>
              <w:spacing w:after="0"/>
              <w:rPr>
                <w:sz w:val="20"/>
                <w:szCs w:val="20"/>
                <w:color w:val="auto"/>
              </w:rPr>
            </w:pPr>
          </w:p>
        </w:tc>
        <w:tc>
          <w:tcPr>
            <w:tcW w:w="220" w:type="dxa"/>
            <w:vAlign w:val="bottom"/>
            <w:tcBorders>
              <w:top w:val="single" w:sz="8" w:color="auto"/>
              <w:bottom w:val="single" w:sz="8" w:color="auto"/>
            </w:tcBorders>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(61,797)</w:t>
            </w:r>
          </w:p>
        </w:tc>
        <w:tc>
          <w:tcPr>
            <w:tcW w:w="160" w:type="dxa"/>
            <w:vAlign w:val="bottom"/>
            <w:tcBorders>
              <w:top w:val="single" w:sz="8" w:color="EAEAEA"/>
            </w:tcBorders>
            <w:shd w:val="clear" w:color="auto" w:fill="EAEAEA"/>
          </w:tcPr>
          <w:p>
            <w:pPr>
              <w:spacing w:after="0"/>
              <w:rPr>
                <w:sz w:val="20"/>
                <w:szCs w:val="20"/>
                <w:color w:val="auto"/>
              </w:rPr>
            </w:pPr>
          </w:p>
        </w:tc>
        <w:tc>
          <w:tcPr>
            <w:tcW w:w="100" w:type="dxa"/>
            <w:vAlign w:val="bottom"/>
            <w:tcBorders>
              <w:top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auto"/>
            </w:tcBorders>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(138,426)</w:t>
            </w:r>
          </w:p>
        </w:tc>
        <w:tc>
          <w:tcPr>
            <w:tcW w:w="160" w:type="dxa"/>
            <w:vAlign w:val="bottom"/>
            <w:tcBorders>
              <w:top w:val="single" w:sz="8" w:color="EAEAEA"/>
            </w:tcBorders>
            <w:shd w:val="clear" w:color="auto" w:fill="EAEAEA"/>
          </w:tcPr>
          <w:p>
            <w:pPr>
              <w:spacing w:after="0"/>
              <w:rPr>
                <w:sz w:val="20"/>
                <w:szCs w:val="20"/>
                <w:color w:val="auto"/>
              </w:rPr>
            </w:pPr>
          </w:p>
        </w:tc>
        <w:tc>
          <w:tcPr>
            <w:tcW w:w="80" w:type="dxa"/>
            <w:vAlign w:val="bottom"/>
            <w:tcBorders>
              <w:top w:val="single" w:sz="8" w:color="EAEAEA"/>
            </w:tcBorders>
            <w:shd w:val="clear" w:color="auto" w:fill="EAEAEA"/>
          </w:tcPr>
          <w:p>
            <w:pPr>
              <w:spacing w:after="0"/>
              <w:rPr>
                <w:sz w:val="20"/>
                <w:szCs w:val="20"/>
                <w:color w:val="auto"/>
              </w:rPr>
            </w:pPr>
          </w:p>
        </w:tc>
        <w:tc>
          <w:tcPr>
            <w:tcW w:w="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76,629</w:t>
            </w:r>
          </w:p>
        </w:tc>
        <w:tc>
          <w:tcPr>
            <w:tcW w:w="8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research and development expenses incurred during the periods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4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External costs</w:t>
            </w:r>
          </w:p>
        </w:tc>
        <w:tc>
          <w:tcPr>
            <w:tcW w:w="280" w:type="dxa"/>
            <w:vAlign w:val="bottom"/>
            <w:tcBorders>
              <w:top w:val="single" w:sz="8" w:color="EAEAEA"/>
            </w:tcBorders>
            <w:shd w:val="clear" w:color="auto" w:fill="EAEAEA"/>
          </w:tcPr>
          <w:p>
            <w:pPr>
              <w:spacing w:after="0"/>
              <w:rPr>
                <w:sz w:val="20"/>
                <w:szCs w:val="20"/>
                <w:color w:val="auto"/>
              </w:rPr>
            </w:pPr>
          </w:p>
        </w:tc>
        <w:tc>
          <w:tcPr>
            <w:tcW w:w="220" w:type="dxa"/>
            <w:vAlign w:val="bottom"/>
            <w:tcBorders>
              <w:top w:val="single" w:sz="8" w:color="auto"/>
            </w:tcBorders>
            <w:shd w:val="clear" w:color="auto" w:fill="EAEAEA"/>
          </w:tcPr>
          <w:p>
            <w:pPr>
              <w:spacing w:after="0"/>
              <w:rPr>
                <w:sz w:val="20"/>
                <w:szCs w:val="20"/>
                <w:color w:val="auto"/>
              </w:rPr>
            </w:pPr>
          </w:p>
        </w:tc>
        <w:tc>
          <w:tcPr>
            <w:tcW w:w="1140" w:type="dxa"/>
            <w:vAlign w:val="bottom"/>
            <w:tcBorders>
              <w:top w:val="single" w:sz="8" w:color="auto"/>
            </w:tcBorders>
            <w:shd w:val="clear" w:color="auto" w:fill="EAEAEA"/>
          </w:tcPr>
          <w:p>
            <w:pPr>
              <w:spacing w:after="0"/>
              <w:rPr>
                <w:sz w:val="20"/>
                <w:szCs w:val="20"/>
                <w:color w:val="auto"/>
              </w:rPr>
            </w:pPr>
          </w:p>
        </w:tc>
        <w:tc>
          <w:tcPr>
            <w:tcW w:w="260" w:type="dxa"/>
            <w:vAlign w:val="bottom"/>
            <w:tcBorders>
              <w:top w:val="single" w:sz="8" w:color="EAEAEA"/>
            </w:tcBorders>
            <w:shd w:val="clear" w:color="auto" w:fill="EAEAEA"/>
          </w:tcPr>
          <w:p>
            <w:pPr>
              <w:spacing w:after="0"/>
              <w:rPr>
                <w:sz w:val="20"/>
                <w:szCs w:val="20"/>
                <w:color w:val="auto"/>
              </w:rPr>
            </w:pPr>
          </w:p>
        </w:tc>
        <w:tc>
          <w:tcPr>
            <w:tcW w:w="280" w:type="dxa"/>
            <w:vAlign w:val="bottom"/>
            <w:tcBorders>
              <w:top w:val="single" w:sz="8" w:color="auto"/>
            </w:tcBorders>
            <w:shd w:val="clear" w:color="auto" w:fill="EAEAEA"/>
          </w:tcPr>
          <w:p>
            <w:pPr>
              <w:spacing w:after="0"/>
              <w:rPr>
                <w:sz w:val="20"/>
                <w:szCs w:val="20"/>
                <w:color w:val="auto"/>
              </w:rPr>
            </w:pPr>
          </w:p>
        </w:tc>
        <w:tc>
          <w:tcPr>
            <w:tcW w:w="1080" w:type="dxa"/>
            <w:vAlign w:val="bottom"/>
            <w:tcBorders>
              <w:top w:val="single" w:sz="8" w:color="auto"/>
            </w:tcBorders>
            <w:shd w:val="clear" w:color="auto" w:fill="EAEAEA"/>
          </w:tcPr>
          <w:p>
            <w:pPr>
              <w:spacing w:after="0"/>
              <w:rPr>
                <w:sz w:val="20"/>
                <w:szCs w:val="20"/>
                <w:color w:val="auto"/>
              </w:rPr>
            </w:pPr>
          </w:p>
        </w:tc>
        <w:tc>
          <w:tcPr>
            <w:tcW w:w="240" w:type="dxa"/>
            <w:vAlign w:val="bottom"/>
            <w:tcBorders>
              <w:top w:val="single" w:sz="8" w:color="EAEAEA"/>
            </w:tcBorders>
            <w:shd w:val="clear" w:color="auto" w:fill="EAEAEA"/>
          </w:tcPr>
          <w:p>
            <w:pPr>
              <w:spacing w:after="0"/>
              <w:rPr>
                <w:sz w:val="20"/>
                <w:szCs w:val="20"/>
                <w:color w:val="auto"/>
              </w:rPr>
            </w:pPr>
          </w:p>
        </w:tc>
        <w:tc>
          <w:tcPr>
            <w:tcW w:w="180" w:type="dxa"/>
            <w:vAlign w:val="bottom"/>
            <w:tcBorders>
              <w:top w:val="single" w:sz="8" w:color="auto"/>
            </w:tcBorders>
            <w:shd w:val="clear" w:color="auto" w:fill="EAEAEA"/>
          </w:tcPr>
          <w:p>
            <w:pPr>
              <w:spacing w:after="0"/>
              <w:rPr>
                <w:sz w:val="20"/>
                <w:szCs w:val="20"/>
                <w:color w:val="auto"/>
              </w:rPr>
            </w:pPr>
          </w:p>
        </w:tc>
        <w:tc>
          <w:tcPr>
            <w:tcW w:w="1180" w:type="dxa"/>
            <w:vAlign w:val="bottom"/>
            <w:tcBorders>
              <w:top w:val="single" w:sz="8" w:color="auto"/>
            </w:tcBorders>
            <w:shd w:val="clear" w:color="auto" w:fill="EAEAEA"/>
          </w:tcPr>
          <w:p>
            <w:pPr>
              <w:spacing w:after="0"/>
              <w:rPr>
                <w:sz w:val="20"/>
                <w:szCs w:val="20"/>
                <w:color w:val="auto"/>
              </w:rPr>
            </w:pPr>
          </w:p>
        </w:tc>
        <w:tc>
          <w:tcPr>
            <w:tcW w:w="8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Clinical activities related expenses</w:t>
            </w:r>
          </w:p>
        </w:tc>
        <w:tc>
          <w:tcPr>
            <w:tcW w:w="28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19,598</w:t>
            </w:r>
          </w:p>
        </w:tc>
        <w:tc>
          <w:tcPr>
            <w:tcW w:w="2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Preclinical activities related expenses</w:t>
            </w:r>
          </w:p>
        </w:tc>
        <w:tc>
          <w:tcPr>
            <w:tcW w:w="28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6,037</w:t>
            </w:r>
          </w:p>
        </w:tc>
        <w:tc>
          <w:tcPr>
            <w:tcW w:w="2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11,815</w:t>
            </w:r>
          </w:p>
        </w:tc>
        <w:tc>
          <w:tcPr>
            <w:tcW w:w="2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(5,778)</w:t>
            </w:r>
          </w:p>
        </w:tc>
        <w:tc>
          <w:tcPr>
            <w:tcW w:w="0" w:type="dxa"/>
            <w:vAlign w:val="bottom"/>
          </w:tcPr>
          <w:p>
            <w:pPr>
              <w:spacing w:after="0"/>
              <w:rPr>
                <w:sz w:val="1"/>
                <w:szCs w:val="1"/>
                <w:color w:val="auto"/>
              </w:rPr>
            </w:pPr>
          </w:p>
        </w:tc>
      </w:tr>
      <w:tr>
        <w:trPr>
          <w:trHeight w:val="225"/>
        </w:trPr>
        <w:tc>
          <w:tcPr>
            <w:tcW w:w="51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Expenses related to manufacturing of clinical and research</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material</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(4,414)</w:t>
            </w:r>
          </w:p>
        </w:tc>
        <w:tc>
          <w:tcPr>
            <w:tcW w:w="0" w:type="dxa"/>
            <w:vAlign w:val="bottom"/>
          </w:tcPr>
          <w:p>
            <w:pPr>
              <w:spacing w:after="0"/>
              <w:rPr>
                <w:sz w:val="1"/>
                <w:szCs w:val="1"/>
                <w:color w:val="auto"/>
              </w:rPr>
            </w:pPr>
          </w:p>
        </w:tc>
      </w:tr>
      <w:tr>
        <w:trPr>
          <w:trHeight w:val="244"/>
        </w:trPr>
        <w:tc>
          <w:tcPr>
            <w:tcW w:w="51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Other external costs</w:t>
            </w:r>
          </w:p>
        </w:tc>
        <w:tc>
          <w:tcPr>
            <w:tcW w:w="28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6,935</w:t>
            </w:r>
          </w:p>
        </w:tc>
        <w:tc>
          <w:tcPr>
            <w:tcW w:w="2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10,948</w:t>
            </w:r>
          </w:p>
        </w:tc>
        <w:tc>
          <w:tcPr>
            <w:tcW w:w="2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(4,013)</w:t>
            </w: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auto"/>
              </w:rPr>
              <w:t>Internal costs: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EAEAEA"/>
          </w:tcPr>
          <w:p>
            <w:pPr>
              <w:ind w:left="200"/>
              <w:spacing w:after="0" w:line="225" w:lineRule="exact"/>
              <w:rPr>
                <w:sz w:val="20"/>
                <w:szCs w:val="20"/>
                <w:color w:val="auto"/>
              </w:rPr>
            </w:pPr>
            <w:r>
              <w:rPr>
                <w:rFonts w:ascii="Times New Roman" w:cs="Times New Roman" w:eastAsia="Times New Roman" w:hAnsi="Times New Roman"/>
                <w:sz w:val="20"/>
                <w:szCs w:val="20"/>
                <w:color w:val="auto"/>
              </w:rPr>
              <w:t>Personnel-related expenses (including</w:t>
            </w:r>
          </w:p>
        </w:tc>
        <w:tc>
          <w:tcPr>
            <w:tcW w:w="28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114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108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18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EAEAEA"/>
          </w:tcPr>
          <w:p>
            <w:pPr>
              <w:ind w:left="360"/>
              <w:spacing w:after="0"/>
              <w:rPr>
                <w:sz w:val="20"/>
                <w:szCs w:val="20"/>
                <w:color w:val="auto"/>
              </w:rPr>
            </w:pPr>
            <w:r>
              <w:rPr>
                <w:rFonts w:ascii="Times New Roman" w:cs="Times New Roman" w:eastAsia="Times New Roman" w:hAnsi="Times New Roman"/>
                <w:sz w:val="20"/>
                <w:szCs w:val="20"/>
                <w:color w:val="auto"/>
              </w:rPr>
              <w:t>stock-based compensation)</w:t>
            </w:r>
          </w:p>
        </w:tc>
        <w:tc>
          <w:tcPr>
            <w:tcW w:w="28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20,563</w:t>
            </w:r>
          </w:p>
        </w:tc>
        <w:tc>
          <w:tcPr>
            <w:tcW w:w="2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31,856</w:t>
            </w:r>
          </w:p>
        </w:tc>
        <w:tc>
          <w:tcPr>
            <w:tcW w:w="2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(11,293)</w:t>
            </w:r>
          </w:p>
        </w:tc>
        <w:tc>
          <w:tcPr>
            <w:tcW w:w="0" w:type="dxa"/>
            <w:vAlign w:val="bottom"/>
          </w:tcPr>
          <w:p>
            <w:pPr>
              <w:spacing w:after="0"/>
              <w:rPr>
                <w:sz w:val="1"/>
                <w:szCs w:val="1"/>
                <w:color w:val="auto"/>
              </w:rPr>
            </w:pPr>
          </w:p>
        </w:tc>
      </w:tr>
      <w:tr>
        <w:trPr>
          <w:trHeight w:val="244"/>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Facilities and other allocated expenses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(2,106)</w:t>
            </w:r>
          </w:p>
        </w:tc>
        <w:tc>
          <w:tcPr>
            <w:tcW w:w="0" w:type="dxa"/>
            <w:vAlign w:val="bottom"/>
          </w:tcPr>
          <w:p>
            <w:pPr>
              <w:spacing w:after="0"/>
              <w:rPr>
                <w:sz w:val="1"/>
                <w:szCs w:val="1"/>
                <w:color w:val="auto"/>
              </w:rPr>
            </w:pPr>
          </w:p>
        </w:tc>
      </w:tr>
      <w:tr>
        <w:trPr>
          <w:trHeight w:val="239"/>
        </w:trPr>
        <w:tc>
          <w:tcPr>
            <w:tcW w:w="514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280" w:type="dxa"/>
            <w:vAlign w:val="bottom"/>
            <w:tcBorders>
              <w:top w:val="single" w:sz="8" w:color="EAEAEA"/>
            </w:tcBorders>
            <w:shd w:val="clear" w:color="auto" w:fill="EAEAEA"/>
          </w:tcPr>
          <w:p>
            <w:pPr>
              <w:spacing w:after="0"/>
              <w:rPr>
                <w:sz w:val="20"/>
                <w:szCs w:val="20"/>
                <w:color w:val="auto"/>
              </w:rPr>
            </w:pPr>
          </w:p>
        </w:tc>
        <w:tc>
          <w:tcPr>
            <w:tcW w:w="220" w:type="dxa"/>
            <w:vAlign w:val="bottom"/>
            <w:tcBorders>
              <w:top w:val="single" w:sz="8" w:color="auto"/>
              <w:bottom w:val="single" w:sz="8" w:color="auto"/>
            </w:tcBorders>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61,979</w:t>
            </w:r>
          </w:p>
        </w:tc>
        <w:tc>
          <w:tcPr>
            <w:tcW w:w="260" w:type="dxa"/>
            <w:vAlign w:val="bottom"/>
            <w:tcBorders>
              <w:top w:val="single" w:sz="8" w:color="EAEAEA"/>
            </w:tcBorders>
            <w:shd w:val="clear" w:color="auto" w:fill="EAEAEA"/>
          </w:tcPr>
          <w:p>
            <w:pPr>
              <w:spacing w:after="0"/>
              <w:rPr>
                <w:sz w:val="20"/>
                <w:szCs w:val="20"/>
                <w:color w:val="auto"/>
              </w:rPr>
            </w:pPr>
          </w:p>
        </w:tc>
        <w:tc>
          <w:tcPr>
            <w:tcW w:w="280" w:type="dxa"/>
            <w:vAlign w:val="bottom"/>
            <w:tcBorders>
              <w:top w:val="single" w:sz="8" w:color="auto"/>
              <w:bottom w:val="single" w:sz="8" w:color="auto"/>
            </w:tcBorders>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118,085</w:t>
            </w:r>
          </w:p>
        </w:tc>
        <w:tc>
          <w:tcPr>
            <w:tcW w:w="240" w:type="dxa"/>
            <w:vAlign w:val="bottom"/>
            <w:tcBorders>
              <w:top w:val="single" w:sz="8" w:color="EAEAEA"/>
            </w:tcBorders>
            <w:shd w:val="clear" w:color="auto" w:fill="EAEAEA"/>
          </w:tcPr>
          <w:p>
            <w:pPr>
              <w:spacing w:after="0"/>
              <w:rPr>
                <w:sz w:val="20"/>
                <w:szCs w:val="20"/>
                <w:color w:val="auto"/>
              </w:rPr>
            </w:pPr>
          </w:p>
        </w:tc>
        <w:tc>
          <w:tcPr>
            <w:tcW w:w="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(56,106)</w:t>
            </w:r>
          </w:p>
        </w:tc>
        <w:tc>
          <w:tcPr>
            <w:tcW w:w="8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Research and development expenses decreased by $56.1 million during the year ended December 31, 2025 compared to the year ended December 31, 2024. The decrease of $42.7 million in external costs was primarily driven by a decrease of $28.5 million related to clinical activities due to our strategic realignment to focus on our core assets and ceasing internal development of our oncology programs, a decrease of $4.4 million in manufacturing costs, a decrease of $4.0 million related to consultants, advisors and other professional services to support our clinical studies, discovery research and overall research and development program, and a decrease of $5.8 million related to preclinical and exploratory programs. Personnel-related expenses, including stock-based compensation, decreased by $11.3 million due to a decrease in headcount. Facilities and other allocated expenses decreased by $2.1 million due to a decrease in rent and facilities-related costs.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ectPr>
          <w:pgSz w:w="12240" w:h="15840" w:orient="portrait"/>
          <w:cols w:equalWidth="0" w:num="1">
            <w:col w:w="10080"/>
          </w:cols>
          <w:pgMar w:left="1080" w:top="1062"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080"/>
          </w:cols>
          <w:pgMar w:left="1080" w:top="1062" w:right="1080" w:bottom="175" w:gutter="0" w:footer="0" w:header="0"/>
          <w:type w:val="continuous"/>
        </w:sectPr>
      </w:pPr>
    </w:p>
    <w:bookmarkStart w:id="90" w:name="page91"/>
    <w:bookmarkEnd w:id="90"/>
    <w:p>
      <w:pPr>
        <w:ind w:right="10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decreased by $6.7 million during the year ended December 31, 2025 compared to the year ended December 31, 2024. The decrease was primarily driven by a decrease of $5.9 million related to personnel-related expenses, including stock-based compensation, due to a decrease in headcount. Consulting and professional expenses decreased by $0.7 million due to legal, accounting, consulting and other services. Facilities and other allocated expenses decreased by $0.1 million due to a decrease in rent and facilities-related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11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Impairment of long-lived assets was $2.2 million for the year ended December 31, 2025 and $0 for the year ended December 31, 2024, attributable to a one-time impairment charge (see Note 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fair value of common warrant liability</w:t>
      </w:r>
    </w:p>
    <w:p>
      <w:pPr>
        <w:spacing w:after="0" w:line="11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Change in fair value of common warrant liability was $19.9 million for the year ended December 31, 2025 and $0 for the year ended December 31, 2024, attributable to revaluation of the common warrants issued in connection with the June and October 2025 underwritten public offerings (see Note 5). The common warrants are re-measured at each balance sheet 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and Other Income, Net</w:t>
      </w:r>
    </w:p>
    <w:p>
      <w:pPr>
        <w:spacing w:after="0" w:line="11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Interest and other income, net was $1.9 million for the year ended December 31, 2025 compared to $5.6 million for the year ended December 31, 2024. The decrease of $3.7 million was primarily due to the decrease in cash and cash equivalents balance.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2024 and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periods indicated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00" w:type="dxa"/>
            <w:vAlign w:val="bottom"/>
            <w:gridSpan w:val="6"/>
          </w:tcPr>
          <w:p>
            <w:pPr>
              <w:ind w:left="1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80"/>
              <w:spacing w:after="0" w:line="225" w:lineRule="exact"/>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Operating expenses:</w:t>
            </w:r>
          </w:p>
        </w:tc>
        <w:tc>
          <w:tcPr>
            <w:tcW w:w="1440" w:type="dxa"/>
            <w:vAlign w:val="bottom"/>
            <w:tcBorders>
              <w:top w:val="single" w:sz="8" w:color="EAEAEA"/>
            </w:tcBorders>
            <w:shd w:val="clear" w:color="auto" w:fill="EAEAEA"/>
          </w:tcPr>
          <w:p>
            <w:pPr>
              <w:spacing w:after="0"/>
              <w:rPr>
                <w:sz w:val="19"/>
                <w:szCs w:val="19"/>
                <w:color w:val="auto"/>
              </w:rPr>
            </w:pPr>
          </w:p>
        </w:tc>
        <w:tc>
          <w:tcPr>
            <w:tcW w:w="220" w:type="dxa"/>
            <w:vAlign w:val="bottom"/>
            <w:tcBorders>
              <w:top w:val="single" w:sz="8" w:color="auto"/>
            </w:tcBorders>
            <w:shd w:val="clear" w:color="auto" w:fill="EAEAEA"/>
          </w:tcPr>
          <w:p>
            <w:pPr>
              <w:spacing w:after="0"/>
              <w:rPr>
                <w:sz w:val="19"/>
                <w:szCs w:val="19"/>
                <w:color w:val="auto"/>
              </w:rPr>
            </w:pPr>
          </w:p>
        </w:tc>
        <w:tc>
          <w:tcPr>
            <w:tcW w:w="1120" w:type="dxa"/>
            <w:vAlign w:val="bottom"/>
            <w:tcBorders>
              <w:top w:val="single" w:sz="8" w:color="auto"/>
            </w:tcBorders>
            <w:shd w:val="clear" w:color="auto" w:fill="EAEAEA"/>
          </w:tcPr>
          <w:p>
            <w:pPr>
              <w:spacing w:after="0"/>
              <w:rPr>
                <w:sz w:val="19"/>
                <w:szCs w:val="19"/>
                <w:color w:val="auto"/>
              </w:rPr>
            </w:pPr>
          </w:p>
        </w:tc>
        <w:tc>
          <w:tcPr>
            <w:tcW w:w="16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EAEAEA"/>
            </w:tcBorders>
            <w:shd w:val="clear" w:color="auto" w:fill="EAEAEA"/>
          </w:tcPr>
          <w:p>
            <w:pPr>
              <w:spacing w:after="0"/>
              <w:rPr>
                <w:sz w:val="19"/>
                <w:szCs w:val="19"/>
                <w:color w:val="auto"/>
              </w:rPr>
            </w:pPr>
          </w:p>
        </w:tc>
        <w:tc>
          <w:tcPr>
            <w:tcW w:w="300" w:type="dxa"/>
            <w:vAlign w:val="bottom"/>
            <w:tcBorders>
              <w:top w:val="single" w:sz="8" w:color="auto"/>
            </w:tcBorders>
            <w:shd w:val="clear" w:color="auto" w:fill="EAEAEA"/>
          </w:tcPr>
          <w:p>
            <w:pPr>
              <w:spacing w:after="0"/>
              <w:rPr>
                <w:sz w:val="19"/>
                <w:szCs w:val="19"/>
                <w:color w:val="auto"/>
              </w:rPr>
            </w:pPr>
          </w:p>
        </w:tc>
        <w:tc>
          <w:tcPr>
            <w:tcW w:w="1060" w:type="dxa"/>
            <w:vAlign w:val="bottom"/>
            <w:tcBorders>
              <w:top w:val="single" w:sz="8" w:color="auto"/>
            </w:tcBorders>
            <w:shd w:val="clear" w:color="auto" w:fill="EAEAEA"/>
          </w:tcPr>
          <w:p>
            <w:pPr>
              <w:spacing w:after="0"/>
              <w:rPr>
                <w:sz w:val="19"/>
                <w:szCs w:val="19"/>
                <w:color w:val="auto"/>
              </w:rPr>
            </w:pPr>
          </w:p>
        </w:tc>
        <w:tc>
          <w:tcPr>
            <w:tcW w:w="160" w:type="dxa"/>
            <w:vAlign w:val="bottom"/>
            <w:tcBorders>
              <w:top w:val="single" w:sz="8" w:color="EAEAEA"/>
            </w:tcBorders>
            <w:shd w:val="clear" w:color="auto" w:fill="EAEAEA"/>
          </w:tcPr>
          <w:p>
            <w:pPr>
              <w:spacing w:after="0"/>
              <w:rPr>
                <w:sz w:val="19"/>
                <w:szCs w:val="19"/>
                <w:color w:val="auto"/>
              </w:rPr>
            </w:pPr>
          </w:p>
        </w:tc>
        <w:tc>
          <w:tcPr>
            <w:tcW w:w="80" w:type="dxa"/>
            <w:vAlign w:val="bottom"/>
            <w:tcBorders>
              <w:top w:val="single" w:sz="8" w:color="EAEAEA"/>
            </w:tcBorders>
            <w:shd w:val="clear" w:color="auto" w:fill="EAEAEA"/>
          </w:tcPr>
          <w:p>
            <w:pPr>
              <w:spacing w:after="0"/>
              <w:rPr>
                <w:sz w:val="19"/>
                <w:szCs w:val="19"/>
                <w:color w:val="auto"/>
              </w:rPr>
            </w:pPr>
          </w:p>
        </w:tc>
        <w:tc>
          <w:tcPr>
            <w:tcW w:w="180" w:type="dxa"/>
            <w:vAlign w:val="bottom"/>
            <w:tcBorders>
              <w:top w:val="single" w:sz="8" w:color="auto"/>
            </w:tcBorders>
            <w:shd w:val="clear" w:color="auto" w:fill="EAEAEA"/>
          </w:tcPr>
          <w:p>
            <w:pPr>
              <w:spacing w:after="0"/>
              <w:rPr>
                <w:sz w:val="19"/>
                <w:szCs w:val="19"/>
                <w:color w:val="auto"/>
              </w:rPr>
            </w:pPr>
          </w:p>
        </w:tc>
        <w:tc>
          <w:tcPr>
            <w:tcW w:w="1180" w:type="dxa"/>
            <w:vAlign w:val="bottom"/>
            <w:tcBorders>
              <w:top w:val="single" w:sz="8" w:color="auto"/>
            </w:tcBorders>
            <w:shd w:val="clear" w:color="auto" w:fill="EAEAEA"/>
          </w:tcPr>
          <w:p>
            <w:pPr>
              <w:spacing w:after="0"/>
              <w:rPr>
                <w:sz w:val="19"/>
                <w:szCs w:val="19"/>
                <w:color w:val="auto"/>
              </w:rPr>
            </w:pPr>
          </w:p>
        </w:tc>
        <w:tc>
          <w:tcPr>
            <w:tcW w:w="80" w:type="dxa"/>
            <w:vAlign w:val="bottom"/>
            <w:tcBorders>
              <w:top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44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102,546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40" w:type="dxa"/>
            <w:vAlign w:val="bottom"/>
            <w:shd w:val="clear" w:color="auto" w:fill="EAEAEA"/>
          </w:tcPr>
          <w:p>
            <w:pPr>
              <w:spacing w:after="0"/>
              <w:rPr>
                <w:sz w:val="20"/>
                <w:szCs w:val="20"/>
                <w:color w:val="auto"/>
              </w:rPr>
            </w:pPr>
          </w:p>
        </w:tc>
        <w:tc>
          <w:tcPr>
            <w:tcW w:w="220" w:type="dxa"/>
            <w:vAlign w:val="bottom"/>
            <w:tcBorders>
              <w:bottom w:val="single" w:sz="8" w:color="auto"/>
            </w:tcBorders>
            <w:shd w:val="clear" w:color="auto" w:fill="EAEAEA"/>
          </w:tcPr>
          <w:p>
            <w:pPr>
              <w:spacing w:after="0"/>
              <w:rPr>
                <w:sz w:val="20"/>
                <w:szCs w:val="20"/>
                <w:color w:val="auto"/>
              </w:rPr>
            </w:pPr>
          </w:p>
        </w:tc>
        <w:tc>
          <w:tcPr>
            <w:tcW w:w="11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25,985</w:t>
            </w: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spacing w:after="0"/>
              <w:rPr>
                <w:sz w:val="20"/>
                <w:szCs w:val="20"/>
                <w:color w:val="auto"/>
              </w:rPr>
            </w:pPr>
          </w:p>
        </w:tc>
        <w:tc>
          <w:tcPr>
            <w:tcW w:w="10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23,589</w:t>
            </w:r>
          </w:p>
        </w:tc>
        <w:tc>
          <w:tcPr>
            <w:tcW w:w="1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80" w:type="dxa"/>
            <w:vAlign w:val="bottom"/>
            <w:tcBorders>
              <w:bottom w:val="single" w:sz="8" w:color="auto"/>
            </w:tcBorders>
            <w:shd w:val="clear" w:color="auto" w:fill="EAEAEA"/>
          </w:tcPr>
          <w:p>
            <w:pPr>
              <w:spacing w:after="0"/>
              <w:rPr>
                <w:sz w:val="20"/>
                <w:szCs w:val="20"/>
                <w:color w:val="auto"/>
              </w:rPr>
            </w:pPr>
          </w:p>
        </w:tc>
        <w:tc>
          <w:tcPr>
            <w:tcW w:w="11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2,396</w:t>
            </w: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00" w:type="dxa"/>
            <w:vAlign w:val="bottom"/>
            <w:tcBorders>
              <w:bottom w:val="single" w:sz="8" w:color="EAEAEA"/>
            </w:tcBorders>
          </w:tcPr>
          <w:p>
            <w:pPr>
              <w:ind w:left="400"/>
              <w:spacing w:after="0" w:line="225" w:lineRule="exact"/>
              <w:rPr>
                <w:sz w:val="20"/>
                <w:szCs w:val="20"/>
                <w:color w:val="auto"/>
              </w:rPr>
            </w:pPr>
            <w:r>
              <w:rPr>
                <w:rFonts w:ascii="Times New Roman" w:cs="Times New Roman" w:eastAsia="Times New Roman" w:hAnsi="Times New Roman"/>
                <w:sz w:val="20"/>
                <w:szCs w:val="20"/>
                <w:color w:val="auto"/>
              </w:rPr>
              <w:t>Total operating expenses</w:t>
            </w:r>
          </w:p>
        </w:tc>
        <w:tc>
          <w:tcPr>
            <w:tcW w:w="1440" w:type="dxa"/>
            <w:vAlign w:val="bottom"/>
            <w:tcBorders>
              <w:bottom w:val="single" w:sz="8" w:color="EAEAE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144,070</w:t>
            </w:r>
          </w:p>
        </w:tc>
        <w:tc>
          <w:tcPr>
            <w:tcW w:w="160" w:type="dxa"/>
            <w:vAlign w:val="bottom"/>
            <w:tcBorders>
              <w:bottom w:val="single" w:sz="8" w:color="EAEAEA"/>
            </w:tcBorders>
          </w:tcPr>
          <w:p>
            <w:pPr>
              <w:spacing w:after="0"/>
              <w:rPr>
                <w:sz w:val="19"/>
                <w:szCs w:val="19"/>
                <w:color w:val="auto"/>
              </w:rPr>
            </w:pPr>
          </w:p>
        </w:tc>
        <w:tc>
          <w:tcPr>
            <w:tcW w:w="100" w:type="dxa"/>
            <w:vAlign w:val="bottom"/>
            <w:tcBorders>
              <w:bottom w:val="single" w:sz="8" w:color="EA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126,135</w:t>
            </w:r>
          </w:p>
        </w:tc>
        <w:tc>
          <w:tcPr>
            <w:tcW w:w="160" w:type="dxa"/>
            <w:vAlign w:val="bottom"/>
            <w:tcBorders>
              <w:bottom w:val="single" w:sz="8" w:color="EAEAEA"/>
            </w:tcBorders>
          </w:tcPr>
          <w:p>
            <w:pPr>
              <w:spacing w:after="0"/>
              <w:rPr>
                <w:sz w:val="19"/>
                <w:szCs w:val="19"/>
                <w:color w:val="auto"/>
              </w:rPr>
            </w:pPr>
          </w:p>
        </w:tc>
        <w:tc>
          <w:tcPr>
            <w:tcW w:w="80" w:type="dxa"/>
            <w:vAlign w:val="bottom"/>
            <w:tcBorders>
              <w:bottom w:val="single" w:sz="8" w:color="EAEAE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17,935</w:t>
            </w:r>
          </w:p>
        </w:tc>
        <w:tc>
          <w:tcPr>
            <w:tcW w:w="80" w:type="dxa"/>
            <w:vAlign w:val="bottom"/>
            <w:tcBorders>
              <w:bottom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Loss from operations</w:t>
            </w:r>
          </w:p>
        </w:tc>
        <w:tc>
          <w:tcPr>
            <w:tcW w:w="14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112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(144,070)</w:t>
            </w: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106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(126,135)</w:t>
            </w:r>
          </w:p>
        </w:tc>
        <w:tc>
          <w:tcPr>
            <w:tcW w:w="1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18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(17,935)</w:t>
            </w: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Interest and other income, net</w:t>
            </w:r>
          </w:p>
        </w:tc>
        <w:tc>
          <w:tcPr>
            <w:tcW w:w="1440" w:type="dxa"/>
            <w:vAlign w:val="bottom"/>
            <w:tcBorders>
              <w:bottom w:val="single" w:sz="8" w:color="EAEAE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5,644</w:t>
            </w:r>
          </w:p>
        </w:tc>
        <w:tc>
          <w:tcPr>
            <w:tcW w:w="160" w:type="dxa"/>
            <w:vAlign w:val="bottom"/>
            <w:tcBorders>
              <w:bottom w:val="single" w:sz="8" w:color="EAEAEA"/>
            </w:tcBorders>
          </w:tcPr>
          <w:p>
            <w:pPr>
              <w:spacing w:after="0"/>
              <w:rPr>
                <w:sz w:val="20"/>
                <w:szCs w:val="20"/>
                <w:color w:val="auto"/>
              </w:rPr>
            </w:pPr>
          </w:p>
        </w:tc>
        <w:tc>
          <w:tcPr>
            <w:tcW w:w="100" w:type="dxa"/>
            <w:vAlign w:val="bottom"/>
            <w:tcBorders>
              <w:bottom w:val="single" w:sz="8" w:color="EAEAEA"/>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8,880</w:t>
            </w:r>
          </w:p>
        </w:tc>
        <w:tc>
          <w:tcPr>
            <w:tcW w:w="160" w:type="dxa"/>
            <w:vAlign w:val="bottom"/>
            <w:tcBorders>
              <w:bottom w:val="single" w:sz="8" w:color="EAEAEA"/>
            </w:tcBorders>
          </w:tcPr>
          <w:p>
            <w:pPr>
              <w:spacing w:after="0"/>
              <w:rPr>
                <w:sz w:val="20"/>
                <w:szCs w:val="20"/>
                <w:color w:val="auto"/>
              </w:rPr>
            </w:pPr>
          </w:p>
        </w:tc>
        <w:tc>
          <w:tcPr>
            <w:tcW w:w="80" w:type="dxa"/>
            <w:vAlign w:val="bottom"/>
            <w:tcBorders>
              <w:bottom w:val="single" w:sz="8" w:color="EA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(3,236)</w:t>
            </w:r>
          </w:p>
        </w:tc>
        <w:tc>
          <w:tcPr>
            <w:tcW w:w="8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Net loss</w:t>
            </w:r>
          </w:p>
        </w:tc>
        <w:tc>
          <w:tcPr>
            <w:tcW w:w="1440" w:type="dxa"/>
            <w:vAlign w:val="bottom"/>
            <w:shd w:val="clear" w:color="auto" w:fill="EAEAEA"/>
          </w:tcPr>
          <w:p>
            <w:pPr>
              <w:spacing w:after="0"/>
              <w:rPr>
                <w:sz w:val="19"/>
                <w:szCs w:val="19"/>
                <w:color w:val="auto"/>
              </w:rPr>
            </w:pPr>
          </w:p>
        </w:tc>
        <w:tc>
          <w:tcPr>
            <w:tcW w:w="220" w:type="dxa"/>
            <w:vAlign w:val="bottom"/>
            <w:tcBorders>
              <w:bottom w:val="single" w:sz="8" w:color="auto"/>
            </w:tcBorders>
            <w:shd w:val="clear" w:color="auto" w:fill="EAEAEA"/>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(138,426)</w:t>
            </w: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300" w:type="dxa"/>
            <w:vAlign w:val="bottom"/>
            <w:tcBorders>
              <w:bottom w:val="single" w:sz="8" w:color="auto"/>
            </w:tcBorders>
            <w:shd w:val="clear" w:color="auto" w:fill="EAEAEA"/>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(117,255)</w:t>
            </w:r>
          </w:p>
        </w:tc>
        <w:tc>
          <w:tcPr>
            <w:tcW w:w="1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8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(21,171)</w:t>
            </w: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research and development expenses incurred during the periods indicated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3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80"/>
              <w:spacing w:after="0" w:line="225" w:lineRule="exact"/>
              <w:rPr>
                <w:sz w:val="20"/>
                <w:szCs w:val="20"/>
                <w:color w:val="auto"/>
              </w:rPr>
            </w:pPr>
            <w:r>
              <w:rPr>
                <w:rFonts w:ascii="Times New Roman" w:cs="Times New Roman" w:eastAsia="Times New Roman" w:hAnsi="Times New Roman"/>
                <w:sz w:val="20"/>
                <w:szCs w:val="20"/>
                <w:b w:val="1"/>
                <w:bCs w:val="1"/>
                <w:color w:val="auto"/>
              </w:rPr>
              <w:t>2023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External costs</w:t>
            </w:r>
          </w:p>
        </w:tc>
        <w:tc>
          <w:tcPr>
            <w:tcW w:w="280" w:type="dxa"/>
            <w:vAlign w:val="bottom"/>
            <w:tcBorders>
              <w:top w:val="single" w:sz="8" w:color="EAEAEA"/>
            </w:tcBorders>
            <w:shd w:val="clear" w:color="auto" w:fill="EAEAEA"/>
          </w:tcPr>
          <w:p>
            <w:pPr>
              <w:spacing w:after="0"/>
              <w:rPr>
                <w:sz w:val="19"/>
                <w:szCs w:val="19"/>
                <w:color w:val="auto"/>
              </w:rPr>
            </w:pPr>
          </w:p>
        </w:tc>
        <w:tc>
          <w:tcPr>
            <w:tcW w:w="220" w:type="dxa"/>
            <w:vAlign w:val="bottom"/>
            <w:tcBorders>
              <w:top w:val="single" w:sz="8" w:color="auto"/>
            </w:tcBorders>
            <w:shd w:val="clear" w:color="auto" w:fill="EAEAEA"/>
          </w:tcPr>
          <w:p>
            <w:pPr>
              <w:spacing w:after="0"/>
              <w:rPr>
                <w:sz w:val="19"/>
                <w:szCs w:val="19"/>
                <w:color w:val="auto"/>
              </w:rPr>
            </w:pPr>
          </w:p>
        </w:tc>
        <w:tc>
          <w:tcPr>
            <w:tcW w:w="1140" w:type="dxa"/>
            <w:vAlign w:val="bottom"/>
            <w:tcBorders>
              <w:top w:val="single" w:sz="8" w:color="auto"/>
            </w:tcBorders>
            <w:shd w:val="clear" w:color="auto" w:fill="EAEAEA"/>
          </w:tcPr>
          <w:p>
            <w:pPr>
              <w:spacing w:after="0"/>
              <w:rPr>
                <w:sz w:val="19"/>
                <w:szCs w:val="19"/>
                <w:color w:val="auto"/>
              </w:rPr>
            </w:pPr>
          </w:p>
        </w:tc>
        <w:tc>
          <w:tcPr>
            <w:tcW w:w="260" w:type="dxa"/>
            <w:vAlign w:val="bottom"/>
            <w:tcBorders>
              <w:top w:val="single" w:sz="8" w:color="EAEAEA"/>
            </w:tcBorders>
            <w:shd w:val="clear" w:color="auto" w:fill="EAEAEA"/>
          </w:tcPr>
          <w:p>
            <w:pPr>
              <w:spacing w:after="0"/>
              <w:rPr>
                <w:sz w:val="19"/>
                <w:szCs w:val="19"/>
                <w:color w:val="auto"/>
              </w:rPr>
            </w:pPr>
          </w:p>
        </w:tc>
        <w:tc>
          <w:tcPr>
            <w:tcW w:w="280" w:type="dxa"/>
            <w:vAlign w:val="bottom"/>
            <w:tcBorders>
              <w:top w:val="single" w:sz="8" w:color="auto"/>
            </w:tcBorders>
            <w:shd w:val="clear" w:color="auto" w:fill="EAEAEA"/>
          </w:tcPr>
          <w:p>
            <w:pPr>
              <w:spacing w:after="0"/>
              <w:rPr>
                <w:sz w:val="19"/>
                <w:szCs w:val="19"/>
                <w:color w:val="auto"/>
              </w:rPr>
            </w:pPr>
          </w:p>
        </w:tc>
        <w:tc>
          <w:tcPr>
            <w:tcW w:w="1080" w:type="dxa"/>
            <w:vAlign w:val="bottom"/>
            <w:tcBorders>
              <w:top w:val="single" w:sz="8" w:color="auto"/>
            </w:tcBorders>
            <w:shd w:val="clear" w:color="auto" w:fill="EAEAEA"/>
          </w:tcPr>
          <w:p>
            <w:pPr>
              <w:spacing w:after="0"/>
              <w:rPr>
                <w:sz w:val="19"/>
                <w:szCs w:val="19"/>
                <w:color w:val="auto"/>
              </w:rPr>
            </w:pPr>
          </w:p>
        </w:tc>
        <w:tc>
          <w:tcPr>
            <w:tcW w:w="240" w:type="dxa"/>
            <w:vAlign w:val="bottom"/>
            <w:tcBorders>
              <w:top w:val="single" w:sz="8" w:color="EAEAEA"/>
            </w:tcBorders>
            <w:shd w:val="clear" w:color="auto" w:fill="EAEAEA"/>
          </w:tcPr>
          <w:p>
            <w:pPr>
              <w:spacing w:after="0"/>
              <w:rPr>
                <w:sz w:val="19"/>
                <w:szCs w:val="19"/>
                <w:color w:val="auto"/>
              </w:rPr>
            </w:pPr>
          </w:p>
        </w:tc>
        <w:tc>
          <w:tcPr>
            <w:tcW w:w="180" w:type="dxa"/>
            <w:vAlign w:val="bottom"/>
            <w:tcBorders>
              <w:top w:val="single" w:sz="8" w:color="auto"/>
            </w:tcBorders>
            <w:shd w:val="clear" w:color="auto" w:fill="EAEAEA"/>
          </w:tcPr>
          <w:p>
            <w:pPr>
              <w:spacing w:after="0"/>
              <w:rPr>
                <w:sz w:val="19"/>
                <w:szCs w:val="19"/>
                <w:color w:val="auto"/>
              </w:rPr>
            </w:pPr>
          </w:p>
        </w:tc>
        <w:tc>
          <w:tcPr>
            <w:tcW w:w="1180" w:type="dxa"/>
            <w:vAlign w:val="bottom"/>
            <w:tcBorders>
              <w:top w:val="single" w:sz="8" w:color="auto"/>
            </w:tcBorders>
            <w:shd w:val="clear" w:color="auto" w:fill="EAEAEA"/>
          </w:tcPr>
          <w:p>
            <w:pPr>
              <w:spacing w:after="0"/>
              <w:rPr>
                <w:sz w:val="19"/>
                <w:szCs w:val="19"/>
                <w:color w:val="auto"/>
              </w:rPr>
            </w:pPr>
          </w:p>
        </w:tc>
        <w:tc>
          <w:tcPr>
            <w:tcW w:w="80" w:type="dxa"/>
            <w:vAlign w:val="bottom"/>
            <w:tcBorders>
              <w:top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Clinical activities related expenses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48,100</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36,098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12,002</w:t>
            </w:r>
          </w:p>
        </w:tc>
        <w:tc>
          <w:tcPr>
            <w:tcW w:w="0" w:type="dxa"/>
            <w:vAlign w:val="bottom"/>
          </w:tcPr>
          <w:p>
            <w:pPr>
              <w:spacing w:after="0"/>
              <w:rPr>
                <w:sz w:val="1"/>
                <w:szCs w:val="1"/>
                <w:color w:val="auto"/>
              </w:rPr>
            </w:pPr>
          </w:p>
        </w:tc>
      </w:tr>
      <w:tr>
        <w:trPr>
          <w:trHeight w:val="230"/>
        </w:trPr>
        <w:tc>
          <w:tcPr>
            <w:tcW w:w="51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Preclinical activities related expenses</w:t>
            </w:r>
          </w:p>
        </w:tc>
        <w:tc>
          <w:tcPr>
            <w:tcW w:w="28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1400" w:type="dxa"/>
            <w:vAlign w:val="bottom"/>
            <w:gridSpan w:val="2"/>
            <w:shd w:val="clear" w:color="auto" w:fill="EAEAEA"/>
          </w:tcPr>
          <w:p>
            <w:pPr>
              <w:jc w:val="right"/>
              <w:ind w:right="260"/>
              <w:spacing w:after="0"/>
              <w:rPr>
                <w:sz w:val="20"/>
                <w:szCs w:val="20"/>
                <w:color w:val="auto"/>
              </w:rPr>
            </w:pPr>
            <w:r>
              <w:rPr>
                <w:rFonts w:ascii="Times New Roman" w:cs="Times New Roman" w:eastAsia="Times New Roman" w:hAnsi="Times New Roman"/>
                <w:sz w:val="20"/>
                <w:szCs w:val="20"/>
                <w:color w:val="auto"/>
              </w:rPr>
              <w:t>11,815</w:t>
            </w:r>
          </w:p>
        </w:tc>
        <w:tc>
          <w:tcPr>
            <w:tcW w:w="280" w:type="dxa"/>
            <w:vAlign w:val="bottom"/>
            <w:shd w:val="clear" w:color="auto" w:fill="EAEAEA"/>
          </w:tcPr>
          <w:p>
            <w:pPr>
              <w:spacing w:after="0"/>
              <w:rPr>
                <w:sz w:val="20"/>
                <w:szCs w:val="20"/>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10,165</w:t>
            </w:r>
          </w:p>
        </w:tc>
        <w:tc>
          <w:tcPr>
            <w:tcW w:w="2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126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1,650</w:t>
            </w:r>
          </w:p>
        </w:tc>
        <w:tc>
          <w:tcPr>
            <w:tcW w:w="0" w:type="dxa"/>
            <w:vAlign w:val="bottom"/>
          </w:tcPr>
          <w:p>
            <w:pPr>
              <w:spacing w:after="0"/>
              <w:rPr>
                <w:sz w:val="1"/>
                <w:szCs w:val="1"/>
                <w:color w:val="auto"/>
              </w:rPr>
            </w:pPr>
          </w:p>
        </w:tc>
      </w:tr>
      <w:tr>
        <w:trPr>
          <w:trHeight w:val="211"/>
        </w:trPr>
        <w:tc>
          <w:tcPr>
            <w:tcW w:w="514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auto"/>
              </w:rPr>
              <w:t>Expenses related to manufacturing of clinical and research</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material</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7,262</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(5,975)</w:t>
            </w:r>
          </w:p>
        </w:tc>
        <w:tc>
          <w:tcPr>
            <w:tcW w:w="0" w:type="dxa"/>
            <w:vAlign w:val="bottom"/>
          </w:tcPr>
          <w:p>
            <w:pPr>
              <w:spacing w:after="0"/>
              <w:rPr>
                <w:sz w:val="1"/>
                <w:szCs w:val="1"/>
                <w:color w:val="auto"/>
              </w:rPr>
            </w:pPr>
          </w:p>
        </w:tc>
      </w:tr>
      <w:tr>
        <w:trPr>
          <w:trHeight w:val="230"/>
        </w:trPr>
        <w:tc>
          <w:tcPr>
            <w:tcW w:w="51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Other external costs</w:t>
            </w:r>
          </w:p>
        </w:tc>
        <w:tc>
          <w:tcPr>
            <w:tcW w:w="28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1400" w:type="dxa"/>
            <w:vAlign w:val="bottom"/>
            <w:gridSpan w:val="2"/>
            <w:shd w:val="clear" w:color="auto" w:fill="EAEAEA"/>
          </w:tcPr>
          <w:p>
            <w:pPr>
              <w:jc w:val="right"/>
              <w:ind w:right="260"/>
              <w:spacing w:after="0"/>
              <w:rPr>
                <w:sz w:val="20"/>
                <w:szCs w:val="20"/>
                <w:color w:val="auto"/>
              </w:rPr>
            </w:pPr>
            <w:r>
              <w:rPr>
                <w:rFonts w:ascii="Times New Roman" w:cs="Times New Roman" w:eastAsia="Times New Roman" w:hAnsi="Times New Roman"/>
                <w:sz w:val="20"/>
                <w:szCs w:val="20"/>
                <w:color w:val="auto"/>
              </w:rPr>
              <w:t>10,948</w:t>
            </w:r>
          </w:p>
        </w:tc>
        <w:tc>
          <w:tcPr>
            <w:tcW w:w="280" w:type="dxa"/>
            <w:vAlign w:val="bottom"/>
            <w:shd w:val="clear" w:color="auto" w:fill="EAEAEA"/>
          </w:tcPr>
          <w:p>
            <w:pPr>
              <w:spacing w:after="0"/>
              <w:rPr>
                <w:sz w:val="20"/>
                <w:szCs w:val="20"/>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5,528</w:t>
            </w:r>
          </w:p>
        </w:tc>
        <w:tc>
          <w:tcPr>
            <w:tcW w:w="2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126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5,420</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auto"/>
              </w:rPr>
              <w:t>Internal costs: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EAEAEA"/>
          </w:tcPr>
          <w:p>
            <w:pPr>
              <w:ind w:left="200"/>
              <w:spacing w:after="0" w:line="210" w:lineRule="exact"/>
              <w:rPr>
                <w:sz w:val="20"/>
                <w:szCs w:val="20"/>
                <w:color w:val="auto"/>
              </w:rPr>
            </w:pPr>
            <w:r>
              <w:rPr>
                <w:rFonts w:ascii="Times New Roman" w:cs="Times New Roman" w:eastAsia="Times New Roman" w:hAnsi="Times New Roman"/>
                <w:sz w:val="20"/>
                <w:szCs w:val="20"/>
                <w:color w:val="auto"/>
              </w:rPr>
              <w:t>Personnel-related expenses (including</w:t>
            </w:r>
          </w:p>
        </w:tc>
        <w:tc>
          <w:tcPr>
            <w:tcW w:w="2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14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08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EAEAEA"/>
          </w:tcPr>
          <w:p>
            <w:pPr>
              <w:ind w:left="360"/>
              <w:spacing w:after="0"/>
              <w:rPr>
                <w:sz w:val="20"/>
                <w:szCs w:val="20"/>
                <w:color w:val="auto"/>
              </w:rPr>
            </w:pPr>
            <w:r>
              <w:rPr>
                <w:rFonts w:ascii="Times New Roman" w:cs="Times New Roman" w:eastAsia="Times New Roman" w:hAnsi="Times New Roman"/>
                <w:sz w:val="20"/>
                <w:szCs w:val="20"/>
                <w:color w:val="auto"/>
              </w:rPr>
              <w:t>stock-based compensation)</w:t>
            </w:r>
          </w:p>
        </w:tc>
        <w:tc>
          <w:tcPr>
            <w:tcW w:w="28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400" w:type="dxa"/>
            <w:vAlign w:val="bottom"/>
            <w:gridSpan w:val="2"/>
            <w:shd w:val="clear" w:color="auto" w:fill="EAEAEA"/>
          </w:tcPr>
          <w:p>
            <w:pPr>
              <w:jc w:val="right"/>
              <w:ind w:right="260"/>
              <w:spacing w:after="0"/>
              <w:rPr>
                <w:sz w:val="20"/>
                <w:szCs w:val="20"/>
                <w:color w:val="auto"/>
              </w:rPr>
            </w:pPr>
            <w:r>
              <w:rPr>
                <w:rFonts w:ascii="Times New Roman" w:cs="Times New Roman" w:eastAsia="Times New Roman" w:hAnsi="Times New Roman"/>
                <w:sz w:val="20"/>
                <w:szCs w:val="20"/>
                <w:color w:val="auto"/>
              </w:rPr>
              <w:t>31,856</w:t>
            </w:r>
          </w:p>
        </w:tc>
        <w:tc>
          <w:tcPr>
            <w:tcW w:w="280" w:type="dxa"/>
            <w:vAlign w:val="bottom"/>
            <w:shd w:val="clear" w:color="auto" w:fill="EAEAEA"/>
          </w:tcPr>
          <w:p>
            <w:pPr>
              <w:spacing w:after="0"/>
              <w:rPr>
                <w:sz w:val="21"/>
                <w:szCs w:val="21"/>
                <w:color w:val="auto"/>
              </w:rPr>
            </w:pP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28,838</w:t>
            </w:r>
          </w:p>
        </w:tc>
        <w:tc>
          <w:tcPr>
            <w:tcW w:w="24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3,018</w:t>
            </w:r>
          </w:p>
        </w:tc>
        <w:tc>
          <w:tcPr>
            <w:tcW w:w="0" w:type="dxa"/>
            <w:vAlign w:val="bottom"/>
          </w:tcPr>
          <w:p>
            <w:pPr>
              <w:spacing w:after="0"/>
              <w:rPr>
                <w:sz w:val="1"/>
                <w:szCs w:val="1"/>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Facilities and other allocated expenses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8,104</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(576)</w:t>
            </w:r>
          </w:p>
        </w:tc>
        <w:tc>
          <w:tcPr>
            <w:tcW w:w="0" w:type="dxa"/>
            <w:vAlign w:val="bottom"/>
          </w:tcPr>
          <w:p>
            <w:pPr>
              <w:spacing w:after="0"/>
              <w:rPr>
                <w:sz w:val="1"/>
                <w:szCs w:val="1"/>
                <w:color w:val="auto"/>
              </w:rPr>
            </w:pPr>
          </w:p>
        </w:tc>
      </w:tr>
      <w:tr>
        <w:trPr>
          <w:trHeight w:val="225"/>
        </w:trPr>
        <w:tc>
          <w:tcPr>
            <w:tcW w:w="514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Total research and development expenses</w:t>
            </w:r>
          </w:p>
        </w:tc>
        <w:tc>
          <w:tcPr>
            <w:tcW w:w="280" w:type="dxa"/>
            <w:vAlign w:val="bottom"/>
            <w:tcBorders>
              <w:top w:val="single" w:sz="8" w:color="EAEAEA"/>
            </w:tcBorders>
            <w:shd w:val="clear" w:color="auto" w:fill="EAEAEA"/>
          </w:tcPr>
          <w:p>
            <w:pPr>
              <w:spacing w:after="0"/>
              <w:rPr>
                <w:sz w:val="19"/>
                <w:szCs w:val="19"/>
                <w:color w:val="auto"/>
              </w:rPr>
            </w:pPr>
          </w:p>
        </w:tc>
        <w:tc>
          <w:tcPr>
            <w:tcW w:w="220" w:type="dxa"/>
            <w:vAlign w:val="bottom"/>
            <w:tcBorders>
              <w:top w:val="single" w:sz="8" w:color="auto"/>
              <w:bottom w:val="single" w:sz="8" w:color="auto"/>
            </w:tcBorders>
            <w:shd w:val="clear" w:color="auto" w:fill="EAEAEA"/>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118,085</w:t>
            </w:r>
          </w:p>
        </w:tc>
        <w:tc>
          <w:tcPr>
            <w:tcW w:w="260" w:type="dxa"/>
            <w:vAlign w:val="bottom"/>
            <w:tcBorders>
              <w:top w:val="single" w:sz="8" w:color="EAEAEA"/>
            </w:tcBorders>
            <w:shd w:val="clear" w:color="auto" w:fill="EAEAEA"/>
          </w:tcPr>
          <w:p>
            <w:pPr>
              <w:spacing w:after="0"/>
              <w:rPr>
                <w:sz w:val="19"/>
                <w:szCs w:val="19"/>
                <w:color w:val="auto"/>
              </w:rPr>
            </w:pPr>
          </w:p>
        </w:tc>
        <w:tc>
          <w:tcPr>
            <w:tcW w:w="280" w:type="dxa"/>
            <w:vAlign w:val="bottom"/>
            <w:tcBorders>
              <w:top w:val="single" w:sz="8" w:color="auto"/>
              <w:bottom w:val="single" w:sz="8" w:color="auto"/>
            </w:tcBorders>
            <w:shd w:val="clear" w:color="auto" w:fill="EAEAEA"/>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102,546</w:t>
            </w:r>
          </w:p>
        </w:tc>
        <w:tc>
          <w:tcPr>
            <w:tcW w:w="240" w:type="dxa"/>
            <w:vAlign w:val="bottom"/>
            <w:tcBorders>
              <w:top w:val="single" w:sz="8" w:color="EAEAEA"/>
            </w:tcBorders>
            <w:shd w:val="clear" w:color="auto" w:fill="EAEAEA"/>
          </w:tcPr>
          <w:p>
            <w:pPr>
              <w:spacing w:after="0"/>
              <w:rPr>
                <w:sz w:val="19"/>
                <w:szCs w:val="19"/>
                <w:color w:val="auto"/>
              </w:rPr>
            </w:pPr>
          </w:p>
        </w:tc>
        <w:tc>
          <w:tcPr>
            <w:tcW w:w="18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15,539</w:t>
            </w:r>
          </w:p>
        </w:tc>
        <w:tc>
          <w:tcPr>
            <w:tcW w:w="80" w:type="dxa"/>
            <w:vAlign w:val="bottom"/>
            <w:tcBorders>
              <w:top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Research and development expenses increased by $15.5 million during the year ended December 31, 2024 compared to the year ended December 31, 2023. The increase of $13.1 million in external costs was primarily driven by an increase of $12.0 million related to clinical activities, an increase of $5.4 million related to consultants, advisors and other professional services to support our clinical studies, discovery research and overall research and development program, and increase of $ 1.7 million related to preclinical activities mainly driven by timing of our exploratory programs. Manufacturing related costs decreased by $6.0 million primarily driven by timing of services performed by our contract manufacturers. Personnel-related expenses, including stock-based compensation, increased by $3.0 million due to an increase in headcount.</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080"/>
          </w:cols>
          <w:pgMar w:left="1080" w:top="1060" w:right="1080" w:bottom="175"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 xml:space="preserve">General and administrative expenses increased by $2.4 million during the year ended December 31, 2024 compared to the year ended December 31, 2023. </w:t>
      </w:r>
      <w:r>
        <w:rPr>
          <w:rFonts w:ascii="Times New Roman" w:cs="Times New Roman" w:eastAsia="Times New Roman" w:hAnsi="Times New Roman"/>
          <w:sz w:val="19"/>
          <w:szCs w:val="19"/>
          <w:color w:val="auto"/>
        </w:rPr>
        <w:t>The increase was primarily due to increased personnel-related expenses, including stock-based compensation, of $1.4 million due to an increase in headcount. Consulting and professional expenses increased by $1.5 million due to legal, accounting, consulting and other services offset by a decrease in insurance expense by $0.3 million.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and Other Income, Net</w:t>
      </w:r>
    </w:p>
    <w:p>
      <w:pPr>
        <w:spacing w:after="0" w:line="1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 xml:space="preserve">Interest and other income, net was $5.6 million for the year ended December 31, 2024 compared to $8.9 million for the year ended December 31, 2023. </w:t>
      </w:r>
      <w:r>
        <w:rPr>
          <w:rFonts w:ascii="Times New Roman" w:cs="Times New Roman" w:eastAsia="Times New Roman" w:hAnsi="Times New Roman"/>
          <w:sz w:val="19"/>
          <w:szCs w:val="19"/>
          <w:color w:val="auto"/>
        </w:rPr>
        <w:t>The decrease of $3.2 million was primarily due to the decrease in cash, cash equivalents,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restricted cash balance.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12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We have funded our operations primarily through the sale and issuance of shares of our common and convertible preferred stock, pre-funded and common warrants and the issuance of unsecured promissory notes from inception through December 2020, issuance of our common stock through our IPO in April 2021, our public offerings in March 2023, June 2025 and October 2025 and through sales under our 2022 ATM Program.</w:t>
      </w:r>
    </w:p>
    <w:p>
      <w:pPr>
        <w:spacing w:after="0" w:line="7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On October 14, 2022, we filed the 2022 Registration Statement with the SEC relating to the registration of up to an aggregate of $350.0 million in shares of our common stock, preferred stock, debt securities, warrants and units or any combination thereof. The 2022 Registration Statement was declared effective by the SEC on October 24, 2022. In April 2023, pursuant to the 2022 Registration Statement, we sold an aggregate of 5,750,000 shares of common stock at a price of $30.00 per share in an underwritten public offering for gross proceeds of $172.5 million, resulting in net proceeds of $161.8 million after deducting underwriting discounts and commissions, and offering costs. On August 5, 2025, we filed the 2025 Registration Statement with the SEC relating to the registration of up to an aggregate of $300.0 million in shares of our common stock, preferred stock, debt securities, warrants and units or any combination thereof to replace the 2022 Registration Statement. The 2025 Registration Statement was declared effective by the SEC on August 15, 2025.</w:t>
      </w:r>
    </w:p>
    <w:p>
      <w:pPr>
        <w:spacing w:after="0" w:line="8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June 2025, we completed an underwritten public offering, in which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Our net proceeds from the offering were approximately $37.2 million, after deducting underwriting discounts and commissions and offering costs of approximately $2.8 million. In July 2025, in connection with the June 2025 underwritten public offering, the underwriters partially exercised their over-allotment option to purchase an additional 1,381,262 shares of common stock at an offering price of $2.00 per share. The net proceeds from the offering pursuant to the over-allotment option were approximately $2.6 million, after deducting underwriting discounts and commissions and offering costs of approximately $0.2 million.</w:t>
      </w:r>
    </w:p>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Additionally, we are party to an equity distribution agreement, dated November 25, 2022, with Piper Sandler with respect to the 2022 ATM Program, under which we may offer and sell, from time to time at our sole discretion, shares of our common stock having an aggregate offering price of up to $100.0 million (which was included in the $350.0 million originally registered under the 2022 Registration Statement and is now included in the $300.0 million originally registered under the 2025 Registration Statement) through Piper Sandler as the sales agent. Through December 31, 2025, we have received aggregate proceeds from our 2022 ATM Program of $4.9 million, net of commissions and offering costs, pursuant to the issuance of 2,271,122 shares. As of December 31, 2025, we have $94.8 million available under the 2022 ATM Program.</w:t>
      </w:r>
    </w:p>
    <w:p>
      <w:pPr>
        <w:spacing w:after="0" w:line="6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In October 2025, we completed an underwritten public offering in which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12,195,121 shares of common stock at a per share exercise price of $2.50. Our net proceeds from the offering, including the proceeds from the underwriter’s over-allotment option, were approximately $23.1 million, after deducting underwriting discounts and commissions and offering costs of approximately $1.9 million.</w:t>
      </w:r>
    </w:p>
    <w:p>
      <w:pPr>
        <w:sectPr>
          <w:pgSz w:w="12240" w:h="15840" w:orient="portrait"/>
          <w:cols w:equalWidth="0" w:num="1">
            <w:col w:w="10040"/>
          </w:cols>
          <w:pgMar w:left="1080" w:top="1062"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040"/>
          </w:cols>
          <w:pgMar w:left="1080" w:top="1062" w:right="1120" w:bottom="175" w:gutter="0" w:footer="0" w:header="0"/>
          <w:type w:val="continuous"/>
        </w:sectPr>
      </w:pPr>
    </w:p>
    <w:bookmarkStart w:id="92" w:name="page93"/>
    <w:bookmarkEnd w:id="92"/>
    <w:p>
      <w:pPr>
        <w:spacing w:after="0" w:line="246" w:lineRule="auto"/>
        <w:rPr>
          <w:sz w:val="20"/>
          <w:szCs w:val="20"/>
          <w:color w:val="auto"/>
        </w:rPr>
      </w:pPr>
      <w:r>
        <w:rPr>
          <w:rFonts w:ascii="Times New Roman" w:cs="Times New Roman" w:eastAsia="Times New Roman" w:hAnsi="Times New Roman"/>
          <w:sz w:val="20"/>
          <w:szCs w:val="20"/>
          <w:color w:val="auto"/>
        </w:rPr>
        <w:t>As of December 31, 2025, we had cash, cash equivalents and restricted cash of $56.2 million. As of December 31, 2025, we had an accumulated deficit of $449.0 million. We have incurred substantial operating losses and have used cash in our operating activities since inception. Without any future financing, the current operating plan under the existing cash and cash equivalents, and restricted cash as of December 31, 2025, will only be sufficient to fund our operations into the first quarter of 2027. Our ability to continue as a going concern will require us to obtain additional financing to fund our operations and there can be no assurance that additional financing will be available to us or that such financing, if available, will be available on terms acceptable to us. Accordingly, there is substantial doubt about our ability to continue as a going concern.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Funding Requirements</w:t>
      </w:r>
    </w:p>
    <w:p>
      <w:pPr>
        <w:spacing w:after="0" w:line="12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We will continue to require additional capital to develop our product candidates and fund operations for the foreseeable future. We may seek to raise capital through public or private equity offerings, debt financings, collaborations and licensing arrangements or other sources.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94" w:lineRule="exact"/>
        <w:rPr>
          <w:sz w:val="20"/>
          <w:szCs w:val="20"/>
          <w:color w:val="auto"/>
        </w:rPr>
      </w:pPr>
    </w:p>
    <w:p>
      <w:pPr>
        <w:ind w:left="240" w:right="540" w:hanging="240"/>
        <w:spacing w:after="0" w:line="276" w:lineRule="auto"/>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timing, progress, duration, costs and results of our clinical trials, drug discovery, preclinical development activities and laboratory testing for our product candidates;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scope of clinical programs we decide to pursue;</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and costs of manufacturing development and commercial manufacturing activities;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discover and develop additional product candidates;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timing and outcome of regulatory review of our product candidates;</w:t>
      </w:r>
    </w:p>
    <w:p>
      <w:pPr>
        <w:spacing w:after="0" w:line="133" w:lineRule="exact"/>
        <w:rPr>
          <w:rFonts w:ascii="Arial" w:cs="Arial" w:eastAsia="Arial" w:hAnsi="Arial"/>
          <w:sz w:val="20"/>
          <w:szCs w:val="20"/>
          <w:color w:val="auto"/>
        </w:rPr>
      </w:pPr>
    </w:p>
    <w:p>
      <w:pPr>
        <w:ind w:left="240" w:right="320" w:hanging="240"/>
        <w:spacing w:after="0" w:line="276" w:lineRule="auto"/>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timing of establishing sales and marketing capabilities, if any of our product candidates receive marketing approval;</w:t>
      </w:r>
    </w:p>
    <w:p>
      <w:pPr>
        <w:spacing w:after="0" w:line="64" w:lineRule="exact"/>
        <w:rPr>
          <w:rFonts w:ascii="Arial" w:cs="Arial" w:eastAsia="Arial" w:hAnsi="Arial"/>
          <w:sz w:val="20"/>
          <w:szCs w:val="20"/>
          <w:color w:val="auto"/>
        </w:rPr>
      </w:pPr>
    </w:p>
    <w:p>
      <w:pPr>
        <w:ind w:left="240" w:right="480" w:hanging="240"/>
        <w:spacing w:after="0" w:line="276" w:lineRule="auto"/>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rights and defending intellectual property-related claims;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collaborations on favorable terms, if at all;</w:t>
      </w:r>
    </w:p>
    <w:p>
      <w:pPr>
        <w:spacing w:after="0" w:line="133" w:lineRule="exact"/>
        <w:rPr>
          <w:rFonts w:ascii="Arial" w:cs="Arial" w:eastAsia="Arial" w:hAnsi="Arial"/>
          <w:sz w:val="20"/>
          <w:szCs w:val="20"/>
          <w:color w:val="auto"/>
        </w:rPr>
      </w:pPr>
    </w:p>
    <w:p>
      <w:pPr>
        <w:ind w:left="240" w:right="40" w:hanging="240"/>
        <w:spacing w:after="0" w:line="276" w:lineRule="auto"/>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licensing, or other arrangements into which we may enter in the future, including the timing of receipt of any milestone or royalty payments under these agreements;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receipt and amount of sales from our potential products;</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our need and ability to hire additional management, scientific and medical personnel;</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our need to implement additional internal systems and infrastructure, including financial and reporting systems;</w:t>
      </w:r>
    </w:p>
    <w:p>
      <w:pPr>
        <w:spacing w:after="0" w:line="133" w:lineRule="exact"/>
        <w:rPr>
          <w:rFonts w:ascii="Arial" w:cs="Arial" w:eastAsia="Arial" w:hAnsi="Arial"/>
          <w:sz w:val="20"/>
          <w:szCs w:val="20"/>
          <w:color w:val="auto"/>
        </w:rPr>
      </w:pPr>
    </w:p>
    <w:p>
      <w:pPr>
        <w:ind w:left="240" w:right="760" w:hanging="240"/>
        <w:spacing w:after="0" w:line="276" w:lineRule="auto"/>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our efforts to enhance operational systems and our ability to attract, hire and retain qualified personnel, including personnel to support the development of our product candidates;</w:t>
      </w:r>
    </w:p>
    <w:p>
      <w:pPr>
        <w:spacing w:after="0" w:line="64" w:lineRule="exact"/>
        <w:rPr>
          <w:rFonts w:ascii="Arial" w:cs="Arial" w:eastAsia="Arial" w:hAnsi="Arial"/>
          <w:sz w:val="20"/>
          <w:szCs w:val="20"/>
          <w:color w:val="auto"/>
        </w:rPr>
      </w:pPr>
    </w:p>
    <w:p>
      <w:pPr>
        <w:ind w:left="240" w:hanging="240"/>
        <w:spacing w:after="0"/>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being a public company;</w:t>
      </w:r>
    </w:p>
    <w:p>
      <w:pPr>
        <w:spacing w:after="0" w:line="133" w:lineRule="exact"/>
        <w:rPr>
          <w:rFonts w:ascii="Arial" w:cs="Arial" w:eastAsia="Arial" w:hAnsi="Arial"/>
          <w:sz w:val="20"/>
          <w:szCs w:val="20"/>
          <w:color w:val="auto"/>
        </w:rPr>
      </w:pPr>
    </w:p>
    <w:p>
      <w:pPr>
        <w:ind w:left="240" w:hanging="240"/>
        <w:spacing w:after="0"/>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associated with commercializing our product candidates, if they receive regulatory approval;</w:t>
      </w:r>
    </w:p>
    <w:p>
      <w:pPr>
        <w:spacing w:after="0" w:line="133" w:lineRule="exact"/>
        <w:rPr>
          <w:rFonts w:ascii="Arial" w:cs="Arial" w:eastAsia="Arial" w:hAnsi="Arial"/>
          <w:sz w:val="20"/>
          <w:szCs w:val="20"/>
          <w:color w:val="auto"/>
        </w:rPr>
      </w:pPr>
    </w:p>
    <w:p>
      <w:pPr>
        <w:ind w:left="240" w:right="600" w:hanging="240"/>
        <w:spacing w:after="0" w:line="276" w:lineRule="auto"/>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strategic collaborations and other similar partnerships for the development and commercialization of our product candidates; and</w:t>
      </w:r>
    </w:p>
    <w:p>
      <w:pPr>
        <w:spacing w:after="0" w:line="64" w:lineRule="exact"/>
        <w:rPr>
          <w:rFonts w:ascii="Arial" w:cs="Arial" w:eastAsia="Arial" w:hAnsi="Arial"/>
          <w:sz w:val="20"/>
          <w:szCs w:val="20"/>
          <w:color w:val="auto"/>
        </w:rPr>
      </w:pPr>
    </w:p>
    <w:p>
      <w:pPr>
        <w:ind w:left="240" w:right="860" w:hanging="240"/>
        <w:spacing w:after="0" w:line="276" w:lineRule="auto"/>
        <w:tabs>
          <w:tab w:leader="none" w:pos="2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any global health emergency and adverse global economic conditions on our business, which may exacerbate the magnitude of the factors discussed above.</w:t>
      </w:r>
    </w:p>
    <w:p>
      <w:pPr>
        <w:spacing w:after="0" w:line="5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to others rights to our product candidates in certain territories or indications that we would prefer to develop and commercialize ourselves.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060"/>
          </w:cols>
          <w:pgMar w:left="1080" w:top="1060" w:right="1100" w:bottom="175" w:gutter="0" w:footer="0" w:header="0"/>
          <w:type w:val="continuous"/>
        </w:sectPr>
      </w:pPr>
    </w:p>
    <w:bookmarkStart w:id="93" w:name="page94"/>
    <w:bookmarkEnd w:id="93"/>
    <w:p>
      <w:pPr>
        <w:ind w:right="140"/>
        <w:spacing w:after="0" w:line="277" w:lineRule="auto"/>
        <w:rPr>
          <w:sz w:val="20"/>
          <w:szCs w:val="20"/>
          <w:color w:val="auto"/>
        </w:rPr>
      </w:pPr>
      <w:r>
        <w:rPr>
          <w:rFonts w:ascii="Times New Roman" w:cs="Times New Roman" w:eastAsia="Times New Roman" w:hAnsi="Times New Roman"/>
          <w:sz w:val="20"/>
          <w:szCs w:val="20"/>
          <w:color w:val="auto"/>
        </w:rPr>
        <w:t>See the section of this Annual Report on Form 10-K titled “Risk Factors” for additional risks associated with our substantial capital requirements.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Statement of Cash Flows</w:t>
      </w:r>
    </w:p>
    <w:p>
      <w:pPr>
        <w:spacing w:after="0" w:line="120"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primary sources and uses of cash, cash equivalents and restricted cash for each of the periods presented below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20" w:type="dxa"/>
            <w:vAlign w:val="bottom"/>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3"/>
        </w:trPr>
        <w:tc>
          <w:tcPr>
            <w:tcW w:w="5820" w:type="dxa"/>
            <w:vAlign w:val="bottom"/>
            <w:tcBorders>
              <w:bottom w:val="single" w:sz="8" w:color="EAEAEA"/>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EAEAEA"/>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EAEAEA"/>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AEAEA"/>
            </w:tcBorders>
          </w:tcPr>
          <w:p>
            <w:pPr>
              <w:spacing w:after="0"/>
              <w:rPr>
                <w:sz w:val="22"/>
                <w:szCs w:val="22"/>
                <w:color w:val="auto"/>
              </w:rPr>
            </w:pPr>
          </w:p>
        </w:tc>
      </w:tr>
      <w:tr>
        <w:trPr>
          <w:trHeight w:val="225"/>
        </w:trPr>
        <w:tc>
          <w:tcPr>
            <w:tcW w:w="582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Net cash (used in) provided by:</w:t>
            </w:r>
          </w:p>
        </w:tc>
        <w:tc>
          <w:tcPr>
            <w:tcW w:w="260" w:type="dxa"/>
            <w:vAlign w:val="bottom"/>
            <w:shd w:val="clear" w:color="auto" w:fill="EAEAEA"/>
          </w:tcPr>
          <w:p>
            <w:pPr>
              <w:spacing w:after="0"/>
              <w:rPr>
                <w:sz w:val="19"/>
                <w:szCs w:val="19"/>
                <w:color w:val="auto"/>
              </w:rPr>
            </w:pPr>
          </w:p>
        </w:tc>
        <w:tc>
          <w:tcPr>
            <w:tcW w:w="98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9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9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r>
      <w:tr>
        <w:trPr>
          <w:trHeight w:val="230"/>
        </w:trPr>
        <w:tc>
          <w:tcPr>
            <w:tcW w:w="5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activities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(70,371)</w:t>
            </w:r>
          </w:p>
        </w:tc>
        <w:tc>
          <w:tcPr>
            <w:tcW w:w="24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(119,894)</w:t>
            </w:r>
          </w:p>
        </w:tc>
        <w:tc>
          <w:tcPr>
            <w:tcW w:w="260" w:type="dxa"/>
            <w:vAlign w:val="bottom"/>
          </w:tcPr>
          <w:p>
            <w:pPr>
              <w:spacing w:after="0"/>
              <w:rPr>
                <w:sz w:val="20"/>
                <w:szCs w:val="20"/>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(96,592)</w:t>
            </w:r>
          </w:p>
        </w:tc>
        <w:tc>
          <w:tcPr>
            <w:tcW w:w="80" w:type="dxa"/>
            <w:vAlign w:val="bottom"/>
          </w:tcPr>
          <w:p>
            <w:pPr>
              <w:spacing w:after="0"/>
              <w:rPr>
                <w:sz w:val="20"/>
                <w:szCs w:val="20"/>
                <w:color w:val="auto"/>
              </w:rPr>
            </w:pPr>
          </w:p>
        </w:tc>
      </w:tr>
      <w:tr>
        <w:trPr>
          <w:trHeight w:val="230"/>
        </w:trPr>
        <w:tc>
          <w:tcPr>
            <w:tcW w:w="58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Investing activities</w:t>
            </w:r>
          </w:p>
        </w:tc>
        <w:tc>
          <w:tcPr>
            <w:tcW w:w="260" w:type="dxa"/>
            <w:vAlign w:val="bottom"/>
            <w:shd w:val="clear" w:color="auto" w:fill="EAEAEA"/>
          </w:tcPr>
          <w:p>
            <w:pPr>
              <w:spacing w:after="0"/>
              <w:rPr>
                <w:sz w:val="20"/>
                <w:szCs w:val="20"/>
                <w:color w:val="auto"/>
              </w:rPr>
            </w:pPr>
          </w:p>
        </w:tc>
        <w:tc>
          <w:tcPr>
            <w:tcW w:w="1220" w:type="dxa"/>
            <w:vAlign w:val="bottom"/>
            <w:gridSpan w:val="2"/>
            <w:shd w:val="clear" w:color="auto" w:fill="EAEAEA"/>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(362)</w:t>
            </w:r>
          </w:p>
        </w:tc>
        <w:tc>
          <w:tcPr>
            <w:tcW w:w="380" w:type="dxa"/>
            <w:vAlign w:val="bottom"/>
            <w:shd w:val="clear" w:color="auto" w:fill="EAEAEA"/>
          </w:tcPr>
          <w:p>
            <w:pPr>
              <w:spacing w:after="0"/>
              <w:rPr>
                <w:sz w:val="20"/>
                <w:szCs w:val="20"/>
                <w:color w:val="auto"/>
              </w:rPr>
            </w:pPr>
          </w:p>
        </w:tc>
        <w:tc>
          <w:tcPr>
            <w:tcW w:w="98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(2,220)</w:t>
            </w:r>
          </w:p>
        </w:tc>
      </w:tr>
      <w:tr>
        <w:trPr>
          <w:trHeight w:val="230"/>
        </w:trPr>
        <w:tc>
          <w:tcPr>
            <w:tcW w:w="582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Financing activities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67,904</w:t>
            </w:r>
          </w:p>
        </w:tc>
        <w:tc>
          <w:tcPr>
            <w:tcW w:w="240" w:type="dxa"/>
            <w:vAlign w:val="bottom"/>
            <w:tcBorders>
              <w:bottom w:val="single" w:sz="8" w:color="EAEAEA"/>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1,668</w:t>
            </w:r>
          </w:p>
        </w:tc>
        <w:tc>
          <w:tcPr>
            <w:tcW w:w="260" w:type="dxa"/>
            <w:vAlign w:val="bottom"/>
            <w:tcBorders>
              <w:bottom w:val="single" w:sz="8" w:color="EAEAEA"/>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163,798</w:t>
            </w:r>
          </w:p>
        </w:tc>
        <w:tc>
          <w:tcPr>
            <w:tcW w:w="80" w:type="dxa"/>
            <w:vAlign w:val="bottom"/>
            <w:tcBorders>
              <w:bottom w:val="single" w:sz="8" w:color="EAEAEA"/>
            </w:tcBorders>
          </w:tcPr>
          <w:p>
            <w:pPr>
              <w:spacing w:after="0"/>
              <w:rPr>
                <w:sz w:val="20"/>
                <w:szCs w:val="20"/>
                <w:color w:val="auto"/>
              </w:rPr>
            </w:pPr>
          </w:p>
        </w:tc>
      </w:tr>
      <w:tr>
        <w:trPr>
          <w:trHeight w:val="225"/>
        </w:trPr>
        <w:tc>
          <w:tcPr>
            <w:tcW w:w="582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Net (decrease) increase in cash, cash equivalents, and restricted cash</w:t>
            </w:r>
          </w:p>
        </w:tc>
        <w:tc>
          <w:tcPr>
            <w:tcW w:w="260" w:type="dxa"/>
            <w:vAlign w:val="bottom"/>
            <w:tcBorders>
              <w:bottom w:val="single" w:sz="8" w:color="auto"/>
            </w:tcBorders>
            <w:shd w:val="clear" w:color="auto" w:fill="EAEAEA"/>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(2,467)</w:t>
            </w:r>
          </w:p>
        </w:tc>
        <w:tc>
          <w:tcPr>
            <w:tcW w:w="240" w:type="dxa"/>
            <w:vAlign w:val="bottom"/>
            <w:shd w:val="clear" w:color="auto" w:fill="EAEAEA"/>
          </w:tcPr>
          <w:p>
            <w:pPr>
              <w:spacing w:after="0"/>
              <w:rPr>
                <w:sz w:val="19"/>
                <w:szCs w:val="19"/>
                <w:color w:val="auto"/>
              </w:rPr>
            </w:pPr>
          </w:p>
        </w:tc>
        <w:tc>
          <w:tcPr>
            <w:tcW w:w="240" w:type="dxa"/>
            <w:vAlign w:val="bottom"/>
            <w:tcBorders>
              <w:bottom w:val="single" w:sz="8" w:color="auto"/>
            </w:tcBorders>
            <w:shd w:val="clear" w:color="auto" w:fill="EAEAEA"/>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92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EAEAEA"/>
              </w:rPr>
              <w:t>(118,588</w:t>
            </w:r>
          </w:p>
        </w:tc>
        <w:tc>
          <w:tcPr>
            <w:tcW w:w="260" w:type="dxa"/>
            <w:vAlign w:val="bottom"/>
            <w:shd w:val="clear" w:color="auto" w:fill="EAEAEA"/>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EAEAEA"/>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64,986</w:t>
            </w:r>
          </w:p>
        </w:tc>
        <w:tc>
          <w:tcPr>
            <w:tcW w:w="80" w:type="dxa"/>
            <w:vAlign w:val="bottom"/>
            <w:shd w:val="clear" w:color="auto" w:fill="EAEAEA"/>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-947420</wp:posOffset>
            </wp:positionV>
            <wp:extent cx="268668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2686685" cy="3810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Operating Activities</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 xml:space="preserve">Net cash used in operating activities was $70.4 million for the year ended December 31, 2025 </w:t>
      </w:r>
      <w:r>
        <w:rPr>
          <w:rFonts w:ascii="Times New Roman" w:cs="Times New Roman" w:eastAsia="Times New Roman" w:hAnsi="Times New Roman"/>
          <w:sz w:val="19"/>
          <w:szCs w:val="19"/>
          <w:color w:val="auto"/>
        </w:rPr>
        <w:t>and consisted of a net loss of</w:t>
      </w:r>
      <w:r>
        <w:rPr>
          <w:rFonts w:ascii="Times New Roman" w:cs="Times New Roman" w:eastAsia="Times New Roman" w:hAnsi="Times New Roman"/>
          <w:sz w:val="20"/>
          <w:szCs w:val="20"/>
          <w:color w:val="auto"/>
        </w:rPr>
        <w:t xml:space="preserve"> $61.8 million </w:t>
      </w:r>
      <w:r>
        <w:rPr>
          <w:rFonts w:ascii="Times New Roman" w:cs="Times New Roman" w:eastAsia="Times New Roman" w:hAnsi="Times New Roman"/>
          <w:sz w:val="19"/>
          <w:szCs w:val="19"/>
          <w:color w:val="auto"/>
        </w:rPr>
        <w:t>offset by increase in net assets of $3.7 million and non-cash adjustments of $4.9 million. The increase in net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assets consisted primarily of a decrease in prepaid expenses and other current assets of $7.8 million, a decrease in other assets of $0.6 million, a decrease in accounts payable of $9.7 million, a decrease in accrued expenses and other current liabilities of $0.3 million and a decrease in operating lease liabilities of $2.2 million. Non-cash adjustments consisted primarily of a non-cash gain on the change in fair value of warrant liability of $19.9 million, stock-based compensation expense of $9.5 million, impairment of property and equipment of $2.2 million, operating lease expense of $1.8 million and depreciation expense of $1.4 million.</w:t>
      </w:r>
    </w:p>
    <w:p>
      <w:pPr>
        <w:spacing w:after="0" w:line="30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Net cash used in operating activities was $119.9 million for the year ended December 31, 2024 and consisted of a net loss of $138.4 million offset by increase in net assets of $5.1 million and non- cash adjustments of $23.7 million. The increase in net assets consisted primarily of an increase in prepaid expenses and other current assets of $7.7 million, a decrease in other assets of $4.9 million, an increase in accounts payable of $ 6.1 million, a decrease in accrued expenses and other current liabilities of $6.9 million and a decrease in operating lease liabilities of $1.5 million. Non-cash adjustments consisted primarily of stock-based compensation expense of $19.1 million, operating lease expense of $2.8 million and depreciation expense of $1.7 million.</w:t>
      </w:r>
    </w:p>
    <w:p>
      <w:pPr>
        <w:spacing w:after="0" w:line="83"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20"/>
          <w:szCs w:val="20"/>
          <w:color w:val="auto"/>
        </w:rPr>
        <w:t>Net cash used in operating activities was $96.6 million for the year ended December 31, 2023. Cash used in operating activities in 2023 was mainly the result of the net loss of $117.3 million and decrease in operating lease liabilities of $2.2 million. This was offset by an increase in accounts payable and accrued liabilities of $4.4 million and stock-based compensation expense of $14.1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Investing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used in investing activities was $0.0 million for the year ended December 31, 2025.</w:t>
      </w:r>
    </w:p>
    <w:p>
      <w:pPr>
        <w:spacing w:after="0" w:line="1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Net cash used in investing activities was $0.4 million for the year ended December 31, 2024. Cash used in investing activities was mainly related to purchases of property and equipment.</w:t>
      </w:r>
    </w:p>
    <w:p>
      <w:pPr>
        <w:spacing w:after="0" w:line="4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Net cash used in investing activities was $2.2 million for the year ended December 31, 2023. Cash used in investing activities was mainly related to purchases of property and equipment offset by maturities of investments.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Financing Activities</w:t>
      </w:r>
    </w:p>
    <w:p>
      <w:pPr>
        <w:spacing w:after="0" w:line="118"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0"/>
          <w:szCs w:val="20"/>
          <w:color w:val="auto"/>
        </w:rPr>
        <w:t>Net cash provided by financing activities was $67.9 million for the year ended December 31, 2025. Cash provided by financing activities was mainly related to net p</w:t>
      </w:r>
      <w:r>
        <w:rPr>
          <w:rFonts w:ascii="Times New Roman" w:cs="Times New Roman" w:eastAsia="Times New Roman" w:hAnsi="Times New Roman"/>
          <w:sz w:val="19"/>
          <w:szCs w:val="19"/>
          <w:color w:val="auto"/>
        </w:rPr>
        <w:t>roceeds of $67.7 million from issuance of common stock and pre-funded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warrants under the public offerings and the 2022 ATM Program, and $0.2 million of proceeds from purchases under the ESPP.</w:t>
      </w:r>
    </w:p>
    <w:p>
      <w:pPr>
        <w:spacing w:after="0" w:line="70" w:lineRule="exact"/>
        <w:rPr>
          <w:sz w:val="20"/>
          <w:szCs w:val="20"/>
          <w:color w:val="auto"/>
        </w:rPr>
      </w:pPr>
    </w:p>
    <w:p>
      <w:pPr>
        <w:ind w:right="240"/>
        <w:spacing w:after="0" w:line="304" w:lineRule="auto"/>
        <w:rPr>
          <w:sz w:val="20"/>
          <w:szCs w:val="20"/>
          <w:color w:val="auto"/>
        </w:rPr>
      </w:pPr>
      <w:r>
        <w:rPr>
          <w:rFonts w:ascii="Times New Roman" w:cs="Times New Roman" w:eastAsia="Times New Roman" w:hAnsi="Times New Roman"/>
          <w:sz w:val="19"/>
          <w:szCs w:val="19"/>
          <w:color w:val="auto"/>
        </w:rPr>
        <w:t>Net cash provided by financing activities was $1.7 million for the year ended December 31, 2024. Cash provided by financing activities was mainly related to net proceeds received from stock option exercises and purchases under the ESPP.</w:t>
      </w:r>
    </w:p>
    <w:p>
      <w:pPr>
        <w:spacing w:after="0" w:line="25"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9"/>
          <w:szCs w:val="19"/>
          <w:color w:val="auto"/>
        </w:rPr>
        <w:t>Net cash provided by financing activities was $163.8 million for the year ended December 31, 2023. Cash provided by financing activities was mainly related to net proceeds received from the issuance of common stock from our public offering.</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080"/>
          </w:cols>
          <w:pgMar w:left="1080" w:top="1060" w:right="1080" w:bottom="175"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financial statements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 primarily of costs of research, preclinical studies, clinical trials, and manufacturing. Personnel costs of our research and product development employees is also a major component of research and development expenses which also includes non-personnel costs such as fees payable to third parties for clinical and preclinical studies and research services, laboratory supplies, equipment maintenance, and other consulting costs.</w:t>
      </w:r>
    </w:p>
    <w:p>
      <w:pPr>
        <w:spacing w:after="0" w:line="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record accruals for estimated costs of research, preclinical studies, clinical trials, and manufacturing, which are significant components of research and development expenses. A substantial portion of our ongoing research and development activities is conducted by third-party service providers, CROs and CMOs. Our contracts with the CMOs generally include fees such as initiation fees, reservation fees, costs related to animal studies and safety tests, verification run costs, materials and reagents expenses, taxes, etc. Our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in accordance with the respective agreements. We determine the estimated costs through discussions with internal personnel and external service providers as to the progress, or stage of completion or actual timeline (start-date and end-date) of the services and the agreed-upon fees to be paid for such services. In the event we make advance payments, the payments are recorded as a prepaid expense and recognized as the services are performed.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Liability</w:t>
      </w:r>
    </w:p>
    <w:p>
      <w:pPr>
        <w:spacing w:after="0" w:line="12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We account for our warrants in accordance with ASC 815, Derivatives and Hedging - Contracts in Entity's Own Equity, as either liabilities or as equity instruments depending on the specific terms of the warrant agreement. The common warrants issued in connection with the June and October 2025 underwritten public offerings (see Note 5) are classified as liabilities and are recorded at fair value. The warrants are subject to re-measurement at each settlement date and at each balance sheet date and any change in fair value is recognized in Change in fair value of common warrant liability in the statements of operations and comprehensive loss. We estimate the fair value of the warrant liability using a Black-Scholes pricing model. We are required to make assumptions and estimates in determining an appropriate expected term, risk-free interest rate, volatility factor, dividend yield, and the fair value of common stock. Any significant adjustments to the unobservable inputs would have a direct impact on the fair value of the warrant liability.</w:t>
      </w:r>
    </w:p>
    <w:p>
      <w:pPr>
        <w:sectPr>
          <w:pgSz w:w="12240" w:h="15840" w:orient="portrait"/>
          <w:cols w:equalWidth="0" w:num="1">
            <w:col w:w="10040"/>
          </w:cols>
          <w:pgMar w:left="1080" w:top="105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040"/>
          </w:cols>
          <w:pgMar w:left="1080" w:top="1056" w:right="1120" w:bottom="175" w:gutter="0" w:footer="0" w:header="0"/>
          <w:type w:val="continuous"/>
        </w:sectPr>
      </w:pPr>
    </w:p>
    <w:bookmarkStart w:id="95" w:name="page96"/>
    <w:bookmarkEnd w:id="95"/>
    <w:p>
      <w:pPr>
        <w:ind w:right="4060"/>
        <w:spacing w:after="0" w:line="367" w:lineRule="auto"/>
        <w:rPr>
          <w:sz w:val="20"/>
          <w:szCs w:val="20"/>
          <w:color w:val="auto"/>
        </w:rPr>
      </w:pPr>
      <w:r>
        <w:rPr>
          <w:rFonts w:ascii="Times New Roman" w:cs="Times New Roman" w:eastAsia="Times New Roman" w:hAnsi="Times New Roman"/>
          <w:sz w:val="20"/>
          <w:szCs w:val="20"/>
          <w:b w:val="1"/>
          <w:bCs w:val="1"/>
          <w:color w:val="auto"/>
        </w:rPr>
        <w:t xml:space="preserve">Item 7A. Quantitative and Qualitative Disclosures About Market Risk </w:t>
      </w:r>
      <w:r>
        <w:rPr>
          <w:rFonts w:ascii="Times New Roman" w:cs="Times New Roman" w:eastAsia="Times New Roman" w:hAnsi="Times New Roman"/>
          <w:sz w:val="20"/>
          <w:szCs w:val="20"/>
          <w:b w:val="1"/>
          <w:bCs w:val="1"/>
          <w:i w:val="1"/>
          <w:iCs w:val="1"/>
          <w:color w:val="auto"/>
        </w:rPr>
        <w:t>Interest Rate Risk</w:t>
      </w:r>
    </w:p>
    <w:p>
      <w:pPr>
        <w:spacing w:after="0" w:line="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primary objectives of our investment activities are to ensure liquidity and to preserve capital. We are exposed to market risks in the ordinary course of our business. These risks primarily include interest rate sensitivities. There was no material foreign currency risk for the year ended December 31, 2025. We held $56.2 million in cash, cash equivalents, and restricted cash as of December 31, 2025. Cash equivalents consisted of money market funds. Restricted cash consisted of two stand-by letter of credits issued to our landlord in connection with the laboratory leases. We held no interest-bearing liabilities as of December 31, 2025. Historical fluctuations in interest rates have not been significant for us. Due to the short-term maturities of our cash equivalents, an immediate 10% relative change in interest rates would not have a material effect on the fair market value of our cash equivalents.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 of Inflation</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Inflation generally affects us by increasing our cost of labor and research and development costs. Although we do not believe that inflation has had a material impact on our financial position or results of operations to date, we may experience some effect in the future due to an impact on the costs to conduct research and development, labor costs we incur to attract and retain qualified personnel, and other operational costs.</w:t>
      </w:r>
    </w:p>
    <w:p>
      <w:pPr>
        <w:sectPr>
          <w:pgSz w:w="12240" w:h="15840" w:orient="portrait"/>
          <w:cols w:equalWidth="0" w:num="1">
            <w:col w:w="10040"/>
          </w:cols>
          <w:pgMar w:left="1080" w:top="105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040"/>
          </w:cols>
          <w:pgMar w:left="1080" w:top="1056" w:right="1120" w:bottom="175"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74"/>
        </w:trPr>
        <w:tc>
          <w:tcPr>
            <w:tcW w:w="830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1760" w:type="dxa"/>
            <w:vAlign w:val="bottom"/>
          </w:tcPr>
          <w:p>
            <w:pPr>
              <w:spacing w:after="0"/>
              <w:rPr>
                <w:sz w:val="23"/>
                <w:szCs w:val="23"/>
                <w:color w:val="auto"/>
              </w:rPr>
            </w:pPr>
          </w:p>
        </w:tc>
      </w:tr>
      <w:tr>
        <w:trPr>
          <w:trHeight w:val="430"/>
        </w:trPr>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00" w:type="dxa"/>
            <w:vAlign w:val="bottom"/>
            <w:gridSpan w:val="4"/>
          </w:tcPr>
          <w:p>
            <w:pPr>
              <w:ind w:left="840"/>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tc>
        <w:tc>
          <w:tcPr>
            <w:tcW w:w="1760" w:type="dxa"/>
            <w:vAlign w:val="bottom"/>
          </w:tcPr>
          <w:p>
            <w:pPr>
              <w:spacing w:after="0"/>
              <w:rPr>
                <w:sz w:val="24"/>
                <w:szCs w:val="24"/>
                <w:color w:val="auto"/>
              </w:rPr>
            </w:pPr>
          </w:p>
        </w:tc>
      </w:tr>
      <w:tr>
        <w:trPr>
          <w:trHeight w:val="438"/>
        </w:trPr>
        <w:tc>
          <w:tcPr>
            <w:tcW w:w="8300" w:type="dxa"/>
            <w:vAlign w:val="bottom"/>
            <w:gridSpan w:val="7"/>
          </w:tcPr>
          <w:p>
            <w:pPr>
              <w:spacing w:after="0"/>
              <w:rPr>
                <w:sz w:val="20"/>
                <w:szCs w:val="20"/>
                <w:color w:val="auto"/>
              </w:rPr>
            </w:pPr>
            <w:r>
              <w:rPr>
                <w:rFonts w:ascii="Times New Roman" w:cs="Times New Roman" w:eastAsia="Times New Roman" w:hAnsi="Times New Roman"/>
                <w:sz w:val="20"/>
                <w:szCs w:val="20"/>
                <w:color w:val="4C4C4C"/>
              </w:rPr>
              <w:t xml:space="preserve">Report of Independent Registered Public Accounting Firm </w:t>
            </w:r>
            <w:r>
              <w:rPr>
                <w:rFonts w:ascii="Times New Roman" w:cs="Times New Roman" w:eastAsia="Times New Roman" w:hAnsi="Times New Roman"/>
                <w:sz w:val="20"/>
                <w:szCs w:val="20"/>
                <w:color w:val="000000"/>
              </w:rPr>
              <w:t>(PCAOB ID No. 34)</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78"/>
        </w:trPr>
        <w:tc>
          <w:tcPr>
            <w:tcW w:w="1220" w:type="dxa"/>
            <w:vAlign w:val="bottom"/>
            <w:tcBorders>
              <w:top w:val="single" w:sz="8" w:color="4C4C4C"/>
              <w:bottom w:val="single" w:sz="8" w:color="4C4C4C"/>
            </w:tcBorders>
          </w:tcPr>
          <w:p>
            <w:pPr>
              <w:spacing w:after="0"/>
              <w:rPr>
                <w:sz w:val="20"/>
                <w:szCs w:val="20"/>
                <w:color w:val="auto"/>
              </w:rPr>
            </w:pPr>
            <w:r>
              <w:rPr>
                <w:rFonts w:ascii="Times New Roman" w:cs="Times New Roman" w:eastAsia="Times New Roman" w:hAnsi="Times New Roman"/>
                <w:sz w:val="20"/>
                <w:szCs w:val="20"/>
                <w:color w:val="4C4C4C"/>
                <w:w w:val="98"/>
              </w:rPr>
              <w:t>Balance Sheets</w:t>
            </w:r>
          </w:p>
        </w:tc>
        <w:tc>
          <w:tcPr>
            <w:tcW w:w="3460" w:type="dxa"/>
            <w:vAlign w:val="bottom"/>
            <w:tcBorders>
              <w:top w:val="single" w:sz="8" w:color="4C4C4C"/>
            </w:tcBorders>
            <w:gridSpan w:val="5"/>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78"/>
        </w:trPr>
        <w:tc>
          <w:tcPr>
            <w:tcW w:w="4100" w:type="dxa"/>
            <w:vAlign w:val="bottom"/>
            <w:tcBorders>
              <w:bottom w:val="single" w:sz="8" w:color="4C4C4C"/>
            </w:tcBorders>
            <w:gridSpan w:val="5"/>
          </w:tcPr>
          <w:p>
            <w:pPr>
              <w:spacing w:after="0"/>
              <w:rPr>
                <w:sz w:val="20"/>
                <w:szCs w:val="20"/>
                <w:color w:val="auto"/>
              </w:rPr>
            </w:pPr>
            <w:r>
              <w:rPr>
                <w:rFonts w:ascii="Times New Roman" w:cs="Times New Roman" w:eastAsia="Times New Roman" w:hAnsi="Times New Roman"/>
                <w:sz w:val="20"/>
                <w:szCs w:val="20"/>
                <w:color w:val="4C4C4C"/>
                <w:w w:val="99"/>
              </w:rPr>
              <w:t>Statements of Operations and Comprehensive Loss</w:t>
            </w:r>
          </w:p>
        </w:tc>
        <w:tc>
          <w:tcPr>
            <w:tcW w:w="4200" w:type="dxa"/>
            <w:vAlign w:val="bottom"/>
            <w:gridSpan w:val="2"/>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78"/>
        </w:trPr>
        <w:tc>
          <w:tcPr>
            <w:tcW w:w="3580" w:type="dxa"/>
            <w:vAlign w:val="bottom"/>
            <w:tcBorders>
              <w:bottom w:val="single" w:sz="8" w:color="4C4C4C"/>
            </w:tcBorders>
            <w:gridSpan w:val="4"/>
          </w:tcPr>
          <w:p>
            <w:pPr>
              <w:spacing w:after="0"/>
              <w:rPr>
                <w:sz w:val="20"/>
                <w:szCs w:val="20"/>
                <w:color w:val="auto"/>
              </w:rPr>
            </w:pPr>
            <w:r>
              <w:rPr>
                <w:rFonts w:ascii="Times New Roman" w:cs="Times New Roman" w:eastAsia="Times New Roman" w:hAnsi="Times New Roman"/>
                <w:sz w:val="20"/>
                <w:szCs w:val="20"/>
                <w:color w:val="4C4C4C"/>
                <w:w w:val="99"/>
              </w:rPr>
              <w:t>Statements of Stockholders’ Equity (Deficit)</w:t>
            </w:r>
          </w:p>
        </w:tc>
        <w:tc>
          <w:tcPr>
            <w:tcW w:w="4720" w:type="dxa"/>
            <w:vAlign w:val="bottom"/>
            <w:gridSpan w:val="3"/>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378"/>
        </w:trPr>
        <w:tc>
          <w:tcPr>
            <w:tcW w:w="8300" w:type="dxa"/>
            <w:vAlign w:val="bottom"/>
            <w:gridSpan w:val="7"/>
          </w:tcPr>
          <w:p>
            <w:pPr>
              <w:spacing w:after="0"/>
              <w:rPr>
                <w:sz w:val="20"/>
                <w:szCs w:val="20"/>
                <w:color w:val="auto"/>
              </w:rPr>
            </w:pPr>
            <w:r>
              <w:rPr>
                <w:rFonts w:ascii="Times New Roman" w:cs="Times New Roman" w:eastAsia="Times New Roman" w:hAnsi="Times New Roman"/>
                <w:sz w:val="20"/>
                <w:szCs w:val="20"/>
                <w:color w:val="4C4C4C"/>
              </w:rPr>
              <w:t>Statements of Cash Flows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0"/>
        </w:trPr>
        <w:tc>
          <w:tcPr>
            <w:tcW w:w="2080" w:type="dxa"/>
            <w:vAlign w:val="bottom"/>
            <w:gridSpan w:val="2"/>
            <w:shd w:val="clear" w:color="auto" w:fill="4C4C4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8"/>
        </w:trPr>
        <w:tc>
          <w:tcPr>
            <w:tcW w:w="2400" w:type="dxa"/>
            <w:vAlign w:val="bottom"/>
            <w:tcBorders>
              <w:bottom w:val="single" w:sz="8" w:color="4C4C4C"/>
            </w:tcBorders>
            <w:gridSpan w:val="3"/>
          </w:tcPr>
          <w:p>
            <w:pPr>
              <w:spacing w:after="0"/>
              <w:rPr>
                <w:sz w:val="20"/>
                <w:szCs w:val="20"/>
                <w:color w:val="auto"/>
              </w:rPr>
            </w:pPr>
            <w:r>
              <w:rPr>
                <w:rFonts w:ascii="Times New Roman" w:cs="Times New Roman" w:eastAsia="Times New Roman" w:hAnsi="Times New Roman"/>
                <w:sz w:val="20"/>
                <w:szCs w:val="20"/>
                <w:color w:val="4C4C4C"/>
                <w:w w:val="99"/>
              </w:rPr>
              <w:t>Notes to Financial Statements</w:t>
            </w:r>
          </w:p>
        </w:tc>
        <w:tc>
          <w:tcPr>
            <w:tcW w:w="5900" w:type="dxa"/>
            <w:vAlign w:val="bottom"/>
            <w:gridSpan w:val="4"/>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-1414145</wp:posOffset>
            </wp:positionV>
            <wp:extent cx="6400800" cy="1419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6400800" cy="1419225"/>
                    </a:xfrm>
                    <a:prstGeom prst="rect">
                      <a:avLst/>
                    </a:prstGeom>
                    <a:noFill/>
                  </pic:spPr>
                </pic:pic>
              </a:graphicData>
            </a:graphic>
          </wp:anchor>
        </w:drawing>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060"/>
          </w:cols>
          <w:pgMar w:left="1080" w:top="1056" w:right="1100" w:bottom="175" w:gutter="0" w:footer="0" w:header="0"/>
          <w:type w:val="continuous"/>
        </w:sectPr>
      </w:pPr>
    </w:p>
    <w:bookmarkStart w:id="97" w:name="page98"/>
    <w:bookmarkEnd w:id="97"/>
    <w:p>
      <w:pPr>
        <w:ind w:right="3220"/>
        <w:spacing w:after="0" w:line="407"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the Board of Directors of Biomea Fusion,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have audited the accompanying balance sheets of Biomea Fusion, Inc. (the “Company”) as of December 31, 2025 and 2024, the related statements of operations and comprehensive loss, stockholders’ equity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w:t>
      </w:r>
    </w:p>
    <w:p>
      <w:pPr>
        <w:spacing w:after="0" w:line="25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that the Company will continue as a going concern. As discussed in Note 1 to the financial statements, the Company has incurred net operating losses and negative cash flows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24,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080"/>
          </w:cols>
          <w:pgMar w:left="1080" w:top="1056" w:right="1080" w:bottom="175"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Biomea Fusion,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Balance Sheets</w:t>
      </w:r>
    </w:p>
    <w:p>
      <w:pPr>
        <w:jc w:val="cente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39"/>
        </w:trPr>
        <w:tc>
          <w:tcPr>
            <w:tcW w:w="6300" w:type="dxa"/>
            <w:vAlign w:val="bottom"/>
            <w:tcBorders>
              <w:bottom w:val="single" w:sz="8" w:color="EAEAEA"/>
            </w:tcBorders>
          </w:tcPr>
          <w:p>
            <w:pPr>
              <w:spacing w:after="0"/>
              <w:rPr>
                <w:sz w:val="20"/>
                <w:szCs w:val="20"/>
                <w:color w:val="auto"/>
              </w:rPr>
            </w:pPr>
          </w:p>
        </w:tc>
        <w:tc>
          <w:tcPr>
            <w:tcW w:w="560" w:type="dxa"/>
            <w:vAlign w:val="bottom"/>
            <w:tcBorders>
              <w:bottom w:val="single" w:sz="8" w:color="EAEAEA"/>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bottom w:val="single" w:sz="8" w:color="EAEAEA"/>
            </w:tcBorders>
          </w:tcPr>
          <w:p>
            <w:pPr>
              <w:spacing w:after="0"/>
              <w:rPr>
                <w:sz w:val="20"/>
                <w:szCs w:val="20"/>
                <w:color w:val="auto"/>
              </w:rPr>
            </w:pPr>
          </w:p>
        </w:tc>
        <w:tc>
          <w:tcPr>
            <w:tcW w:w="100" w:type="dxa"/>
            <w:vAlign w:val="bottom"/>
            <w:tcBorders>
              <w:bottom w:val="single" w:sz="8" w:color="EAEAEA"/>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80" w:type="dxa"/>
            <w:vAlign w:val="bottom"/>
            <w:tcBorders>
              <w:bottom w:val="single" w:sz="8" w:color="EAEAEA"/>
            </w:tcBorders>
          </w:tcPr>
          <w:p>
            <w:pPr>
              <w:spacing w:after="0"/>
              <w:rPr>
                <w:sz w:val="20"/>
                <w:szCs w:val="20"/>
                <w:color w:val="auto"/>
              </w:rPr>
            </w:pPr>
          </w:p>
        </w:tc>
      </w:tr>
      <w:tr>
        <w:trPr>
          <w:trHeight w:val="239"/>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56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1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480" w:type="dxa"/>
            <w:vAlign w:val="bottom"/>
            <w:shd w:val="clear" w:color="auto" w:fill="EAEAEA"/>
          </w:tcPr>
          <w:p>
            <w:pPr>
              <w:spacing w:after="0"/>
              <w:rPr>
                <w:sz w:val="20"/>
                <w:szCs w:val="20"/>
                <w:color w:val="auto"/>
              </w:rPr>
            </w:pPr>
          </w:p>
        </w:tc>
        <w:tc>
          <w:tcPr>
            <w:tcW w:w="9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86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55,812</w:t>
            </w:r>
          </w:p>
        </w:tc>
        <w:tc>
          <w:tcPr>
            <w:tcW w:w="160" w:type="dxa"/>
            <w:vAlign w:val="bottom"/>
            <w:shd w:val="clear" w:color="auto" w:fill="EAEAEA"/>
          </w:tcPr>
          <w:p>
            <w:pPr>
              <w:spacing w:after="0"/>
              <w:rPr>
                <w:sz w:val="21"/>
                <w:szCs w:val="21"/>
                <w:color w:val="auto"/>
              </w:rPr>
            </w:pPr>
          </w:p>
        </w:tc>
        <w:tc>
          <w:tcPr>
            <w:tcW w:w="580" w:type="dxa"/>
            <w:vAlign w:val="bottom"/>
            <w:gridSpan w:val="2"/>
            <w:shd w:val="clear" w:color="auto" w:fill="EAEAEA"/>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58,279</w:t>
            </w:r>
          </w:p>
        </w:tc>
        <w:tc>
          <w:tcPr>
            <w:tcW w:w="80" w:type="dxa"/>
            <w:vAlign w:val="bottom"/>
            <w:shd w:val="clear" w:color="auto" w:fill="EAEAEA"/>
          </w:tcPr>
          <w:p>
            <w:pPr>
              <w:spacing w:after="0"/>
              <w:rPr>
                <w:sz w:val="21"/>
                <w:szCs w:val="21"/>
                <w:color w:val="auto"/>
              </w:rPr>
            </w:pPr>
          </w:p>
        </w:tc>
      </w:tr>
      <w:tr>
        <w:trPr>
          <w:trHeight w:val="244"/>
        </w:trPr>
        <w:tc>
          <w:tcPr>
            <w:tcW w:w="630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560" w:type="dxa"/>
            <w:vAlign w:val="bottom"/>
            <w:tcBorders>
              <w:bottom w:val="single" w:sz="8" w:color="EAEAEA"/>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2,238</w:t>
            </w:r>
          </w:p>
        </w:tc>
        <w:tc>
          <w:tcPr>
            <w:tcW w:w="160" w:type="dxa"/>
            <w:vAlign w:val="bottom"/>
            <w:tcBorders>
              <w:bottom w:val="single" w:sz="8" w:color="EAEAEA"/>
            </w:tcBorders>
          </w:tcPr>
          <w:p>
            <w:pPr>
              <w:spacing w:after="0"/>
              <w:rPr>
                <w:sz w:val="21"/>
                <w:szCs w:val="21"/>
                <w:color w:val="auto"/>
              </w:rPr>
            </w:pPr>
          </w:p>
        </w:tc>
        <w:tc>
          <w:tcPr>
            <w:tcW w:w="100" w:type="dxa"/>
            <w:vAlign w:val="bottom"/>
            <w:tcBorders>
              <w:bottom w:val="single" w:sz="8" w:color="EAEAEA"/>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10,053</w:t>
            </w:r>
          </w:p>
        </w:tc>
        <w:tc>
          <w:tcPr>
            <w:tcW w:w="80" w:type="dxa"/>
            <w:vAlign w:val="bottom"/>
            <w:tcBorders>
              <w:bottom w:val="single" w:sz="8" w:color="EAEAEA"/>
            </w:tcBorders>
          </w:tcPr>
          <w:p>
            <w:pPr>
              <w:spacing w:after="0"/>
              <w:rPr>
                <w:sz w:val="21"/>
                <w:szCs w:val="21"/>
                <w:color w:val="auto"/>
              </w:rPr>
            </w:pPr>
          </w:p>
        </w:tc>
      </w:tr>
      <w:tr>
        <w:trPr>
          <w:trHeight w:val="239"/>
        </w:trPr>
        <w:tc>
          <w:tcPr>
            <w:tcW w:w="630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56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58,050</w:t>
            </w: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480" w:type="dxa"/>
            <w:vAlign w:val="bottom"/>
            <w:shd w:val="clear" w:color="auto" w:fill="EAEAEA"/>
          </w:tcPr>
          <w:p>
            <w:pPr>
              <w:spacing w:after="0"/>
              <w:rPr>
                <w:sz w:val="20"/>
                <w:szCs w:val="20"/>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68,332</w:t>
            </w:r>
          </w:p>
        </w:tc>
        <w:tc>
          <w:tcPr>
            <w:tcW w:w="80" w:type="dxa"/>
            <w:vAlign w:val="bottom"/>
            <w:shd w:val="clear" w:color="auto" w:fill="EAEAEA"/>
          </w:tcPr>
          <w:p>
            <w:pPr>
              <w:spacing w:after="0"/>
              <w:rPr>
                <w:sz w:val="20"/>
                <w:szCs w:val="20"/>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3,766</w:t>
            </w:r>
          </w:p>
        </w:tc>
        <w:tc>
          <w:tcPr>
            <w:tcW w:w="80" w:type="dxa"/>
            <w:vAlign w:val="bottom"/>
          </w:tcPr>
          <w:p>
            <w:pPr>
              <w:spacing w:after="0"/>
              <w:rPr>
                <w:sz w:val="21"/>
                <w:szCs w:val="21"/>
                <w:color w:val="auto"/>
              </w:rPr>
            </w:pPr>
          </w:p>
        </w:tc>
      </w:tr>
      <w:tr>
        <w:trPr>
          <w:trHeight w:val="244"/>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5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80" w:type="dxa"/>
            <w:vAlign w:val="bottom"/>
            <w:shd w:val="clear" w:color="auto" w:fill="EAEAEA"/>
          </w:tcPr>
          <w:p>
            <w:pPr>
              <w:spacing w:after="0"/>
              <w:rPr>
                <w:sz w:val="21"/>
                <w:szCs w:val="21"/>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80" w:type="dxa"/>
            <w:vAlign w:val="bottom"/>
            <w:shd w:val="clear" w:color="auto" w:fill="EAEAEA"/>
          </w:tcPr>
          <w:p>
            <w:pPr>
              <w:spacing w:after="0"/>
              <w:rPr>
                <w:sz w:val="21"/>
                <w:szCs w:val="2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80" w:type="dxa"/>
            <w:vAlign w:val="bottom"/>
          </w:tcPr>
          <w:p>
            <w:pPr>
              <w:spacing w:after="0"/>
              <w:rPr>
                <w:sz w:val="21"/>
                <w:szCs w:val="21"/>
                <w:color w:val="auto"/>
              </w:rPr>
            </w:pPr>
          </w:p>
        </w:tc>
      </w:tr>
      <w:tr>
        <w:trPr>
          <w:trHeight w:val="244"/>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5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30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AEAEA"/>
          </w:tcPr>
          <w:p>
            <w:pPr>
              <w:spacing w:after="0"/>
              <w:rPr>
                <w:sz w:val="21"/>
                <w:szCs w:val="21"/>
                <w:color w:val="auto"/>
              </w:rPr>
            </w:pPr>
          </w:p>
        </w:tc>
        <w:tc>
          <w:tcPr>
            <w:tcW w:w="480" w:type="dxa"/>
            <w:vAlign w:val="bottom"/>
            <w:shd w:val="clear" w:color="auto" w:fill="EAEAEA"/>
          </w:tcPr>
          <w:p>
            <w:pPr>
              <w:spacing w:after="0"/>
              <w:rPr>
                <w:sz w:val="21"/>
                <w:szCs w:val="21"/>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6,852</w:t>
            </w:r>
          </w:p>
        </w:tc>
        <w:tc>
          <w:tcPr>
            <w:tcW w:w="80" w:type="dxa"/>
            <w:vAlign w:val="bottom"/>
            <w:shd w:val="clear" w:color="auto" w:fill="EAEAEA"/>
          </w:tcPr>
          <w:p>
            <w:pPr>
              <w:spacing w:after="0"/>
              <w:rPr>
                <w:sz w:val="21"/>
                <w:szCs w:val="21"/>
                <w:color w:val="auto"/>
              </w:rPr>
            </w:pPr>
          </w:p>
        </w:tc>
      </w:tr>
      <w:tr>
        <w:trPr>
          <w:trHeight w:val="279"/>
        </w:trPr>
        <w:tc>
          <w:tcPr>
            <w:tcW w:w="6300" w:type="dxa"/>
            <w:vAlign w:val="bottom"/>
            <w:tcBorders>
              <w:bottom w:val="single" w:sz="8" w:color="EAEAEA"/>
            </w:tcBorders>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560" w:type="dxa"/>
            <w:vAlign w:val="bottom"/>
            <w:tcBorders>
              <w:bottom w:val="single" w:sz="8" w:color="EAEAEA"/>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58,572</w:t>
            </w:r>
          </w:p>
        </w:tc>
        <w:tc>
          <w:tcPr>
            <w:tcW w:w="160" w:type="dxa"/>
            <w:vAlign w:val="bottom"/>
            <w:tcBorders>
              <w:bottom w:val="single" w:sz="8" w:color="EAEAEA"/>
            </w:tcBorders>
          </w:tcPr>
          <w:p>
            <w:pPr>
              <w:spacing w:after="0"/>
              <w:rPr>
                <w:sz w:val="24"/>
                <w:szCs w:val="24"/>
                <w:color w:val="auto"/>
              </w:rPr>
            </w:pPr>
          </w:p>
        </w:tc>
        <w:tc>
          <w:tcPr>
            <w:tcW w:w="100" w:type="dxa"/>
            <w:vAlign w:val="bottom"/>
            <w:tcBorders>
              <w:bottom w:val="single" w:sz="8" w:color="EAEAEA"/>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79,938</w:t>
            </w:r>
          </w:p>
        </w:tc>
        <w:tc>
          <w:tcPr>
            <w:tcW w:w="80" w:type="dxa"/>
            <w:vAlign w:val="bottom"/>
            <w:tcBorders>
              <w:bottom w:val="single" w:sz="8" w:color="EAEAEA"/>
            </w:tcBorders>
          </w:tcPr>
          <w:p>
            <w:pPr>
              <w:spacing w:after="0"/>
              <w:rPr>
                <w:sz w:val="24"/>
                <w:szCs w:val="24"/>
                <w:color w:val="auto"/>
              </w:rPr>
            </w:pPr>
          </w:p>
        </w:tc>
      </w:tr>
      <w:tr>
        <w:trPr>
          <w:trHeight w:val="229"/>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56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11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9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86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3,233</w:t>
            </w:r>
          </w:p>
        </w:tc>
        <w:tc>
          <w:tcPr>
            <w:tcW w:w="160" w:type="dxa"/>
            <w:vAlign w:val="bottom"/>
            <w:shd w:val="clear" w:color="auto" w:fill="EAEAEA"/>
          </w:tcPr>
          <w:p>
            <w:pPr>
              <w:spacing w:after="0"/>
              <w:rPr>
                <w:sz w:val="21"/>
                <w:szCs w:val="21"/>
                <w:color w:val="auto"/>
              </w:rPr>
            </w:pPr>
          </w:p>
        </w:tc>
        <w:tc>
          <w:tcPr>
            <w:tcW w:w="580" w:type="dxa"/>
            <w:vAlign w:val="bottom"/>
            <w:gridSpan w:val="2"/>
            <w:shd w:val="clear" w:color="auto" w:fill="EAEAEA"/>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12,932</w:t>
            </w:r>
          </w:p>
        </w:tc>
        <w:tc>
          <w:tcPr>
            <w:tcW w:w="80" w:type="dxa"/>
            <w:vAlign w:val="bottom"/>
            <w:shd w:val="clear" w:color="auto" w:fill="EAEAEA"/>
          </w:tcPr>
          <w:p>
            <w:pPr>
              <w:spacing w:after="0"/>
              <w:rPr>
                <w:sz w:val="21"/>
                <w:szCs w:val="21"/>
                <w:color w:val="auto"/>
              </w:rPr>
            </w:pPr>
          </w:p>
        </w:tc>
      </w:tr>
      <w:tr>
        <w:trPr>
          <w:trHeight w:val="244"/>
        </w:trPr>
        <w:tc>
          <w:tcPr>
            <w:tcW w:w="6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6,662</w:t>
            </w:r>
          </w:p>
        </w:tc>
        <w:tc>
          <w:tcPr>
            <w:tcW w:w="80" w:type="dxa"/>
            <w:vAlign w:val="bottom"/>
          </w:tcPr>
          <w:p>
            <w:pPr>
              <w:spacing w:after="0"/>
              <w:rPr>
                <w:sz w:val="21"/>
                <w:szCs w:val="21"/>
                <w:color w:val="auto"/>
              </w:rPr>
            </w:pPr>
          </w:p>
        </w:tc>
      </w:tr>
      <w:tr>
        <w:trPr>
          <w:trHeight w:val="264"/>
        </w:trPr>
        <w:tc>
          <w:tcPr>
            <w:tcW w:w="630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560" w:type="dxa"/>
            <w:vAlign w:val="bottom"/>
            <w:tcBorders>
              <w:bottom w:val="single" w:sz="8" w:color="EAEAEA"/>
            </w:tcBorders>
            <w:shd w:val="clear" w:color="auto" w:fill="EAEAEA"/>
          </w:tcPr>
          <w:p>
            <w:pPr>
              <w:spacing w:after="0"/>
              <w:rPr>
                <w:sz w:val="22"/>
                <w:szCs w:val="22"/>
                <w:color w:val="auto"/>
              </w:rPr>
            </w:pPr>
          </w:p>
        </w:tc>
        <w:tc>
          <w:tcPr>
            <w:tcW w:w="300" w:type="dxa"/>
            <w:vAlign w:val="bottom"/>
            <w:tcBorders>
              <w:bottom w:val="single" w:sz="8" w:color="auto"/>
            </w:tcBorders>
            <w:shd w:val="clear" w:color="auto" w:fill="EAEAEA"/>
          </w:tcPr>
          <w:p>
            <w:pPr>
              <w:spacing w:after="0"/>
              <w:rPr>
                <w:sz w:val="22"/>
                <w:szCs w:val="22"/>
                <w:color w:val="auto"/>
              </w:rPr>
            </w:pPr>
          </w:p>
        </w:tc>
        <w:tc>
          <w:tcPr>
            <w:tcW w:w="1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1,461</w:t>
            </w:r>
          </w:p>
        </w:tc>
        <w:tc>
          <w:tcPr>
            <w:tcW w:w="160" w:type="dxa"/>
            <w:vAlign w:val="bottom"/>
            <w:tcBorders>
              <w:bottom w:val="single" w:sz="8" w:color="EAEAEA"/>
            </w:tcBorders>
            <w:shd w:val="clear" w:color="auto" w:fill="EAEAEA"/>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480" w:type="dxa"/>
            <w:vAlign w:val="bottom"/>
            <w:tcBorders>
              <w:bottom w:val="single" w:sz="8" w:color="auto"/>
            </w:tcBorders>
            <w:shd w:val="clear" w:color="auto" w:fill="EAEAEA"/>
          </w:tcPr>
          <w:p>
            <w:pPr>
              <w:spacing w:after="0"/>
              <w:rPr>
                <w:sz w:val="22"/>
                <w:szCs w:val="22"/>
                <w:color w:val="auto"/>
              </w:rPr>
            </w:pPr>
          </w:p>
        </w:tc>
        <w:tc>
          <w:tcPr>
            <w:tcW w:w="9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2,079</w:t>
            </w:r>
          </w:p>
        </w:tc>
        <w:tc>
          <w:tcPr>
            <w:tcW w:w="80" w:type="dxa"/>
            <w:vAlign w:val="bottom"/>
            <w:tcBorders>
              <w:bottom w:val="single" w:sz="8" w:color="EAEAEA"/>
            </w:tcBorders>
            <w:shd w:val="clear" w:color="auto" w:fill="EAEAEA"/>
          </w:tcPr>
          <w:p>
            <w:pPr>
              <w:spacing w:after="0"/>
              <w:rPr>
                <w:sz w:val="22"/>
                <w:szCs w:val="22"/>
                <w:color w:val="auto"/>
              </w:rPr>
            </w:pPr>
          </w:p>
        </w:tc>
      </w:tr>
      <w:tr>
        <w:trPr>
          <w:trHeight w:val="219"/>
        </w:trPr>
        <w:tc>
          <w:tcPr>
            <w:tcW w:w="6300" w:type="dxa"/>
            <w:vAlign w:val="bottom"/>
            <w:tcBorders>
              <w:bottom w:val="single" w:sz="8" w:color="EAEAEA"/>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current liabilities</w:t>
            </w:r>
          </w:p>
        </w:tc>
        <w:tc>
          <w:tcPr>
            <w:tcW w:w="560" w:type="dxa"/>
            <w:vAlign w:val="bottom"/>
            <w:tcBorders>
              <w:bottom w:val="single" w:sz="8" w:color="EA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11,101</w:t>
            </w:r>
          </w:p>
        </w:tc>
        <w:tc>
          <w:tcPr>
            <w:tcW w:w="160" w:type="dxa"/>
            <w:vAlign w:val="bottom"/>
            <w:tcBorders>
              <w:bottom w:val="single" w:sz="8" w:color="EAEAEA"/>
            </w:tcBorders>
          </w:tcPr>
          <w:p>
            <w:pPr>
              <w:spacing w:after="0"/>
              <w:rPr>
                <w:sz w:val="19"/>
                <w:szCs w:val="19"/>
                <w:color w:val="auto"/>
              </w:rPr>
            </w:pPr>
          </w:p>
        </w:tc>
        <w:tc>
          <w:tcPr>
            <w:tcW w:w="100" w:type="dxa"/>
            <w:vAlign w:val="bottom"/>
            <w:tcBorders>
              <w:bottom w:val="single" w:sz="8" w:color="EA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21,673</w:t>
            </w:r>
          </w:p>
        </w:tc>
        <w:tc>
          <w:tcPr>
            <w:tcW w:w="80" w:type="dxa"/>
            <w:vAlign w:val="bottom"/>
            <w:tcBorders>
              <w:bottom w:val="single" w:sz="8" w:color="EAEAEA"/>
            </w:tcBorders>
          </w:tcPr>
          <w:p>
            <w:pPr>
              <w:spacing w:after="0"/>
              <w:rPr>
                <w:sz w:val="19"/>
                <w:szCs w:val="19"/>
                <w:color w:val="auto"/>
              </w:rPr>
            </w:pPr>
          </w:p>
        </w:tc>
      </w:tr>
      <w:tr>
        <w:trPr>
          <w:trHeight w:val="239"/>
        </w:trPr>
        <w:tc>
          <w:tcPr>
            <w:tcW w:w="63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56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480" w:type="dxa"/>
            <w:vAlign w:val="bottom"/>
            <w:shd w:val="clear" w:color="auto" w:fill="EAEAEA"/>
          </w:tcPr>
          <w:p>
            <w:pPr>
              <w:spacing w:after="0"/>
              <w:rPr>
                <w:sz w:val="20"/>
                <w:szCs w:val="20"/>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6,692</w:t>
            </w:r>
          </w:p>
        </w:tc>
        <w:tc>
          <w:tcPr>
            <w:tcW w:w="80" w:type="dxa"/>
            <w:vAlign w:val="bottom"/>
            <w:shd w:val="clear" w:color="auto" w:fill="EAEAEA"/>
          </w:tcPr>
          <w:p>
            <w:pPr>
              <w:spacing w:after="0"/>
              <w:rPr>
                <w:sz w:val="20"/>
                <w:szCs w:val="20"/>
                <w:color w:val="auto"/>
              </w:rPr>
            </w:pPr>
          </w:p>
        </w:tc>
      </w:tr>
      <w:tr>
        <w:trPr>
          <w:trHeight w:val="244"/>
        </w:trPr>
        <w:tc>
          <w:tcPr>
            <w:tcW w:w="630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Warrant liability, non-current</w:t>
            </w:r>
          </w:p>
        </w:tc>
        <w:tc>
          <w:tcPr>
            <w:tcW w:w="560" w:type="dxa"/>
            <w:vAlign w:val="bottom"/>
            <w:tcBorders>
              <w:bottom w:val="single" w:sz="8" w:color="EAEAEA"/>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17,791</w:t>
            </w:r>
          </w:p>
        </w:tc>
        <w:tc>
          <w:tcPr>
            <w:tcW w:w="160" w:type="dxa"/>
            <w:vAlign w:val="bottom"/>
            <w:tcBorders>
              <w:bottom w:val="single" w:sz="8" w:color="EAEAEA"/>
            </w:tcBorders>
          </w:tcPr>
          <w:p>
            <w:pPr>
              <w:spacing w:after="0"/>
              <w:rPr>
                <w:sz w:val="21"/>
                <w:szCs w:val="21"/>
                <w:color w:val="auto"/>
              </w:rPr>
            </w:pPr>
          </w:p>
        </w:tc>
        <w:tc>
          <w:tcPr>
            <w:tcW w:w="100" w:type="dxa"/>
            <w:vAlign w:val="bottom"/>
            <w:tcBorders>
              <w:bottom w:val="single" w:sz="8" w:color="EAEAEA"/>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AEAEA"/>
            </w:tcBorders>
          </w:tcPr>
          <w:p>
            <w:pPr>
              <w:spacing w:after="0"/>
              <w:rPr>
                <w:sz w:val="21"/>
                <w:szCs w:val="21"/>
                <w:color w:val="auto"/>
              </w:rPr>
            </w:pPr>
          </w:p>
        </w:tc>
      </w:tr>
      <w:tr>
        <w:trPr>
          <w:trHeight w:val="259"/>
        </w:trPr>
        <w:tc>
          <w:tcPr>
            <w:tcW w:w="6300" w:type="dxa"/>
            <w:vAlign w:val="bottom"/>
            <w:tcBorders>
              <w:bottom w:val="single" w:sz="8" w:color="EAEAEA"/>
            </w:tcBorders>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560" w:type="dxa"/>
            <w:vAlign w:val="bottom"/>
            <w:tcBorders>
              <w:bottom w:val="single" w:sz="8" w:color="EAEAEA"/>
            </w:tcBorders>
            <w:shd w:val="clear" w:color="auto" w:fill="EAEAEA"/>
          </w:tcPr>
          <w:p>
            <w:pPr>
              <w:spacing w:after="0"/>
              <w:rPr>
                <w:sz w:val="22"/>
                <w:szCs w:val="22"/>
                <w:color w:val="auto"/>
              </w:rPr>
            </w:pPr>
          </w:p>
        </w:tc>
        <w:tc>
          <w:tcPr>
            <w:tcW w:w="300" w:type="dxa"/>
            <w:vAlign w:val="bottom"/>
            <w:tcBorders>
              <w:bottom w:val="single" w:sz="8" w:color="auto"/>
            </w:tcBorders>
            <w:shd w:val="clear" w:color="auto" w:fill="EAEAEA"/>
          </w:tcPr>
          <w:p>
            <w:pPr>
              <w:spacing w:after="0"/>
              <w:rPr>
                <w:sz w:val="22"/>
                <w:szCs w:val="22"/>
                <w:color w:val="auto"/>
              </w:rPr>
            </w:pPr>
          </w:p>
        </w:tc>
        <w:tc>
          <w:tcPr>
            <w:tcW w:w="1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29,020</w:t>
            </w:r>
          </w:p>
        </w:tc>
        <w:tc>
          <w:tcPr>
            <w:tcW w:w="160" w:type="dxa"/>
            <w:vAlign w:val="bottom"/>
            <w:tcBorders>
              <w:bottom w:val="single" w:sz="8" w:color="EAEAEA"/>
            </w:tcBorders>
            <w:shd w:val="clear" w:color="auto" w:fill="EAEAEA"/>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480" w:type="dxa"/>
            <w:vAlign w:val="bottom"/>
            <w:tcBorders>
              <w:bottom w:val="single" w:sz="8" w:color="auto"/>
            </w:tcBorders>
            <w:shd w:val="clear" w:color="auto" w:fill="EAEAEA"/>
          </w:tcPr>
          <w:p>
            <w:pPr>
              <w:spacing w:after="0"/>
              <w:rPr>
                <w:sz w:val="22"/>
                <w:szCs w:val="22"/>
                <w:color w:val="auto"/>
              </w:rPr>
            </w:pPr>
          </w:p>
        </w:tc>
        <w:tc>
          <w:tcPr>
            <w:tcW w:w="9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28,365</w:t>
            </w:r>
          </w:p>
        </w:tc>
        <w:tc>
          <w:tcPr>
            <w:tcW w:w="80" w:type="dxa"/>
            <w:vAlign w:val="bottom"/>
            <w:tcBorders>
              <w:bottom w:val="single" w:sz="8" w:color="EAEAEA"/>
            </w:tcBorders>
            <w:shd w:val="clear" w:color="auto" w:fill="EAEAEA"/>
          </w:tcPr>
          <w:p>
            <w:pPr>
              <w:spacing w:after="0"/>
              <w:rPr>
                <w:sz w:val="22"/>
                <w:szCs w:val="22"/>
                <w:color w:val="auto"/>
              </w:rPr>
            </w:pPr>
          </w:p>
        </w:tc>
      </w:tr>
      <w:tr>
        <w:trPr>
          <w:trHeight w:val="219"/>
        </w:trPr>
        <w:tc>
          <w:tcPr>
            <w:tcW w:w="63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Commitments and contingencies (Note 8)</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63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5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14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80" w:type="dxa"/>
            <w:vAlign w:val="bottom"/>
            <w:shd w:val="clear" w:color="auto" w:fill="EAEAEA"/>
          </w:tcPr>
          <w:p>
            <w:pPr>
              <w:spacing w:after="0"/>
              <w:rPr>
                <w:sz w:val="21"/>
                <w:szCs w:val="21"/>
                <w:color w:val="auto"/>
              </w:rPr>
            </w:pPr>
          </w:p>
        </w:tc>
        <w:tc>
          <w:tcPr>
            <w:tcW w:w="9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r>
      <w:tr>
        <w:trPr>
          <w:trHeight w:val="224"/>
        </w:trPr>
        <w:tc>
          <w:tcPr>
            <w:tcW w:w="63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Preferred stock, $0.0001 par value; 10,000,000 shares authorized as of</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December 31, 2025 and December 31, 2024; 0 shares issued and</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6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outstanding as of December 31, 2025 and December 31, 2024</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24"/>
        </w:trPr>
        <w:tc>
          <w:tcPr>
            <w:tcW w:w="630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Common stock, $0.0001 par value; 300,000,000 shares authorized as of</w:t>
            </w:r>
          </w:p>
        </w:tc>
        <w:tc>
          <w:tcPr>
            <w:tcW w:w="56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11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9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r>
      <w:tr>
        <w:trPr>
          <w:trHeight w:val="230"/>
        </w:trPr>
        <w:tc>
          <w:tcPr>
            <w:tcW w:w="630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20"/>
                <w:szCs w:val="20"/>
                <w:color w:val="auto"/>
              </w:rPr>
              <w:t>December 31, 2025 and December 31, 2024; 72,299,440 and</w:t>
            </w:r>
          </w:p>
        </w:tc>
        <w:tc>
          <w:tcPr>
            <w:tcW w:w="56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1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480" w:type="dxa"/>
            <w:vAlign w:val="bottom"/>
            <w:shd w:val="clear" w:color="auto" w:fill="EAEAEA"/>
          </w:tcPr>
          <w:p>
            <w:pPr>
              <w:spacing w:after="0"/>
              <w:rPr>
                <w:sz w:val="20"/>
                <w:szCs w:val="20"/>
                <w:color w:val="auto"/>
              </w:rPr>
            </w:pPr>
          </w:p>
        </w:tc>
        <w:tc>
          <w:tcPr>
            <w:tcW w:w="9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r>
      <w:tr>
        <w:trPr>
          <w:trHeight w:val="230"/>
        </w:trPr>
        <w:tc>
          <w:tcPr>
            <w:tcW w:w="630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20"/>
                <w:szCs w:val="20"/>
                <w:color w:val="auto"/>
              </w:rPr>
              <w:t>36,310,713 shares issued and outstanding as of December 31, 2025</w:t>
            </w:r>
          </w:p>
        </w:tc>
        <w:tc>
          <w:tcPr>
            <w:tcW w:w="56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1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480" w:type="dxa"/>
            <w:vAlign w:val="bottom"/>
            <w:shd w:val="clear" w:color="auto" w:fill="EAEAEA"/>
          </w:tcPr>
          <w:p>
            <w:pPr>
              <w:spacing w:after="0"/>
              <w:rPr>
                <w:sz w:val="20"/>
                <w:szCs w:val="20"/>
                <w:color w:val="auto"/>
              </w:rPr>
            </w:pPr>
          </w:p>
        </w:tc>
        <w:tc>
          <w:tcPr>
            <w:tcW w:w="9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r>
      <w:tr>
        <w:trPr>
          <w:trHeight w:val="250"/>
        </w:trPr>
        <w:tc>
          <w:tcPr>
            <w:tcW w:w="630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20"/>
                <w:szCs w:val="20"/>
                <w:color w:val="auto"/>
              </w:rPr>
              <w:t>and December 31, 2024, respectively</w:t>
            </w:r>
          </w:p>
        </w:tc>
        <w:tc>
          <w:tcPr>
            <w:tcW w:w="5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80" w:type="dxa"/>
            <w:vAlign w:val="bottom"/>
            <w:shd w:val="clear" w:color="auto" w:fill="EAEAEA"/>
          </w:tcPr>
          <w:p>
            <w:pPr>
              <w:spacing w:after="0"/>
              <w:rPr>
                <w:sz w:val="21"/>
                <w:szCs w:val="21"/>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shd w:val="clear" w:color="auto" w:fill="EAEAEA"/>
          </w:tcPr>
          <w:p>
            <w:pPr>
              <w:spacing w:after="0"/>
              <w:rPr>
                <w:sz w:val="21"/>
                <w:szCs w:val="21"/>
                <w:color w:val="auto"/>
              </w:rPr>
            </w:pPr>
          </w:p>
        </w:tc>
      </w:tr>
      <w:tr>
        <w:trPr>
          <w:trHeight w:val="244"/>
        </w:trPr>
        <w:tc>
          <w:tcPr>
            <w:tcW w:w="6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478,593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438,820</w:t>
            </w:r>
          </w:p>
        </w:tc>
        <w:tc>
          <w:tcPr>
            <w:tcW w:w="80" w:type="dxa"/>
            <w:vAlign w:val="bottom"/>
          </w:tcPr>
          <w:p>
            <w:pPr>
              <w:spacing w:after="0"/>
              <w:rPr>
                <w:sz w:val="21"/>
                <w:szCs w:val="21"/>
                <w:color w:val="auto"/>
              </w:rPr>
            </w:pPr>
          </w:p>
        </w:tc>
      </w:tr>
      <w:tr>
        <w:trPr>
          <w:trHeight w:val="264"/>
        </w:trPr>
        <w:tc>
          <w:tcPr>
            <w:tcW w:w="63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560" w:type="dxa"/>
            <w:vAlign w:val="bottom"/>
            <w:shd w:val="clear" w:color="auto" w:fill="EAEAEA"/>
          </w:tcPr>
          <w:p>
            <w:pPr>
              <w:spacing w:after="0"/>
              <w:rPr>
                <w:sz w:val="22"/>
                <w:szCs w:val="22"/>
                <w:color w:val="auto"/>
              </w:rPr>
            </w:pPr>
          </w:p>
        </w:tc>
        <w:tc>
          <w:tcPr>
            <w:tcW w:w="300" w:type="dxa"/>
            <w:vAlign w:val="bottom"/>
            <w:shd w:val="clear" w:color="auto" w:fill="EAEAEA"/>
          </w:tcPr>
          <w:p>
            <w:pPr>
              <w:spacing w:after="0"/>
              <w:rPr>
                <w:sz w:val="22"/>
                <w:szCs w:val="22"/>
                <w:color w:val="auto"/>
              </w:rPr>
            </w:pPr>
          </w:p>
        </w:tc>
        <w:tc>
          <w:tcPr>
            <w:tcW w:w="130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(449,048)</w:t>
            </w:r>
          </w:p>
        </w:tc>
        <w:tc>
          <w:tcPr>
            <w:tcW w:w="100" w:type="dxa"/>
            <w:vAlign w:val="bottom"/>
            <w:shd w:val="clear" w:color="auto" w:fill="EAEAEA"/>
          </w:tcPr>
          <w:p>
            <w:pPr>
              <w:spacing w:after="0"/>
              <w:rPr>
                <w:sz w:val="22"/>
                <w:szCs w:val="22"/>
                <w:color w:val="auto"/>
              </w:rPr>
            </w:pPr>
          </w:p>
        </w:tc>
        <w:tc>
          <w:tcPr>
            <w:tcW w:w="480" w:type="dxa"/>
            <w:vAlign w:val="bottom"/>
            <w:shd w:val="clear" w:color="auto" w:fill="EAEAEA"/>
          </w:tcPr>
          <w:p>
            <w:pPr>
              <w:spacing w:after="0"/>
              <w:rPr>
                <w:sz w:val="22"/>
                <w:szCs w:val="22"/>
                <w:color w:val="auto"/>
              </w:rPr>
            </w:pPr>
          </w:p>
        </w:tc>
        <w:tc>
          <w:tcPr>
            <w:tcW w:w="10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(387,251)</w:t>
            </w:r>
          </w:p>
        </w:tc>
      </w:tr>
      <w:tr>
        <w:trPr>
          <w:trHeight w:val="219"/>
        </w:trPr>
        <w:tc>
          <w:tcPr>
            <w:tcW w:w="6300" w:type="dxa"/>
            <w:vAlign w:val="bottom"/>
            <w:tcBorders>
              <w:top w:val="single" w:sz="8" w:color="EAEAEA"/>
              <w:bottom w:val="single" w:sz="8" w:color="EAEAEA"/>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Total stockholders' equity</w:t>
            </w:r>
          </w:p>
        </w:tc>
        <w:tc>
          <w:tcPr>
            <w:tcW w:w="560" w:type="dxa"/>
            <w:vAlign w:val="bottom"/>
            <w:tcBorders>
              <w:top w:val="single" w:sz="8" w:color="EAEAEA"/>
              <w:bottom w:val="single" w:sz="8" w:color="EAEAEA"/>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29,552</w:t>
            </w:r>
          </w:p>
        </w:tc>
        <w:tc>
          <w:tcPr>
            <w:tcW w:w="160" w:type="dxa"/>
            <w:vAlign w:val="bottom"/>
            <w:tcBorders>
              <w:top w:val="single" w:sz="8" w:color="EAEAEA"/>
              <w:bottom w:val="single" w:sz="8" w:color="EAEAEA"/>
            </w:tcBorders>
          </w:tcPr>
          <w:p>
            <w:pPr>
              <w:spacing w:after="0"/>
              <w:rPr>
                <w:sz w:val="19"/>
                <w:szCs w:val="19"/>
                <w:color w:val="auto"/>
              </w:rPr>
            </w:pPr>
          </w:p>
        </w:tc>
        <w:tc>
          <w:tcPr>
            <w:tcW w:w="100" w:type="dxa"/>
            <w:vAlign w:val="bottom"/>
            <w:tcBorders>
              <w:top w:val="single" w:sz="8" w:color="EAEAEA"/>
              <w:bottom w:val="single" w:sz="8" w:color="EAEAEA"/>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51,573</w:t>
            </w:r>
          </w:p>
        </w:tc>
        <w:tc>
          <w:tcPr>
            <w:tcW w:w="80" w:type="dxa"/>
            <w:vAlign w:val="bottom"/>
            <w:tcBorders>
              <w:top w:val="single" w:sz="8" w:color="EAEAEA"/>
              <w:bottom w:val="single" w:sz="8" w:color="EAEAEA"/>
            </w:tcBorders>
          </w:tcPr>
          <w:p>
            <w:pPr>
              <w:spacing w:after="0"/>
              <w:rPr>
                <w:sz w:val="19"/>
                <w:szCs w:val="19"/>
                <w:color w:val="auto"/>
              </w:rPr>
            </w:pPr>
          </w:p>
        </w:tc>
      </w:tr>
      <w:tr>
        <w:trPr>
          <w:trHeight w:val="259"/>
        </w:trPr>
        <w:tc>
          <w:tcPr>
            <w:tcW w:w="630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560" w:type="dxa"/>
            <w:vAlign w:val="bottom"/>
            <w:tcBorders>
              <w:bottom w:val="single" w:sz="8" w:color="EAEAEA"/>
            </w:tcBorders>
            <w:shd w:val="clear" w:color="auto" w:fill="EAEAEA"/>
          </w:tcPr>
          <w:p>
            <w:pPr>
              <w:spacing w:after="0"/>
              <w:rPr>
                <w:sz w:val="22"/>
                <w:szCs w:val="22"/>
                <w:color w:val="auto"/>
              </w:rPr>
            </w:pPr>
          </w:p>
        </w:tc>
        <w:tc>
          <w:tcPr>
            <w:tcW w:w="300" w:type="dxa"/>
            <w:vAlign w:val="bottom"/>
            <w:tcBorders>
              <w:bottom w:val="single" w:sz="8" w:color="auto"/>
            </w:tcBorders>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58,572</w:t>
            </w:r>
          </w:p>
        </w:tc>
        <w:tc>
          <w:tcPr>
            <w:tcW w:w="160" w:type="dxa"/>
            <w:vAlign w:val="bottom"/>
            <w:tcBorders>
              <w:bottom w:val="single" w:sz="8" w:color="EAEAEA"/>
            </w:tcBorders>
            <w:shd w:val="clear" w:color="auto" w:fill="EAEAEA"/>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480" w:type="dxa"/>
            <w:vAlign w:val="bottom"/>
            <w:tcBorders>
              <w:bottom w:val="single" w:sz="8" w:color="auto"/>
            </w:tcBorders>
            <w:shd w:val="clear" w:color="auto" w:fill="EAEAEA"/>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79,938</w:t>
            </w:r>
          </w:p>
        </w:tc>
        <w:tc>
          <w:tcPr>
            <w:tcW w:w="80" w:type="dxa"/>
            <w:vAlign w:val="bottom"/>
            <w:tcBorders>
              <w:bottom w:val="single" w:sz="8" w:color="EAEAEA"/>
            </w:tcBorders>
            <w:shd w:val="clear" w:color="auto" w:fill="EAEAEA"/>
          </w:tcPr>
          <w:p>
            <w:pPr>
              <w:spacing w:after="0"/>
              <w:rPr>
                <w:sz w:val="22"/>
                <w:szCs w:val="22"/>
                <w:color w:val="auto"/>
              </w:rPr>
            </w:pPr>
          </w:p>
        </w:tc>
      </w:tr>
      <w:tr>
        <w:trPr>
          <w:trHeight w:val="20"/>
        </w:trPr>
        <w:tc>
          <w:tcPr>
            <w:tcW w:w="6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080"/>
          </w:cols>
          <w:pgMar w:left="1080" w:top="1056" w:right="1080" w:bottom="175"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Biomea Fusion,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80" w:type="dxa"/>
            <w:vAlign w:val="bottom"/>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360" w:type="dxa"/>
            <w:vAlign w:val="bottom"/>
            <w:tcBorders>
              <w:bottom w:val="single" w:sz="8" w:color="EAEAEA"/>
            </w:tcBorders>
          </w:tcPr>
          <w:p>
            <w:pPr>
              <w:spacing w:after="0"/>
              <w:rPr>
                <w:sz w:val="22"/>
                <w:szCs w:val="22"/>
                <w:color w:val="auto"/>
              </w:rPr>
            </w:pPr>
          </w:p>
        </w:tc>
        <w:tc>
          <w:tcPr>
            <w:tcW w:w="360" w:type="dxa"/>
            <w:vAlign w:val="bottom"/>
            <w:tcBorders>
              <w:bottom w:val="single" w:sz="8" w:color="EAEAEA"/>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bottom w:val="single" w:sz="8" w:color="EAEAEA"/>
            </w:tcBorders>
          </w:tcPr>
          <w:p>
            <w:pPr>
              <w:spacing w:after="0"/>
              <w:rPr>
                <w:sz w:val="22"/>
                <w:szCs w:val="22"/>
                <w:color w:val="auto"/>
              </w:rPr>
            </w:pPr>
          </w:p>
        </w:tc>
        <w:tc>
          <w:tcPr>
            <w:tcW w:w="80" w:type="dxa"/>
            <w:vAlign w:val="bottom"/>
            <w:tcBorders>
              <w:bottom w:val="single" w:sz="8" w:color="EAEAEA"/>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Borders>
              <w:bottom w:val="single" w:sz="8" w:color="EAEAEA"/>
            </w:tcBorders>
          </w:tcPr>
          <w:p>
            <w:pPr>
              <w:spacing w:after="0"/>
              <w:rPr>
                <w:sz w:val="22"/>
                <w:szCs w:val="22"/>
                <w:color w:val="auto"/>
              </w:rPr>
            </w:pPr>
          </w:p>
        </w:tc>
        <w:tc>
          <w:tcPr>
            <w:tcW w:w="80" w:type="dxa"/>
            <w:vAlign w:val="bottom"/>
            <w:tcBorders>
              <w:bottom w:val="single" w:sz="8" w:color="EAEAEA"/>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AEAEA"/>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3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36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10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10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98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6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61,979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118,085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6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19,328</w:t>
            </w:r>
          </w:p>
        </w:tc>
        <w:tc>
          <w:tcPr>
            <w:tcW w:w="1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0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25,985</w:t>
            </w:r>
          </w:p>
        </w:tc>
        <w:tc>
          <w:tcPr>
            <w:tcW w:w="1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9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23,589</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5360" w:type="dxa"/>
            <w:vAlign w:val="bottom"/>
            <w:tcBorders>
              <w:top w:val="single" w:sz="8" w:color="EAEAEA"/>
            </w:tcBorders>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60" w:type="dxa"/>
            <w:vAlign w:val="bottom"/>
            <w:tcBorders>
              <w:top w:val="single" w:sz="8" w:color="EAEAEA"/>
            </w:tcBorders>
            <w:shd w:val="clear" w:color="auto" w:fill="EAEAEA"/>
          </w:tcPr>
          <w:p>
            <w:pPr>
              <w:spacing w:after="0"/>
              <w:rPr>
                <w:sz w:val="20"/>
                <w:szCs w:val="20"/>
                <w:color w:val="auto"/>
              </w:rPr>
            </w:pPr>
          </w:p>
        </w:tc>
        <w:tc>
          <w:tcPr>
            <w:tcW w:w="220" w:type="dxa"/>
            <w:vAlign w:val="bottom"/>
            <w:tcBorders>
              <w:top w:val="single" w:sz="8" w:color="auto"/>
              <w:bottom w:val="single" w:sz="8" w:color="auto"/>
            </w:tcBorders>
            <w:shd w:val="clear" w:color="auto" w:fill="EAEAEA"/>
          </w:tcPr>
          <w:p>
            <w:pPr>
              <w:spacing w:after="0"/>
              <w:rPr>
                <w:sz w:val="20"/>
                <w:szCs w:val="20"/>
                <w:color w:val="auto"/>
              </w:rPr>
            </w:pPr>
          </w:p>
        </w:tc>
        <w:tc>
          <w:tcPr>
            <w:tcW w:w="10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83,512</w:t>
            </w:r>
          </w:p>
        </w:tc>
        <w:tc>
          <w:tcPr>
            <w:tcW w:w="160" w:type="dxa"/>
            <w:vAlign w:val="bottom"/>
            <w:tcBorders>
              <w:top w:val="single" w:sz="8" w:color="EAEAEA"/>
            </w:tcBorders>
            <w:shd w:val="clear" w:color="auto" w:fill="EAEAEA"/>
          </w:tcPr>
          <w:p>
            <w:pPr>
              <w:spacing w:after="0"/>
              <w:rPr>
                <w:sz w:val="20"/>
                <w:szCs w:val="20"/>
                <w:color w:val="auto"/>
              </w:rPr>
            </w:pPr>
          </w:p>
        </w:tc>
        <w:tc>
          <w:tcPr>
            <w:tcW w:w="80" w:type="dxa"/>
            <w:vAlign w:val="bottom"/>
            <w:tcBorders>
              <w:top w:val="single" w:sz="8" w:color="EAEAEA"/>
            </w:tcBorders>
            <w:shd w:val="clear" w:color="auto" w:fill="EAEAEA"/>
          </w:tcPr>
          <w:p>
            <w:pPr>
              <w:spacing w:after="0"/>
              <w:rPr>
                <w:sz w:val="20"/>
                <w:szCs w:val="20"/>
                <w:color w:val="auto"/>
              </w:rPr>
            </w:pPr>
          </w:p>
        </w:tc>
        <w:tc>
          <w:tcPr>
            <w:tcW w:w="220" w:type="dxa"/>
            <w:vAlign w:val="bottom"/>
            <w:tcBorders>
              <w:top w:val="single" w:sz="8" w:color="auto"/>
              <w:bottom w:val="single" w:sz="8" w:color="auto"/>
            </w:tcBorders>
            <w:shd w:val="clear" w:color="auto" w:fill="EAEAEA"/>
          </w:tcPr>
          <w:p>
            <w:pPr>
              <w:spacing w:after="0"/>
              <w:rPr>
                <w:sz w:val="20"/>
                <w:szCs w:val="20"/>
                <w:color w:val="auto"/>
              </w:rPr>
            </w:pPr>
          </w:p>
        </w:tc>
        <w:tc>
          <w:tcPr>
            <w:tcW w:w="10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144,070</w:t>
            </w:r>
          </w:p>
        </w:tc>
        <w:tc>
          <w:tcPr>
            <w:tcW w:w="140" w:type="dxa"/>
            <w:vAlign w:val="bottom"/>
            <w:tcBorders>
              <w:top w:val="single" w:sz="8" w:color="EAEAEA"/>
            </w:tcBorders>
            <w:shd w:val="clear" w:color="auto" w:fill="EAEAEA"/>
          </w:tcPr>
          <w:p>
            <w:pPr>
              <w:spacing w:after="0"/>
              <w:rPr>
                <w:sz w:val="20"/>
                <w:szCs w:val="20"/>
                <w:color w:val="auto"/>
              </w:rPr>
            </w:pPr>
          </w:p>
        </w:tc>
        <w:tc>
          <w:tcPr>
            <w:tcW w:w="80" w:type="dxa"/>
            <w:vAlign w:val="bottom"/>
            <w:tcBorders>
              <w:top w:val="single" w:sz="8" w:color="EAEAEA"/>
            </w:tcBorders>
            <w:shd w:val="clear" w:color="auto" w:fill="EAEAEA"/>
          </w:tcPr>
          <w:p>
            <w:pPr>
              <w:spacing w:after="0"/>
              <w:rPr>
                <w:sz w:val="20"/>
                <w:szCs w:val="20"/>
                <w:color w:val="auto"/>
              </w:rPr>
            </w:pPr>
          </w:p>
        </w:tc>
        <w:tc>
          <w:tcPr>
            <w:tcW w:w="300" w:type="dxa"/>
            <w:vAlign w:val="bottom"/>
            <w:tcBorders>
              <w:top w:val="single" w:sz="8" w:color="auto"/>
              <w:bottom w:val="single" w:sz="8" w:color="auto"/>
            </w:tcBorders>
            <w:shd w:val="clear" w:color="auto" w:fill="EAEAEA"/>
          </w:tcPr>
          <w:p>
            <w:pPr>
              <w:spacing w:after="0"/>
              <w:rPr>
                <w:sz w:val="20"/>
                <w:szCs w:val="20"/>
                <w:color w:val="auto"/>
              </w:rPr>
            </w:pPr>
          </w:p>
        </w:tc>
        <w:tc>
          <w:tcPr>
            <w:tcW w:w="9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126,135</w:t>
            </w:r>
          </w:p>
        </w:tc>
        <w:tc>
          <w:tcPr>
            <w:tcW w:w="8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Change in fair value of common warrant liability</w:t>
            </w:r>
          </w:p>
        </w:tc>
        <w:tc>
          <w:tcPr>
            <w:tcW w:w="36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19,857</w:t>
            </w:r>
          </w:p>
        </w:tc>
        <w:tc>
          <w:tcPr>
            <w:tcW w:w="16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200" w:type="dxa"/>
            <w:vAlign w:val="bottom"/>
            <w:gridSpan w:val="2"/>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06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36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Interest income and other income, net</w:t>
            </w:r>
          </w:p>
        </w:tc>
        <w:tc>
          <w:tcPr>
            <w:tcW w:w="360" w:type="dxa"/>
            <w:vAlign w:val="bottom"/>
            <w:tcBorders>
              <w:bottom w:val="single" w:sz="8" w:color="EAEAEA"/>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1,858</w:t>
            </w:r>
          </w:p>
        </w:tc>
        <w:tc>
          <w:tcPr>
            <w:tcW w:w="160" w:type="dxa"/>
            <w:vAlign w:val="bottom"/>
            <w:tcBorders>
              <w:bottom w:val="single" w:sz="8" w:color="EAEAEA"/>
            </w:tcBorders>
          </w:tcPr>
          <w:p>
            <w:pPr>
              <w:spacing w:after="0"/>
              <w:rPr>
                <w:sz w:val="21"/>
                <w:szCs w:val="21"/>
                <w:color w:val="auto"/>
              </w:rPr>
            </w:pPr>
          </w:p>
        </w:tc>
        <w:tc>
          <w:tcPr>
            <w:tcW w:w="80" w:type="dxa"/>
            <w:vAlign w:val="bottom"/>
            <w:tcBorders>
              <w:bottom w:val="single" w:sz="8" w:color="EAEAEA"/>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5,644</w:t>
            </w:r>
          </w:p>
        </w:tc>
        <w:tc>
          <w:tcPr>
            <w:tcW w:w="140" w:type="dxa"/>
            <w:vAlign w:val="bottom"/>
            <w:tcBorders>
              <w:bottom w:val="single" w:sz="8" w:color="EAEAEA"/>
            </w:tcBorders>
          </w:tcPr>
          <w:p>
            <w:pPr>
              <w:spacing w:after="0"/>
              <w:rPr>
                <w:sz w:val="21"/>
                <w:szCs w:val="21"/>
                <w:color w:val="auto"/>
              </w:rPr>
            </w:pPr>
          </w:p>
        </w:tc>
        <w:tc>
          <w:tcPr>
            <w:tcW w:w="80" w:type="dxa"/>
            <w:vAlign w:val="bottom"/>
            <w:tcBorders>
              <w:bottom w:val="single" w:sz="8" w:color="EAEAEA"/>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8,880</w:t>
            </w:r>
          </w:p>
        </w:tc>
        <w:tc>
          <w:tcPr>
            <w:tcW w:w="8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loss</w:t>
            </w:r>
          </w:p>
        </w:tc>
        <w:tc>
          <w:tcPr>
            <w:tcW w:w="360" w:type="dxa"/>
            <w:vAlign w:val="bottom"/>
            <w:shd w:val="clear" w:color="auto" w:fill="EAEAEA"/>
          </w:tcPr>
          <w:p>
            <w:pPr>
              <w:spacing w:after="0"/>
              <w:rPr>
                <w:sz w:val="20"/>
                <w:szCs w:val="20"/>
                <w:color w:val="auto"/>
              </w:rPr>
            </w:pPr>
          </w:p>
        </w:tc>
        <w:tc>
          <w:tcPr>
            <w:tcW w:w="220" w:type="dxa"/>
            <w:vAlign w:val="bottom"/>
            <w:tcBorders>
              <w:bottom w:val="single" w:sz="8" w:color="auto"/>
            </w:tcBorders>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(61,797)</w:t>
            </w:r>
          </w:p>
        </w:tc>
        <w:tc>
          <w:tcPr>
            <w:tcW w:w="1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220" w:type="dxa"/>
            <w:vAlign w:val="bottom"/>
            <w:tcBorders>
              <w:bottom w:val="single" w:sz="8" w:color="auto"/>
            </w:tcBorders>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(138,426)</w:t>
            </w:r>
          </w:p>
        </w:tc>
        <w:tc>
          <w:tcPr>
            <w:tcW w:w="1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(117,255)</w:t>
            </w: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36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Unrealized gain on investments, net</w:t>
            </w:r>
          </w:p>
        </w:tc>
        <w:tc>
          <w:tcPr>
            <w:tcW w:w="360" w:type="dxa"/>
            <w:vAlign w:val="bottom"/>
            <w:shd w:val="clear" w:color="auto" w:fill="EAEAEA"/>
          </w:tcPr>
          <w:p>
            <w:pPr>
              <w:spacing w:after="0"/>
              <w:rPr>
                <w:sz w:val="22"/>
                <w:szCs w:val="22"/>
                <w:color w:val="auto"/>
              </w:rPr>
            </w:pPr>
          </w:p>
        </w:tc>
        <w:tc>
          <w:tcPr>
            <w:tcW w:w="220" w:type="dxa"/>
            <w:vAlign w:val="bottom"/>
            <w:shd w:val="clear" w:color="auto" w:fill="EAEAEA"/>
          </w:tcPr>
          <w:p>
            <w:pPr>
              <w:spacing w:after="0"/>
              <w:rPr>
                <w:sz w:val="22"/>
                <w:szCs w:val="22"/>
                <w:color w:val="auto"/>
              </w:rPr>
            </w:pPr>
          </w:p>
        </w:tc>
        <w:tc>
          <w:tcPr>
            <w:tcW w:w="1200" w:type="dxa"/>
            <w:vAlign w:val="bottom"/>
            <w:gridSpan w:val="2"/>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2"/>
                <w:szCs w:val="22"/>
                <w:color w:val="auto"/>
              </w:rPr>
            </w:pPr>
          </w:p>
        </w:tc>
        <w:tc>
          <w:tcPr>
            <w:tcW w:w="220" w:type="dxa"/>
            <w:vAlign w:val="bottom"/>
            <w:shd w:val="clear" w:color="auto" w:fill="EAEAEA"/>
          </w:tcPr>
          <w:p>
            <w:pPr>
              <w:spacing w:after="0"/>
              <w:rPr>
                <w:sz w:val="22"/>
                <w:szCs w:val="22"/>
                <w:color w:val="auto"/>
              </w:rPr>
            </w:pPr>
          </w:p>
        </w:tc>
        <w:tc>
          <w:tcPr>
            <w:tcW w:w="1200" w:type="dxa"/>
            <w:vAlign w:val="bottom"/>
            <w:gridSpan w:val="2"/>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2"/>
                <w:szCs w:val="22"/>
                <w:color w:val="auto"/>
              </w:rPr>
            </w:pPr>
          </w:p>
        </w:tc>
        <w:tc>
          <w:tcPr>
            <w:tcW w:w="300" w:type="dxa"/>
            <w:vAlign w:val="bottom"/>
            <w:shd w:val="clear" w:color="auto" w:fill="EAEAEA"/>
          </w:tcPr>
          <w:p>
            <w:pPr>
              <w:spacing w:after="0"/>
              <w:rPr>
                <w:sz w:val="22"/>
                <w:szCs w:val="22"/>
                <w:color w:val="auto"/>
              </w:rPr>
            </w:pPr>
          </w:p>
        </w:tc>
        <w:tc>
          <w:tcPr>
            <w:tcW w:w="9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360" w:type="dxa"/>
            <w:vAlign w:val="bottom"/>
            <w:tcBorders>
              <w:top w:val="single" w:sz="8" w:color="EAEAEA"/>
              <w:bottom w:val="single" w:sz="8" w:color="EAEAEA"/>
            </w:tcBorders>
          </w:tcPr>
          <w:p>
            <w:pPr>
              <w:spacing w:after="0" w:line="219" w:lineRule="exact"/>
              <w:rPr>
                <w:sz w:val="20"/>
                <w:szCs w:val="20"/>
                <w:color w:val="auto"/>
              </w:rPr>
            </w:pPr>
            <w:r>
              <w:rPr>
                <w:rFonts w:ascii="Times New Roman" w:cs="Times New Roman" w:eastAsia="Times New Roman" w:hAnsi="Times New Roman"/>
                <w:sz w:val="20"/>
                <w:szCs w:val="20"/>
                <w:color w:val="auto"/>
              </w:rPr>
              <w:t>Comprehensive loss</w:t>
            </w:r>
          </w:p>
        </w:tc>
        <w:tc>
          <w:tcPr>
            <w:tcW w:w="360" w:type="dxa"/>
            <w:vAlign w:val="bottom"/>
            <w:tcBorders>
              <w:top w:val="single" w:sz="8" w:color="EAEAEA"/>
              <w:bottom w:val="single" w:sz="8" w:color="EAEAEA"/>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(61,797)</w:t>
            </w:r>
          </w:p>
        </w:tc>
        <w:tc>
          <w:tcPr>
            <w:tcW w:w="160" w:type="dxa"/>
            <w:vAlign w:val="bottom"/>
            <w:tcBorders>
              <w:top w:val="single" w:sz="8" w:color="EAEAEA"/>
              <w:bottom w:val="single" w:sz="8" w:color="EAEAEA"/>
            </w:tcBorders>
          </w:tcPr>
          <w:p>
            <w:pPr>
              <w:spacing w:after="0"/>
              <w:rPr>
                <w:sz w:val="22"/>
                <w:szCs w:val="22"/>
                <w:color w:val="auto"/>
              </w:rPr>
            </w:pPr>
          </w:p>
        </w:tc>
        <w:tc>
          <w:tcPr>
            <w:tcW w:w="80" w:type="dxa"/>
            <w:vAlign w:val="bottom"/>
            <w:tcBorders>
              <w:top w:val="single" w:sz="8" w:color="EAEAEA"/>
              <w:bottom w:val="single" w:sz="8" w:color="EAEAEA"/>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(138,426)</w:t>
            </w:r>
          </w:p>
        </w:tc>
        <w:tc>
          <w:tcPr>
            <w:tcW w:w="140" w:type="dxa"/>
            <w:vAlign w:val="bottom"/>
            <w:tcBorders>
              <w:top w:val="single" w:sz="8" w:color="EAEAEA"/>
              <w:bottom w:val="single" w:sz="8" w:color="EAEAEA"/>
            </w:tcBorders>
          </w:tcPr>
          <w:p>
            <w:pPr>
              <w:spacing w:after="0"/>
              <w:rPr>
                <w:sz w:val="22"/>
                <w:szCs w:val="22"/>
                <w:color w:val="auto"/>
              </w:rPr>
            </w:pPr>
          </w:p>
        </w:tc>
        <w:tc>
          <w:tcPr>
            <w:tcW w:w="80" w:type="dxa"/>
            <w:vAlign w:val="bottom"/>
            <w:tcBorders>
              <w:top w:val="single" w:sz="8" w:color="EAEAEA"/>
              <w:bottom w:val="single" w:sz="8" w:color="EAEAEA"/>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(117,254)</w:t>
            </w:r>
          </w:p>
        </w:tc>
        <w:tc>
          <w:tcPr>
            <w:tcW w:w="80" w:type="dxa"/>
            <w:vAlign w:val="bottom"/>
            <w:tcBorders>
              <w:top w:val="single" w:sz="8" w:color="EAEAEA"/>
              <w:bottom w:val="single" w:sz="8" w:color="EAEAEA"/>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36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loss per common share, basic and diluted</w:t>
            </w:r>
          </w:p>
        </w:tc>
        <w:tc>
          <w:tcPr>
            <w:tcW w:w="360" w:type="dxa"/>
            <w:vAlign w:val="bottom"/>
            <w:tcBorders>
              <w:bottom w:val="single" w:sz="8" w:color="EAEAEA"/>
            </w:tcBorders>
            <w:shd w:val="clear" w:color="auto" w:fill="EAEAEA"/>
          </w:tcPr>
          <w:p>
            <w:pPr>
              <w:spacing w:after="0"/>
              <w:rPr>
                <w:sz w:val="21"/>
                <w:szCs w:val="21"/>
                <w:color w:val="auto"/>
              </w:rPr>
            </w:pPr>
          </w:p>
        </w:tc>
        <w:tc>
          <w:tcPr>
            <w:tcW w:w="220" w:type="dxa"/>
            <w:vAlign w:val="bottom"/>
            <w:tcBorders>
              <w:bottom w:val="single" w:sz="8" w:color="auto"/>
            </w:tcBorders>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16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220" w:type="dxa"/>
            <w:vAlign w:val="bottom"/>
            <w:tcBorders>
              <w:bottom w:val="single" w:sz="8" w:color="auto"/>
            </w:tcBorders>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140" w:type="dxa"/>
            <w:vAlign w:val="bottom"/>
            <w:tcBorders>
              <w:bottom w:val="single" w:sz="8" w:color="EAEAEA"/>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300" w:type="dxa"/>
            <w:vAlign w:val="bottom"/>
            <w:tcBorders>
              <w:bottom w:val="single" w:sz="8" w:color="auto"/>
            </w:tcBorders>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number of common shares used to compute</w:t>
            </w: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3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basic and diluted net loss per common share</w:t>
            </w:r>
          </w:p>
        </w:tc>
        <w:tc>
          <w:tcPr>
            <w:tcW w:w="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52,228,068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36,105,671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34,106,923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-2655570</wp:posOffset>
            </wp:positionV>
            <wp:extent cx="275590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2755900" cy="3810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080"/>
          </w:cols>
          <w:pgMar w:left="1080" w:top="1056" w:right="1080" w:bottom="175"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Biomea Fusion,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Statements of Stockholders’ Equity (Deficit)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share data)</w:t>
      </w:r>
    </w:p>
    <w:p>
      <w:pPr>
        <w:sectPr>
          <w:pgSz w:w="15840" w:h="12240" w:orient="landscape"/>
          <w:cols w:equalWidth="0" w:num="1">
            <w:col w:w="13680"/>
          </w:cols>
          <w:pgMar w:left="1080" w:top="678" w:right="1080" w:bottom="0" w:gutter="0" w:footer="0" w:header="0"/>
        </w:sect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Borders>
              <w:bottom w:val="single" w:sz="8" w:color="auto"/>
            </w:tcBorders>
            <w:gridSpan w:val="7"/>
          </w:tcPr>
          <w:p>
            <w:pPr>
              <w:ind w:left="780"/>
              <w:spacing w:after="0"/>
              <w:rPr>
                <w:sz w:val="20"/>
                <w:szCs w:val="20"/>
                <w:color w:val="auto"/>
              </w:rPr>
            </w:pPr>
            <w:r>
              <w:rPr>
                <w:rFonts w:ascii="Times New Roman" w:cs="Times New Roman" w:eastAsia="Times New Roman" w:hAnsi="Times New Roman"/>
                <w:sz w:val="17"/>
                <w:szCs w:val="17"/>
                <w:b w:val="1"/>
                <w:bCs w:val="1"/>
                <w:color w:val="auto"/>
              </w:rPr>
              <w:t>Common Stock</w:t>
            </w:r>
          </w:p>
        </w:tc>
      </w:tr>
      <w:tr>
        <w:trPr>
          <w:trHeight w:val="238"/>
        </w:trPr>
        <w:tc>
          <w:tcPr>
            <w:tcW w:w="368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4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20" w:type="dxa"/>
            <w:vAlign w:val="bottom"/>
            <w:tcBorders>
              <w:bottom w:val="single" w:sz="8" w:color="EAEAEA"/>
            </w:tcBorders>
          </w:tcPr>
          <w:p>
            <w:pPr>
              <w:spacing w:after="0"/>
              <w:rPr>
                <w:sz w:val="20"/>
                <w:szCs w:val="20"/>
                <w:color w:val="auto"/>
              </w:rPr>
            </w:pPr>
          </w:p>
        </w:tc>
        <w:tc>
          <w:tcPr>
            <w:tcW w:w="13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21"/>
        </w:trPr>
        <w:tc>
          <w:tcPr>
            <w:tcW w:w="3780" w:type="dxa"/>
            <w:vAlign w:val="bottom"/>
            <w:gridSpan w:val="6"/>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29,561,554</w:t>
            </w:r>
          </w:p>
        </w:tc>
        <w:tc>
          <w:tcPr>
            <w:tcW w:w="2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2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r>
      <w:tr>
        <w:trPr>
          <w:trHeight w:val="184"/>
        </w:trPr>
        <w:tc>
          <w:tcPr>
            <w:tcW w:w="3760" w:type="dxa"/>
            <w:vAlign w:val="bottom"/>
            <w:gridSpan w:val="5"/>
          </w:tcPr>
          <w:p>
            <w:pPr>
              <w:ind w:left="200"/>
              <w:spacing w:after="0" w:line="183" w:lineRule="exact"/>
              <w:rPr>
                <w:sz w:val="20"/>
                <w:szCs w:val="20"/>
                <w:color w:val="auto"/>
              </w:rPr>
            </w:pPr>
            <w:r>
              <w:rPr>
                <w:rFonts w:ascii="Times New Roman" w:cs="Times New Roman" w:eastAsia="Times New Roman" w:hAnsi="Times New Roman"/>
                <w:sz w:val="18"/>
                <w:szCs w:val="18"/>
                <w:color w:val="auto"/>
              </w:rPr>
              <w:t>Issuance of restricted stock</w:t>
            </w:r>
          </w:p>
        </w:tc>
        <w:tc>
          <w:tcPr>
            <w:tcW w:w="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180,316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r>
      <w:tr>
        <w:trPr>
          <w:trHeight w:val="221"/>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37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from public offering,</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37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net of issuance costs of $10,697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Purchases under employee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7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249,548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Unrealized gain on</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7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investments,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3740" w:type="dxa"/>
            <w:vAlign w:val="bottom"/>
            <w:tcBorders>
              <w:top w:val="single" w:sz="8" w:color="EAEAEA"/>
            </w:tcBorders>
            <w:gridSpan w:val="4"/>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40" w:type="dxa"/>
            <w:vAlign w:val="bottom"/>
            <w:tcBorders>
              <w:top w:val="single" w:sz="8" w:color="auto"/>
            </w:tcBorders>
            <w:gridSpan w:val="2"/>
            <w:shd w:val="clear" w:color="auto" w:fill="EAEAEA"/>
          </w:tcPr>
          <w:p>
            <w:pPr>
              <w:spacing w:after="0"/>
              <w:rPr>
                <w:sz w:val="19"/>
                <w:szCs w:val="19"/>
                <w:color w:val="auto"/>
              </w:rPr>
            </w:pPr>
          </w:p>
        </w:tc>
        <w:tc>
          <w:tcPr>
            <w:tcW w:w="122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35,866,610</w:t>
            </w:r>
          </w:p>
        </w:tc>
        <w:tc>
          <w:tcPr>
            <w:tcW w:w="240" w:type="dxa"/>
            <w:vAlign w:val="bottom"/>
            <w:tcBorders>
              <w:top w:val="single" w:sz="8" w:color="EAEAEA"/>
            </w:tcBorders>
            <w:shd w:val="clear" w:color="auto" w:fill="EAEAEA"/>
          </w:tcPr>
          <w:p>
            <w:pPr>
              <w:spacing w:after="0"/>
              <w:rPr>
                <w:sz w:val="19"/>
                <w:szCs w:val="19"/>
                <w:color w:val="auto"/>
              </w:rPr>
            </w:pPr>
          </w:p>
        </w:tc>
        <w:tc>
          <w:tcPr>
            <w:tcW w:w="20" w:type="dxa"/>
            <w:vAlign w:val="bottom"/>
            <w:tcBorders>
              <w:top w:val="single" w:sz="8" w:color="EAEAEA"/>
            </w:tcBorders>
            <w:shd w:val="clear" w:color="auto" w:fill="EAEAEA"/>
          </w:tcPr>
          <w:p>
            <w:pPr>
              <w:spacing w:after="0"/>
              <w:rPr>
                <w:sz w:val="19"/>
                <w:szCs w:val="19"/>
                <w:color w:val="auto"/>
              </w:rPr>
            </w:pPr>
          </w:p>
        </w:tc>
        <w:tc>
          <w:tcPr>
            <w:tcW w:w="20" w:type="dxa"/>
            <w:vAlign w:val="bottom"/>
            <w:tcBorders>
              <w:top w:val="single" w:sz="8" w:color="auto"/>
            </w:tcBorders>
            <w:shd w:val="clear" w:color="auto" w:fill="EAEAEA"/>
          </w:tcPr>
          <w:p>
            <w:pPr>
              <w:spacing w:after="0"/>
              <w:rPr>
                <w:sz w:val="19"/>
                <w:szCs w:val="19"/>
                <w:color w:val="auto"/>
              </w:rPr>
            </w:pPr>
          </w:p>
        </w:tc>
        <w:tc>
          <w:tcPr>
            <w:tcW w:w="128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top w:val="single" w:sz="8" w:color="auto"/>
            </w:tcBorders>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r>
      <w:tr>
        <w:trPr>
          <w:trHeight w:val="184"/>
        </w:trPr>
        <w:tc>
          <w:tcPr>
            <w:tcW w:w="3720" w:type="dxa"/>
            <w:vAlign w:val="bottom"/>
            <w:gridSpan w:val="3"/>
          </w:tcPr>
          <w:p>
            <w:pPr>
              <w:ind w:left="200"/>
              <w:spacing w:after="0" w:line="183" w:lineRule="exact"/>
              <w:rPr>
                <w:sz w:val="20"/>
                <w:szCs w:val="20"/>
                <w:color w:val="auto"/>
              </w:rPr>
            </w:pPr>
            <w:r>
              <w:rPr>
                <w:rFonts w:ascii="Times New Roman" w:cs="Times New Roman" w:eastAsia="Times New Roman" w:hAnsi="Times New Roman"/>
                <w:sz w:val="18"/>
                <w:szCs w:val="18"/>
                <w:color w:val="auto"/>
              </w:rPr>
              <w:t>Issuance of restricted stock</w:t>
            </w:r>
          </w:p>
        </w:tc>
        <w:tc>
          <w:tcPr>
            <w:tcW w:w="60" w:type="dxa"/>
            <w:vAlign w:val="bottom"/>
            <w:tcBorders>
              <w:top w:val="single" w:sz="8" w:color="auto"/>
            </w:tcBorders>
            <w:gridSpan w:val="3"/>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109,356</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5"/>
                <w:szCs w:val="15"/>
                <w:color w:val="auto"/>
              </w:rPr>
            </w:pPr>
          </w:p>
        </w:tc>
      </w:tr>
      <w:tr>
        <w:trPr>
          <w:trHeight w:val="221"/>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Purchases under employee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7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700" w:type="dxa"/>
            <w:vAlign w:val="bottom"/>
            <w:tcBorders>
              <w:top w:val="single" w:sz="8" w:color="EAEAEA"/>
            </w:tcBorders>
            <w:gridSpan w:val="2"/>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80" w:type="dxa"/>
            <w:vAlign w:val="bottom"/>
            <w:tcBorders>
              <w:top w:val="single" w:sz="8" w:color="auto"/>
            </w:tcBorders>
            <w:gridSpan w:val="4"/>
            <w:shd w:val="clear" w:color="auto" w:fill="EAEAEA"/>
          </w:tcPr>
          <w:p>
            <w:pPr>
              <w:spacing w:after="0"/>
              <w:rPr>
                <w:sz w:val="20"/>
                <w:szCs w:val="20"/>
                <w:color w:val="auto"/>
              </w:rPr>
            </w:pPr>
          </w:p>
        </w:tc>
        <w:tc>
          <w:tcPr>
            <w:tcW w:w="122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36,310,713</w:t>
            </w:r>
          </w:p>
        </w:tc>
        <w:tc>
          <w:tcPr>
            <w:tcW w:w="240" w:type="dxa"/>
            <w:vAlign w:val="bottom"/>
            <w:tcBorders>
              <w:top w:val="single" w:sz="8" w:color="EAEAEA"/>
            </w:tcBorders>
            <w:shd w:val="clear" w:color="auto" w:fill="EAEAEA"/>
          </w:tcPr>
          <w:p>
            <w:pPr>
              <w:spacing w:after="0"/>
              <w:rPr>
                <w:sz w:val="20"/>
                <w:szCs w:val="20"/>
                <w:color w:val="auto"/>
              </w:rPr>
            </w:pPr>
          </w:p>
        </w:tc>
        <w:tc>
          <w:tcPr>
            <w:tcW w:w="20" w:type="dxa"/>
            <w:vAlign w:val="bottom"/>
            <w:tcBorders>
              <w:top w:val="single" w:sz="8" w:color="auto"/>
            </w:tcBorders>
            <w:shd w:val="clear" w:color="auto" w:fill="EAEAEA"/>
          </w:tcPr>
          <w:p>
            <w:pPr>
              <w:spacing w:after="0"/>
              <w:rPr>
                <w:sz w:val="20"/>
                <w:szCs w:val="20"/>
                <w:color w:val="auto"/>
              </w:rPr>
            </w:pPr>
          </w:p>
        </w:tc>
        <w:tc>
          <w:tcPr>
            <w:tcW w:w="20" w:type="dxa"/>
            <w:vAlign w:val="bottom"/>
            <w:tcBorders>
              <w:top w:val="single" w:sz="8" w:color="auto"/>
            </w:tcBorders>
            <w:shd w:val="clear" w:color="auto" w:fill="EAEAEA"/>
          </w:tcPr>
          <w:p>
            <w:pPr>
              <w:spacing w:after="0"/>
              <w:rPr>
                <w:sz w:val="20"/>
                <w:szCs w:val="20"/>
                <w:color w:val="auto"/>
              </w:rPr>
            </w:pPr>
          </w:p>
        </w:tc>
        <w:tc>
          <w:tcPr>
            <w:tcW w:w="128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r>
      <w:tr>
        <w:trPr>
          <w:trHeight w:val="157"/>
        </w:trPr>
        <w:tc>
          <w:tcPr>
            <w:tcW w:w="3680" w:type="dxa"/>
            <w:vAlign w:val="bottom"/>
            <w:tcBorders>
              <w:top w:val="single" w:sz="8" w:color="EAEAEA"/>
            </w:tcBorders>
          </w:tcPr>
          <w:p>
            <w:pPr>
              <w:ind w:left="200"/>
              <w:spacing w:after="0" w:line="157" w:lineRule="exact"/>
              <w:rPr>
                <w:sz w:val="20"/>
                <w:szCs w:val="20"/>
                <w:color w:val="auto"/>
              </w:rPr>
            </w:pPr>
            <w:r>
              <w:rPr>
                <w:rFonts w:ascii="Times New Roman" w:cs="Times New Roman" w:eastAsia="Times New Roman" w:hAnsi="Times New Roman"/>
                <w:sz w:val="18"/>
                <w:szCs w:val="18"/>
                <w:color w:val="auto"/>
              </w:rPr>
              <w:t>Issuances of common stock under at the</w:t>
            </w:r>
          </w:p>
        </w:tc>
        <w:tc>
          <w:tcPr>
            <w:tcW w:w="100" w:type="dxa"/>
            <w:vAlign w:val="bottom"/>
            <w:tcBorders>
              <w:top w:val="single" w:sz="8" w:color="auto"/>
            </w:tcBorders>
            <w:gridSpan w:val="5"/>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Borders>
              <w:top w:val="single" w:sz="8" w:color="EAEAEA"/>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0" w:type="dxa"/>
            <w:vAlign w:val="bottom"/>
            <w:tcBorders>
              <w:top w:val="single" w:sz="8" w:color="EAEAEA"/>
            </w:tcBorders>
          </w:tcPr>
          <w:p>
            <w:pPr>
              <w:spacing w:after="0"/>
              <w:rPr>
                <w:sz w:val="13"/>
                <w:szCs w:val="13"/>
                <w:color w:val="auto"/>
              </w:rPr>
            </w:pPr>
          </w:p>
        </w:tc>
        <w:tc>
          <w:tcPr>
            <w:tcW w:w="20" w:type="dxa"/>
            <w:vAlign w:val="bottom"/>
            <w:tcBorders>
              <w:top w:val="single" w:sz="8" w:color="EAEAEA"/>
            </w:tcBorders>
          </w:tcPr>
          <w:p>
            <w:pPr>
              <w:spacing w:after="0"/>
              <w:rPr>
                <w:sz w:val="13"/>
                <w:szCs w:val="13"/>
                <w:color w:val="auto"/>
              </w:rPr>
            </w:pPr>
          </w:p>
        </w:tc>
      </w:tr>
      <w:tr>
        <w:trPr>
          <w:trHeight w:val="207"/>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market equity offering program, net of</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issuance costs of $134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2,271,122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Issuance of common stock and pre-funded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warrants under the public offerings, net of</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issuance costs of $4,924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32,026,383</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Purchases under employee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7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 pre-funded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warrant exercises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1,549,860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37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7"/>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20" w:type="dxa"/>
            <w:vAlign w:val="bottom"/>
          </w:tcPr>
          <w:p>
            <w:pPr>
              <w:jc w:val="right"/>
              <w:ind w:right="191"/>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60" w:type="dxa"/>
            <w:vAlign w:val="bottom"/>
          </w:tcPr>
          <w:p>
            <w:pPr>
              <w:spacing w:after="0"/>
              <w:rPr>
                <w:sz w:val="17"/>
                <w:szCs w:val="17"/>
                <w:color w:val="auto"/>
              </w:rPr>
            </w:pPr>
          </w:p>
        </w:tc>
        <w:tc>
          <w:tcPr>
            <w:tcW w:w="1820" w:type="dxa"/>
            <w:vAlign w:val="bottom"/>
            <w:gridSpan w:val="7"/>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33"/>
        </w:trPr>
        <w:tc>
          <w:tcPr>
            <w:tcW w:w="1320" w:type="dxa"/>
            <w:vAlign w:val="bottom"/>
          </w:tcPr>
          <w:p>
            <w:pPr>
              <w:jc w:val="right"/>
              <w:ind w:right="311"/>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260" w:type="dxa"/>
            <w:vAlign w:val="bottom"/>
          </w:tcPr>
          <w:p>
            <w:pPr>
              <w:spacing w:after="0"/>
              <w:rPr>
                <w:sz w:val="20"/>
                <w:szCs w:val="20"/>
                <w:color w:val="auto"/>
              </w:rPr>
            </w:pPr>
          </w:p>
        </w:tc>
        <w:tc>
          <w:tcPr>
            <w:tcW w:w="1820" w:type="dxa"/>
            <w:vAlign w:val="bottom"/>
            <w:gridSpan w:val="7"/>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620" w:type="dxa"/>
            <w:vAlign w:val="bottom"/>
            <w:gridSpan w:val="7"/>
          </w:tcPr>
          <w:p>
            <w:pPr>
              <w:ind w:left="1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840" w:type="dxa"/>
            <w:vAlign w:val="bottom"/>
            <w:gridSpan w:val="4"/>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Stockholders'</w:t>
            </w:r>
          </w:p>
        </w:tc>
      </w:tr>
      <w:tr>
        <w:trPr>
          <w:trHeight w:val="253"/>
        </w:trPr>
        <w:tc>
          <w:tcPr>
            <w:tcW w:w="13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60" w:type="dxa"/>
            <w:vAlign w:val="bottom"/>
            <w:tcBorders>
              <w:bottom w:val="single" w:sz="8" w:color="EAEAEA"/>
            </w:tcBorders>
          </w:tcPr>
          <w:p>
            <w:pPr>
              <w:spacing w:after="0"/>
              <w:rPr>
                <w:sz w:val="21"/>
                <w:szCs w:val="21"/>
                <w:color w:val="auto"/>
              </w:rPr>
            </w:pPr>
          </w:p>
        </w:tc>
        <w:tc>
          <w:tcPr>
            <w:tcW w:w="15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Gain (Loss)</w:t>
            </w:r>
          </w:p>
        </w:tc>
        <w:tc>
          <w:tcPr>
            <w:tcW w:w="300" w:type="dxa"/>
            <w:vAlign w:val="bottom"/>
            <w:gridSpan w:val="3"/>
          </w:tcPr>
          <w:p>
            <w:pPr>
              <w:spacing w:after="0"/>
              <w:rPr>
                <w:sz w:val="21"/>
                <w:szCs w:val="21"/>
                <w:color w:val="auto"/>
              </w:rPr>
            </w:pPr>
          </w:p>
        </w:tc>
        <w:tc>
          <w:tcPr>
            <w:tcW w:w="13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300" w:type="dxa"/>
            <w:vAlign w:val="bottom"/>
            <w:tcBorders>
              <w:bottom w:val="single" w:sz="8" w:color="EAEAEA"/>
            </w:tcBorders>
            <w:gridSpan w:val="3"/>
          </w:tcPr>
          <w:p>
            <w:pPr>
              <w:spacing w:after="0"/>
              <w:rPr>
                <w:sz w:val="21"/>
                <w:szCs w:val="21"/>
                <w:color w:val="auto"/>
              </w:rPr>
            </w:pPr>
          </w:p>
        </w:tc>
        <w:tc>
          <w:tcPr>
            <w:tcW w:w="18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Equity (Deficit)</w:t>
            </w:r>
          </w:p>
        </w:tc>
        <w:tc>
          <w:tcPr>
            <w:tcW w:w="40" w:type="dxa"/>
            <w:vAlign w:val="bottom"/>
            <w:tcBorders>
              <w:bottom w:val="single" w:sz="8" w:color="EAEAEA"/>
            </w:tcBorders>
          </w:tcPr>
          <w:p>
            <w:pPr>
              <w:spacing w:after="0"/>
              <w:rPr>
                <w:sz w:val="21"/>
                <w:szCs w:val="21"/>
                <w:color w:val="auto"/>
              </w:rPr>
            </w:pPr>
          </w:p>
        </w:tc>
      </w:tr>
      <w:tr>
        <w:trPr>
          <w:trHeight w:val="221"/>
        </w:trPr>
        <w:tc>
          <w:tcPr>
            <w:tcW w:w="13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240,107</w:t>
            </w:r>
          </w:p>
        </w:tc>
        <w:tc>
          <w:tcPr>
            <w:tcW w:w="260" w:type="dxa"/>
            <w:vAlign w:val="bottom"/>
            <w:tcBorders>
              <w:right w:val="single" w:sz="8" w:color="EAEAEA"/>
            </w:tcBorders>
            <w:shd w:val="clear" w:color="auto" w:fill="EAEAEA"/>
          </w:tcPr>
          <w:p>
            <w:pPr>
              <w:spacing w:after="0"/>
              <w:rPr>
                <w:sz w:val="19"/>
                <w:szCs w:val="19"/>
                <w:color w:val="auto"/>
              </w:rPr>
            </w:pPr>
          </w:p>
        </w:tc>
        <w:tc>
          <w:tcPr>
            <w:tcW w:w="17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4"/>
            <w:shd w:val="clear" w:color="auto" w:fill="EAEAEA"/>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(131,570)</w:t>
            </w:r>
          </w:p>
        </w:tc>
        <w:tc>
          <w:tcPr>
            <w:tcW w:w="2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7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108,539</w:t>
            </w:r>
          </w:p>
        </w:tc>
        <w:tc>
          <w:tcPr>
            <w:tcW w:w="2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r>
      <w:tr>
        <w:trPr>
          <w:trHeight w:val="184"/>
        </w:trPr>
        <w:tc>
          <w:tcPr>
            <w:tcW w:w="13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500" w:type="dxa"/>
            <w:vAlign w:val="bottom"/>
            <w:tcBorders>
              <w:top w:val="single" w:sz="8" w:color="auto"/>
            </w:tcBorders>
            <w:gridSpan w:val="3"/>
          </w:tcPr>
          <w:p>
            <w:pPr>
              <w:jc w:val="right"/>
              <w:ind w:right="60"/>
              <w:spacing w:after="0" w:line="18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auto"/>
            </w:tcBorders>
            <w:gridSpan w:val="3"/>
          </w:tcPr>
          <w:p>
            <w:pPr>
              <w:jc w:val="right"/>
              <w:ind w:right="60"/>
              <w:spacing w:after="0" w:line="18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2"/>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60" w:type="dxa"/>
            <w:vAlign w:val="bottom"/>
          </w:tcPr>
          <w:p>
            <w:pPr>
              <w:spacing w:after="0"/>
              <w:rPr>
                <w:sz w:val="20"/>
                <w:szCs w:val="20"/>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5"/>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161,802</w:t>
            </w:r>
          </w:p>
        </w:tc>
        <w:tc>
          <w:tcPr>
            <w:tcW w:w="260" w:type="dxa"/>
            <w:vAlign w:val="bottom"/>
          </w:tcPr>
          <w:p>
            <w:pPr>
              <w:spacing w:after="0"/>
              <w:rPr>
                <w:sz w:val="24"/>
                <w:szCs w:val="24"/>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60" w:type="dxa"/>
            <w:vAlign w:val="bottom"/>
          </w:tcPr>
          <w:p>
            <w:pPr>
              <w:spacing w:after="0"/>
              <w:rPr>
                <w:sz w:val="24"/>
                <w:szCs w:val="24"/>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14,131</w:t>
            </w:r>
          </w:p>
        </w:tc>
        <w:tc>
          <w:tcPr>
            <w:tcW w:w="260" w:type="dxa"/>
            <w:vAlign w:val="bottom"/>
          </w:tcPr>
          <w:p>
            <w:pPr>
              <w:spacing w:after="0"/>
              <w:rPr>
                <w:sz w:val="20"/>
                <w:szCs w:val="20"/>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(117,255)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(117,255)</w:t>
            </w:r>
          </w:p>
        </w:tc>
      </w:tr>
      <w:tr>
        <w:trPr>
          <w:trHeight w:val="221"/>
        </w:trPr>
        <w:tc>
          <w:tcPr>
            <w:tcW w:w="13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418,058</w:t>
            </w:r>
          </w:p>
        </w:tc>
        <w:tc>
          <w:tcPr>
            <w:tcW w:w="260" w:type="dxa"/>
            <w:vAlign w:val="bottom"/>
            <w:tcBorders>
              <w:top w:val="single" w:sz="8" w:color="EAEAEA"/>
              <w:right w:val="single" w:sz="8" w:color="EAEAEA"/>
            </w:tcBorders>
            <w:shd w:val="clear" w:color="auto" w:fill="EAEAEA"/>
          </w:tcPr>
          <w:p>
            <w:pPr>
              <w:spacing w:after="0"/>
              <w:rPr>
                <w:sz w:val="19"/>
                <w:szCs w:val="19"/>
                <w:color w:val="auto"/>
              </w:rPr>
            </w:pPr>
          </w:p>
        </w:tc>
        <w:tc>
          <w:tcPr>
            <w:tcW w:w="1500" w:type="dxa"/>
            <w:vAlign w:val="bottom"/>
            <w:tcBorders>
              <w:top w:val="single" w:sz="8" w:color="auto"/>
            </w:tcBorders>
            <w:gridSpan w:val="3"/>
            <w:shd w:val="clear" w:color="auto" w:fill="EAEAEA"/>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EAEAEA"/>
          </w:tcPr>
          <w:p>
            <w:pPr>
              <w:spacing w:after="0"/>
              <w:rPr>
                <w:sz w:val="19"/>
                <w:szCs w:val="19"/>
                <w:color w:val="auto"/>
              </w:rPr>
            </w:pPr>
          </w:p>
        </w:tc>
        <w:tc>
          <w:tcPr>
            <w:tcW w:w="260" w:type="dxa"/>
            <w:vAlign w:val="bottom"/>
            <w:tcBorders>
              <w:top w:val="single" w:sz="8" w:color="EAEAEA"/>
            </w:tcBorders>
            <w:shd w:val="clear" w:color="auto" w:fill="EAEAEA"/>
          </w:tcPr>
          <w:p>
            <w:pPr>
              <w:spacing w:after="0"/>
              <w:rPr>
                <w:sz w:val="19"/>
                <w:szCs w:val="19"/>
                <w:color w:val="auto"/>
              </w:rPr>
            </w:pPr>
          </w:p>
        </w:tc>
        <w:tc>
          <w:tcPr>
            <w:tcW w:w="20" w:type="dxa"/>
            <w:vAlign w:val="bottom"/>
            <w:tcBorders>
              <w:top w:val="single" w:sz="8" w:color="EAEAEA"/>
            </w:tcBorders>
            <w:shd w:val="clear" w:color="auto" w:fill="EAEAEA"/>
          </w:tcPr>
          <w:p>
            <w:pPr>
              <w:spacing w:after="0"/>
              <w:rPr>
                <w:sz w:val="19"/>
                <w:szCs w:val="19"/>
                <w:color w:val="auto"/>
              </w:rPr>
            </w:pPr>
          </w:p>
        </w:tc>
        <w:tc>
          <w:tcPr>
            <w:tcW w:w="20" w:type="dxa"/>
            <w:vAlign w:val="bottom"/>
            <w:tcBorders>
              <w:top w:val="single" w:sz="8" w:color="auto"/>
            </w:tcBorders>
            <w:shd w:val="clear" w:color="auto" w:fill="EAEAEA"/>
          </w:tcPr>
          <w:p>
            <w:pPr>
              <w:spacing w:after="0"/>
              <w:rPr>
                <w:sz w:val="19"/>
                <w:szCs w:val="19"/>
                <w:color w:val="auto"/>
              </w:rPr>
            </w:pPr>
          </w:p>
        </w:tc>
        <w:tc>
          <w:tcPr>
            <w:tcW w:w="1300" w:type="dxa"/>
            <w:vAlign w:val="bottom"/>
            <w:tcBorders>
              <w:top w:val="single" w:sz="8" w:color="auto"/>
            </w:tcBorders>
            <w:gridSpan w:val="3"/>
            <w:shd w:val="clear" w:color="auto" w:fill="EAEAEA"/>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(248,825)</w:t>
            </w:r>
          </w:p>
        </w:tc>
        <w:tc>
          <w:tcPr>
            <w:tcW w:w="20" w:type="dxa"/>
            <w:vAlign w:val="bottom"/>
            <w:shd w:val="clear" w:color="auto" w:fill="EAEAEA"/>
          </w:tcPr>
          <w:p>
            <w:pPr>
              <w:spacing w:after="0"/>
              <w:rPr>
                <w:sz w:val="19"/>
                <w:szCs w:val="19"/>
                <w:color w:val="auto"/>
              </w:rPr>
            </w:pPr>
          </w:p>
        </w:tc>
        <w:tc>
          <w:tcPr>
            <w:tcW w:w="260" w:type="dxa"/>
            <w:vAlign w:val="bottom"/>
            <w:tcBorders>
              <w:top w:val="single" w:sz="8" w:color="EAEAEA"/>
            </w:tcBorders>
            <w:shd w:val="clear" w:color="auto" w:fill="EAEAEA"/>
          </w:tcPr>
          <w:p>
            <w:pPr>
              <w:spacing w:after="0"/>
              <w:rPr>
                <w:sz w:val="19"/>
                <w:szCs w:val="19"/>
                <w:color w:val="auto"/>
              </w:rPr>
            </w:pPr>
          </w:p>
        </w:tc>
        <w:tc>
          <w:tcPr>
            <w:tcW w:w="20" w:type="dxa"/>
            <w:vAlign w:val="bottom"/>
            <w:tcBorders>
              <w:top w:val="single" w:sz="8" w:color="EAEAEA"/>
            </w:tcBorders>
            <w:shd w:val="clear" w:color="auto" w:fill="EAEAEA"/>
          </w:tcPr>
          <w:p>
            <w:pPr>
              <w:spacing w:after="0"/>
              <w:rPr>
                <w:sz w:val="19"/>
                <w:szCs w:val="19"/>
                <w:color w:val="auto"/>
              </w:rPr>
            </w:pPr>
          </w:p>
        </w:tc>
        <w:tc>
          <w:tcPr>
            <w:tcW w:w="20" w:type="dxa"/>
            <w:vAlign w:val="bottom"/>
            <w:tcBorders>
              <w:top w:val="single" w:sz="8" w:color="auto"/>
            </w:tcBorders>
            <w:shd w:val="clear" w:color="auto" w:fill="EAEAEA"/>
          </w:tcPr>
          <w:p>
            <w:pPr>
              <w:spacing w:after="0"/>
              <w:rPr>
                <w:sz w:val="19"/>
                <w:szCs w:val="19"/>
                <w:color w:val="auto"/>
              </w:rPr>
            </w:pPr>
          </w:p>
        </w:tc>
        <w:tc>
          <w:tcPr>
            <w:tcW w:w="176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169,237</w:t>
            </w:r>
          </w:p>
        </w:tc>
        <w:tc>
          <w:tcPr>
            <w:tcW w:w="20" w:type="dxa"/>
            <w:vAlign w:val="bottom"/>
            <w:tcBorders>
              <w:top w:val="single" w:sz="8" w:color="auto"/>
            </w:tcBorders>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40" w:type="dxa"/>
            <w:vAlign w:val="bottom"/>
            <w:tcBorders>
              <w:top w:val="single" w:sz="8" w:color="EAEAEA"/>
            </w:tcBorders>
            <w:shd w:val="clear" w:color="auto" w:fill="EAEAEA"/>
          </w:tcPr>
          <w:p>
            <w:pPr>
              <w:spacing w:after="0"/>
              <w:rPr>
                <w:sz w:val="19"/>
                <w:szCs w:val="19"/>
                <w:color w:val="auto"/>
              </w:rPr>
            </w:pPr>
          </w:p>
        </w:tc>
      </w:tr>
      <w:tr>
        <w:trPr>
          <w:trHeight w:val="184"/>
        </w:trPr>
        <w:tc>
          <w:tcPr>
            <w:tcW w:w="13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480" w:type="dxa"/>
            <w:vAlign w:val="bottom"/>
            <w:tcBorders>
              <w:top w:val="single" w:sz="8" w:color="auto"/>
            </w:tcBorders>
            <w:gridSpan w:val="2"/>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r>
      <w:tr>
        <w:trPr>
          <w:trHeight w:val="24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Pr>
          <w:p>
            <w:pPr>
              <w:spacing w:after="0"/>
              <w:rPr>
                <w:sz w:val="20"/>
                <w:szCs w:val="20"/>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tcPr>
          <w:p>
            <w:pPr>
              <w:spacing w:after="0"/>
              <w:rPr>
                <w:sz w:val="24"/>
                <w:szCs w:val="24"/>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260" w:type="dxa"/>
            <w:vAlign w:val="bottom"/>
          </w:tcPr>
          <w:p>
            <w:pPr>
              <w:spacing w:after="0"/>
              <w:rPr>
                <w:sz w:val="19"/>
                <w:szCs w:val="19"/>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15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(138,426)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(138,426)</w:t>
            </w:r>
          </w:p>
        </w:tc>
      </w:tr>
      <w:tr>
        <w:trPr>
          <w:trHeight w:val="221"/>
        </w:trPr>
        <w:tc>
          <w:tcPr>
            <w:tcW w:w="1320" w:type="dxa"/>
            <w:vAlign w:val="bottom"/>
            <w:tcBorders>
              <w:bottom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438,820</w:t>
            </w:r>
          </w:p>
        </w:tc>
        <w:tc>
          <w:tcPr>
            <w:tcW w:w="260" w:type="dxa"/>
            <w:vAlign w:val="bottom"/>
            <w:tcBorders>
              <w:top w:val="single" w:sz="8" w:color="EAEAEA"/>
              <w:bottom w:val="single" w:sz="8" w:color="EAEAEA"/>
              <w:right w:val="single" w:sz="8" w:color="EAEAEA"/>
            </w:tcBorders>
            <w:shd w:val="clear" w:color="auto" w:fill="EAEAEA"/>
          </w:tcPr>
          <w:p>
            <w:pPr>
              <w:spacing w:after="0"/>
              <w:rPr>
                <w:sz w:val="19"/>
                <w:szCs w:val="19"/>
                <w:color w:val="auto"/>
              </w:rPr>
            </w:pPr>
          </w:p>
        </w:tc>
        <w:tc>
          <w:tcPr>
            <w:tcW w:w="14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gridSpan w:val="2"/>
            <w:shd w:val="clear" w:color="auto" w:fill="EAEAEA"/>
          </w:tcPr>
          <w:p>
            <w:pPr>
              <w:spacing w:after="0"/>
              <w:rPr>
                <w:sz w:val="19"/>
                <w:szCs w:val="19"/>
                <w:color w:val="auto"/>
              </w:rPr>
            </w:pPr>
          </w:p>
        </w:tc>
        <w:tc>
          <w:tcPr>
            <w:tcW w:w="260" w:type="dxa"/>
            <w:vAlign w:val="bottom"/>
            <w:tcBorders>
              <w:top w:val="single" w:sz="8" w:color="EAEAEA"/>
              <w:bottom w:val="single" w:sz="8" w:color="EAEAEA"/>
            </w:tcBorders>
            <w:shd w:val="clear" w:color="auto" w:fill="EAEAEA"/>
          </w:tcPr>
          <w:p>
            <w:pPr>
              <w:spacing w:after="0"/>
              <w:rPr>
                <w:sz w:val="19"/>
                <w:szCs w:val="19"/>
                <w:color w:val="auto"/>
              </w:rPr>
            </w:pPr>
          </w:p>
        </w:tc>
        <w:tc>
          <w:tcPr>
            <w:tcW w:w="20" w:type="dxa"/>
            <w:vAlign w:val="bottom"/>
            <w:tcBorders>
              <w:top w:val="single" w:sz="8" w:color="auto"/>
              <w:bottom w:val="single" w:sz="8" w:color="auto"/>
            </w:tcBorders>
            <w:shd w:val="clear" w:color="auto" w:fill="EAEAEA"/>
          </w:tcPr>
          <w:p>
            <w:pPr>
              <w:spacing w:after="0"/>
              <w:rPr>
                <w:sz w:val="19"/>
                <w:szCs w:val="19"/>
                <w:color w:val="auto"/>
              </w:rPr>
            </w:pPr>
          </w:p>
        </w:tc>
        <w:tc>
          <w:tcPr>
            <w:tcW w:w="20" w:type="dxa"/>
            <w:vAlign w:val="bottom"/>
            <w:tcBorders>
              <w:top w:val="single" w:sz="8" w:color="auto"/>
              <w:bottom w:val="single" w:sz="8" w:color="auto"/>
            </w:tcBorders>
            <w:shd w:val="clear" w:color="auto" w:fill="EAEAEA"/>
          </w:tcPr>
          <w:p>
            <w:pPr>
              <w:spacing w:after="0"/>
              <w:rPr>
                <w:sz w:val="19"/>
                <w:szCs w:val="19"/>
                <w:color w:val="auto"/>
              </w:rPr>
            </w:pPr>
          </w:p>
        </w:tc>
        <w:tc>
          <w:tcPr>
            <w:tcW w:w="12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(387,251)</w:t>
            </w:r>
          </w:p>
        </w:tc>
        <w:tc>
          <w:tcPr>
            <w:tcW w:w="20" w:type="dxa"/>
            <w:vAlign w:val="bottom"/>
            <w:tcBorders>
              <w:top w:val="single" w:sz="8" w:color="auto"/>
              <w:bottom w:val="single" w:sz="8" w:color="EAEAEA"/>
            </w:tcBorders>
            <w:shd w:val="clear" w:color="auto" w:fill="EAEAEA"/>
          </w:tcPr>
          <w:p>
            <w:pPr>
              <w:spacing w:after="0"/>
              <w:rPr>
                <w:sz w:val="19"/>
                <w:szCs w:val="19"/>
                <w:color w:val="auto"/>
              </w:rPr>
            </w:pPr>
          </w:p>
        </w:tc>
        <w:tc>
          <w:tcPr>
            <w:tcW w:w="40" w:type="dxa"/>
            <w:vAlign w:val="bottom"/>
            <w:tcBorders>
              <w:bottom w:val="single" w:sz="8" w:color="EAEAEA"/>
            </w:tcBorders>
            <w:gridSpan w:val="2"/>
            <w:shd w:val="clear" w:color="auto" w:fill="EAEAEA"/>
          </w:tcPr>
          <w:p>
            <w:pPr>
              <w:spacing w:after="0"/>
              <w:rPr>
                <w:sz w:val="19"/>
                <w:szCs w:val="19"/>
                <w:color w:val="auto"/>
              </w:rPr>
            </w:pPr>
          </w:p>
        </w:tc>
        <w:tc>
          <w:tcPr>
            <w:tcW w:w="260" w:type="dxa"/>
            <w:vAlign w:val="bottom"/>
            <w:tcBorders>
              <w:top w:val="single" w:sz="8" w:color="EAEAEA"/>
              <w:bottom w:val="single" w:sz="8" w:color="EAEAEA"/>
            </w:tcBorders>
            <w:shd w:val="clear" w:color="auto" w:fill="EAEAEA"/>
          </w:tcPr>
          <w:p>
            <w:pPr>
              <w:spacing w:after="0"/>
              <w:rPr>
                <w:sz w:val="19"/>
                <w:szCs w:val="19"/>
                <w:color w:val="auto"/>
              </w:rPr>
            </w:pPr>
          </w:p>
        </w:tc>
        <w:tc>
          <w:tcPr>
            <w:tcW w:w="20" w:type="dxa"/>
            <w:vAlign w:val="bottom"/>
            <w:tcBorders>
              <w:top w:val="single" w:sz="8" w:color="auto"/>
              <w:bottom w:val="single" w:sz="8" w:color="auto"/>
            </w:tcBorders>
            <w:shd w:val="clear" w:color="auto" w:fill="EAEAEA"/>
          </w:tcPr>
          <w:p>
            <w:pPr>
              <w:spacing w:after="0"/>
              <w:rPr>
                <w:sz w:val="19"/>
                <w:szCs w:val="19"/>
                <w:color w:val="auto"/>
              </w:rPr>
            </w:pPr>
          </w:p>
        </w:tc>
        <w:tc>
          <w:tcPr>
            <w:tcW w:w="20" w:type="dxa"/>
            <w:vAlign w:val="bottom"/>
            <w:tcBorders>
              <w:top w:val="single" w:sz="8" w:color="auto"/>
              <w:bottom w:val="single" w:sz="8" w:color="auto"/>
            </w:tcBorders>
            <w:shd w:val="clear" w:color="auto" w:fill="EAEAEA"/>
          </w:tcPr>
          <w:p>
            <w:pPr>
              <w:spacing w:after="0"/>
              <w:rPr>
                <w:sz w:val="19"/>
                <w:szCs w:val="19"/>
                <w:color w:val="auto"/>
              </w:rPr>
            </w:pPr>
          </w:p>
        </w:tc>
        <w:tc>
          <w:tcPr>
            <w:tcW w:w="17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b w:val="1"/>
                <w:bCs w:val="1"/>
                <w:color w:val="auto"/>
              </w:rPr>
              <w:t>51,573</w:t>
            </w:r>
          </w:p>
        </w:tc>
        <w:tc>
          <w:tcPr>
            <w:tcW w:w="20" w:type="dxa"/>
            <w:vAlign w:val="bottom"/>
            <w:tcBorders>
              <w:bottom w:val="single" w:sz="8" w:color="EAEAEA"/>
            </w:tcBorders>
            <w:shd w:val="clear" w:color="auto" w:fill="EAEAEA"/>
          </w:tcPr>
          <w:p>
            <w:pPr>
              <w:spacing w:after="0"/>
              <w:rPr>
                <w:sz w:val="19"/>
                <w:szCs w:val="19"/>
                <w:color w:val="auto"/>
              </w:rPr>
            </w:pPr>
          </w:p>
        </w:tc>
        <w:tc>
          <w:tcPr>
            <w:tcW w:w="20" w:type="dxa"/>
            <w:vAlign w:val="bottom"/>
            <w:tcBorders>
              <w:bottom w:val="single" w:sz="8" w:color="EAEAEA"/>
            </w:tcBorders>
            <w:shd w:val="clear" w:color="auto" w:fill="EAEAEA"/>
          </w:tcPr>
          <w:p>
            <w:pPr>
              <w:spacing w:after="0"/>
              <w:rPr>
                <w:sz w:val="19"/>
                <w:szCs w:val="19"/>
                <w:color w:val="auto"/>
              </w:rPr>
            </w:pPr>
          </w:p>
        </w:tc>
        <w:tc>
          <w:tcPr>
            <w:tcW w:w="40" w:type="dxa"/>
            <w:vAlign w:val="bottom"/>
            <w:tcBorders>
              <w:top w:val="single" w:sz="8" w:color="EAEAEA"/>
              <w:bottom w:val="single" w:sz="8" w:color="EAEAEA"/>
            </w:tcBorders>
            <w:shd w:val="clear" w:color="auto" w:fill="EAEAEA"/>
          </w:tcPr>
          <w:p>
            <w:pPr>
              <w:spacing w:after="0"/>
              <w:rPr>
                <w:sz w:val="19"/>
                <w:szCs w:val="19"/>
                <w:color w:val="auto"/>
              </w:rPr>
            </w:pPr>
          </w:p>
        </w:tc>
      </w:tr>
      <w:tr>
        <w:trPr>
          <w:trHeight w:val="617"/>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60" w:type="dxa"/>
            <w:vAlign w:val="bottom"/>
          </w:tcPr>
          <w:p>
            <w:pPr>
              <w:spacing w:after="0"/>
              <w:rPr>
                <w:sz w:val="24"/>
                <w:szCs w:val="24"/>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5"/>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25,186</w:t>
            </w:r>
          </w:p>
        </w:tc>
        <w:tc>
          <w:tcPr>
            <w:tcW w:w="260" w:type="dxa"/>
            <w:vAlign w:val="bottom"/>
          </w:tcPr>
          <w:p>
            <w:pPr>
              <w:spacing w:after="0"/>
              <w:rPr>
                <w:sz w:val="24"/>
                <w:szCs w:val="24"/>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24"/>
                <w:szCs w:val="24"/>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260" w:type="dxa"/>
            <w:vAlign w:val="bottom"/>
          </w:tcPr>
          <w:p>
            <w:pPr>
              <w:spacing w:after="0"/>
              <w:rPr>
                <w:sz w:val="19"/>
                <w:szCs w:val="19"/>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(61,797)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(61,797)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-159385</wp:posOffset>
                </wp:positionH>
                <wp:positionV relativeFrom="paragraph">
                  <wp:posOffset>-4439285</wp:posOffset>
                </wp:positionV>
                <wp:extent cx="158750" cy="14922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0" cy="149225"/>
                        </a:xfrm>
                        <a:prstGeom prst="rect">
                          <a:avLst/>
                        </a:prstGeom>
                        <a:solidFill>
                          <a:srgbClr val="EAEAEA"/>
                        </a:solidFill>
                      </wps:spPr>
                      <wps:bodyPr/>
                    </wps:wsp>
                  </a:graphicData>
                </a:graphic>
              </wp:anchor>
            </w:drawing>
          </mc:Choice>
          <mc:Fallback>
            <w:pict>
              <v:rect id="Shape 18" o:spid="_x0000_s1043" style="position:absolute;margin-left:-12.5499pt;margin-top:-349.5499pt;width:12.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996315</wp:posOffset>
                </wp:positionH>
                <wp:positionV relativeFrom="paragraph">
                  <wp:posOffset>-4429760</wp:posOffset>
                </wp:positionV>
                <wp:extent cx="932815" cy="1397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815" cy="139700"/>
                        </a:xfrm>
                        <a:prstGeom prst="rect">
                          <a:avLst/>
                        </a:prstGeom>
                        <a:solidFill>
                          <a:srgbClr val="EAEAEA"/>
                        </a:solidFill>
                      </wps:spPr>
                      <wps:bodyPr/>
                    </wps:wsp>
                  </a:graphicData>
                </a:graphic>
              </wp:anchor>
            </w:drawing>
          </mc:Choice>
          <mc:Fallback>
            <w:pict>
              <v:rect id="Shape 19" o:spid="_x0000_s1044" style="position:absolute;margin-left:78.45pt;margin-top:-348.7999pt;width:73.4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1929130</wp:posOffset>
                </wp:positionH>
                <wp:positionV relativeFrom="paragraph">
                  <wp:posOffset>-4439285</wp:posOffset>
                </wp:positionV>
                <wp:extent cx="203835" cy="14922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835" cy="149225"/>
                        </a:xfrm>
                        <a:prstGeom prst="rect">
                          <a:avLst/>
                        </a:prstGeom>
                        <a:solidFill>
                          <a:srgbClr val="EAEAEA"/>
                        </a:solidFill>
                      </wps:spPr>
                      <wps:bodyPr/>
                    </wps:wsp>
                  </a:graphicData>
                </a:graphic>
              </wp:anchor>
            </w:drawing>
          </mc:Choice>
          <mc:Fallback>
            <w:pict>
              <v:rect id="Shape 20" o:spid="_x0000_s1045" style="position:absolute;margin-left:151.9pt;margin-top:-349.5499pt;width:16.0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-4330065</wp:posOffset>
                </wp:positionH>
                <wp:positionV relativeFrom="paragraph">
                  <wp:posOffset>-4140200</wp:posOffset>
                </wp:positionV>
                <wp:extent cx="8685530" cy="14033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5530" cy="140335"/>
                        </a:xfrm>
                        <a:prstGeom prst="rect">
                          <a:avLst/>
                        </a:prstGeom>
                        <a:solidFill>
                          <a:srgbClr val="EAEAEA"/>
                        </a:solidFill>
                      </wps:spPr>
                      <wps:bodyPr/>
                    </wps:wsp>
                  </a:graphicData>
                </a:graphic>
              </wp:anchor>
            </w:drawing>
          </mc:Choice>
          <mc:Fallback>
            <w:pict>
              <v:rect id="Shape 21" o:spid="_x0000_s1046" style="position:absolute;margin-left:-340.9499pt;margin-top:-326pt;width:683.9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-4330065</wp:posOffset>
                </wp:positionH>
                <wp:positionV relativeFrom="paragraph">
                  <wp:posOffset>-3596640</wp:posOffset>
                </wp:positionV>
                <wp:extent cx="8686165" cy="27178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6165" cy="271780"/>
                        </a:xfrm>
                        <a:prstGeom prst="rect">
                          <a:avLst/>
                        </a:prstGeom>
                        <a:solidFill>
                          <a:srgbClr val="EAEAEA"/>
                        </a:solidFill>
                      </wps:spPr>
                      <wps:bodyPr/>
                    </wps:wsp>
                  </a:graphicData>
                </a:graphic>
              </wp:anchor>
            </w:drawing>
          </mc:Choice>
          <mc:Fallback>
            <w:pict>
              <v:rect id="Shape 22" o:spid="_x0000_s1047" style="position:absolute;margin-left:-340.9499pt;margin-top:-283.1999pt;width:683.95pt;height:2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-4330065</wp:posOffset>
                </wp:positionH>
                <wp:positionV relativeFrom="paragraph">
                  <wp:posOffset>-3184525</wp:posOffset>
                </wp:positionV>
                <wp:extent cx="8686165" cy="27178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6165" cy="271780"/>
                        </a:xfrm>
                        <a:prstGeom prst="rect">
                          <a:avLst/>
                        </a:prstGeom>
                        <a:solidFill>
                          <a:srgbClr val="EAEAEA"/>
                        </a:solidFill>
                      </wps:spPr>
                      <wps:bodyPr/>
                    </wps:wsp>
                  </a:graphicData>
                </a:graphic>
              </wp:anchor>
            </w:drawing>
          </mc:Choice>
          <mc:Fallback>
            <w:pict>
              <v:rect id="Shape 23" o:spid="_x0000_s1048" style="position:absolute;margin-left:-340.9499pt;margin-top:-250.7499pt;width:683.95pt;height:2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-4330065</wp:posOffset>
                </wp:positionH>
                <wp:positionV relativeFrom="paragraph">
                  <wp:posOffset>-2473325</wp:posOffset>
                </wp:positionV>
                <wp:extent cx="8685530" cy="14033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5530" cy="140335"/>
                        </a:xfrm>
                        <a:prstGeom prst="rect">
                          <a:avLst/>
                        </a:prstGeom>
                        <a:solidFill>
                          <a:srgbClr val="EAEAEA"/>
                        </a:solidFill>
                      </wps:spPr>
                      <wps:bodyPr/>
                    </wps:wsp>
                  </a:graphicData>
                </a:graphic>
              </wp:anchor>
            </w:drawing>
          </mc:Choice>
          <mc:Fallback>
            <w:pict>
              <v:rect id="Shape 24" o:spid="_x0000_s1049" style="position:absolute;margin-left:-340.9499pt;margin-top:-194.7499pt;width:683.9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-4330065</wp:posOffset>
                </wp:positionH>
                <wp:positionV relativeFrom="paragraph">
                  <wp:posOffset>-2061210</wp:posOffset>
                </wp:positionV>
                <wp:extent cx="8685530" cy="14033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5530" cy="140335"/>
                        </a:xfrm>
                        <a:prstGeom prst="rect">
                          <a:avLst/>
                        </a:prstGeom>
                        <a:solidFill>
                          <a:srgbClr val="EAEAEA"/>
                        </a:solidFill>
                      </wps:spPr>
                      <wps:bodyPr/>
                    </wps:wsp>
                  </a:graphicData>
                </a:graphic>
              </wp:anchor>
            </w:drawing>
          </mc:Choice>
          <mc:Fallback>
            <w:pict>
              <v:rect id="Shape 25" o:spid="_x0000_s1050" style="position:absolute;margin-left:-340.9499pt;margin-top:-162.2999pt;width:683.9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-4330065</wp:posOffset>
                </wp:positionH>
                <wp:positionV relativeFrom="paragraph">
                  <wp:posOffset>-1217930</wp:posOffset>
                </wp:positionV>
                <wp:extent cx="8686165" cy="40322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6165" cy="403225"/>
                        </a:xfrm>
                        <a:prstGeom prst="rect">
                          <a:avLst/>
                        </a:prstGeom>
                        <a:solidFill>
                          <a:srgbClr val="EAEAEA"/>
                        </a:solidFill>
                      </wps:spPr>
                      <wps:bodyPr/>
                    </wps:wsp>
                  </a:graphicData>
                </a:graphic>
              </wp:anchor>
            </w:drawing>
          </mc:Choice>
          <mc:Fallback>
            <w:pict>
              <v:rect id="Shape 26" o:spid="_x0000_s1051" style="position:absolute;margin-left:-340.9499pt;margin-top:-95.8999pt;width:683.95pt;height:3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-4330065</wp:posOffset>
                </wp:positionH>
                <wp:positionV relativeFrom="paragraph">
                  <wp:posOffset>-543560</wp:posOffset>
                </wp:positionV>
                <wp:extent cx="8686165" cy="27178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6165" cy="271780"/>
                        </a:xfrm>
                        <a:prstGeom prst="rect">
                          <a:avLst/>
                        </a:prstGeom>
                        <a:solidFill>
                          <a:srgbClr val="EAEAEA"/>
                        </a:solidFill>
                      </wps:spPr>
                      <wps:bodyPr/>
                    </wps:wsp>
                  </a:graphicData>
                </a:graphic>
              </wp:anchor>
            </w:drawing>
          </mc:Choice>
          <mc:Fallback>
            <w:pict>
              <v:rect id="Shape 27" o:spid="_x0000_s1052" style="position:absolute;margin-left:-340.9499pt;margin-top:-42.7999pt;width:683.95pt;height:2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-4330065</wp:posOffset>
                </wp:positionH>
                <wp:positionV relativeFrom="paragraph">
                  <wp:posOffset>-131445</wp:posOffset>
                </wp:positionV>
                <wp:extent cx="8685530" cy="13906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85530" cy="139065"/>
                        </a:xfrm>
                        <a:prstGeom prst="rect">
                          <a:avLst/>
                        </a:prstGeom>
                        <a:solidFill>
                          <a:srgbClr val="EAEAEA"/>
                        </a:solidFill>
                      </wps:spPr>
                      <wps:bodyPr/>
                    </wps:wsp>
                  </a:graphicData>
                </a:graphic>
              </wp:anchor>
            </w:drawing>
          </mc:Choice>
          <mc:Fallback>
            <w:pict>
              <v:rect id="Shape 28" o:spid="_x0000_s1053" style="position:absolute;margin-left:-340.9499pt;margin-top:-10.3499pt;width:683.9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-4284980</wp:posOffset>
                </wp:positionV>
                <wp:extent cx="83756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75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37.3999pt" to="65.9pt,-337.3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-159385</wp:posOffset>
                </wp:positionH>
                <wp:positionV relativeFrom="paragraph">
                  <wp:posOffset>-2773045</wp:posOffset>
                </wp:positionV>
                <wp:extent cx="158750" cy="14986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0" cy="149860"/>
                        </a:xfrm>
                        <a:prstGeom prst="rect">
                          <a:avLst/>
                        </a:prstGeom>
                        <a:solidFill>
                          <a:srgbClr val="EAEAEA"/>
                        </a:solidFill>
                      </wps:spPr>
                      <wps:bodyPr/>
                    </wps:wsp>
                  </a:graphicData>
                </a:graphic>
              </wp:anchor>
            </w:drawing>
          </mc:Choice>
          <mc:Fallback>
            <w:pict>
              <v:rect id="Shape 30" o:spid="_x0000_s1055" style="position:absolute;margin-left:-12.5499pt;margin-top:-218.3499pt;width:12.5pt;height:1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-2767965</wp:posOffset>
                </wp:positionV>
                <wp:extent cx="83756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75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17.9499pt" to="65.9pt,-217.9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-2618105</wp:posOffset>
                </wp:positionV>
                <wp:extent cx="83756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75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06.1499pt" to="65.9pt,-206.1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-159385</wp:posOffset>
                </wp:positionH>
                <wp:positionV relativeFrom="paragraph">
                  <wp:posOffset>-1780540</wp:posOffset>
                </wp:positionV>
                <wp:extent cx="158750" cy="14986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0" cy="149860"/>
                        </a:xfrm>
                        <a:prstGeom prst="rect">
                          <a:avLst/>
                        </a:prstGeom>
                        <a:solidFill>
                          <a:srgbClr val="EAEAEA"/>
                        </a:solidFill>
                      </wps:spPr>
                      <wps:bodyPr/>
                    </wps:wsp>
                  </a:graphicData>
                </a:graphic>
              </wp:anchor>
            </w:drawing>
          </mc:Choice>
          <mc:Fallback>
            <w:pict>
              <v:rect id="Shape 33" o:spid="_x0000_s1058" style="position:absolute;margin-left:-12.5499pt;margin-top:-140.1999pt;width:12.5pt;height:1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-1776095</wp:posOffset>
                </wp:positionV>
                <wp:extent cx="83756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75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9.8499pt" to="65.9pt,-139.8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-1626235</wp:posOffset>
                </wp:positionV>
                <wp:extent cx="83756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75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28.0499pt" to="65.9pt,-128.0499pt" o:allowincell="f" strokecolor="#000000" strokeweight="0.75pt"/>
            </w:pict>
          </mc:Fallback>
        </mc:AlternateContent>
      </w:r>
    </w:p>
    <w:p>
      <w:pPr>
        <w:spacing w:after="0" w:line="1" w:lineRule="exact"/>
        <w:rPr>
          <w:sz w:val="20"/>
          <w:szCs w:val="20"/>
          <w:color w:val="auto"/>
        </w:rPr>
      </w:pPr>
    </w:p>
    <w:p>
      <w:pPr>
        <w:sectPr>
          <w:pgSz w:w="15840" w:h="12240" w:orient="landscape"/>
          <w:cols w:equalWidth="0" w:num="2">
            <w:col w:w="6560" w:space="260"/>
            <w:col w:w="6860"/>
          </w:cols>
          <w:pgMar w:left="1080" w:top="678" w:right="1080" w:bottom="0" w:gutter="0" w:footer="0" w:header="0"/>
          <w:type w:val="continuous"/>
        </w:sectPr>
      </w:pPr>
    </w:p>
    <w:p>
      <w:pPr>
        <w:spacing w:after="0"/>
        <w:tabs>
          <w:tab w:leader="none" w:pos="4160" w:val="left"/>
          <w:tab w:leader="none" w:pos="5220" w:val="left"/>
          <w:tab w:leader="none" w:pos="6440" w:val="left"/>
          <w:tab w:leader="none" w:pos="6800" w:val="left"/>
          <w:tab w:leader="none" w:pos="7520" w:val="left"/>
          <w:tab w:leader="none" w:pos="8360" w:val="left"/>
          <w:tab w:leader="none" w:pos="9640" w:val="left"/>
          <w:tab w:leader="none" w:pos="10160" w:val="left"/>
          <w:tab w:leader="none" w:pos="10800" w:val="left"/>
          <w:tab w:leader="none" w:pos="11780" w:val="left"/>
          <w:tab w:leader="none" w:pos="13060" w:val="left"/>
        </w:tabs>
        <w:rPr>
          <w:sz w:val="20"/>
          <w:szCs w:val="20"/>
          <w:color w:val="auto"/>
        </w:rPr>
      </w:pPr>
      <w:r>
        <w:rPr>
          <w:rFonts w:ascii="Times New Roman" w:cs="Times New Roman" w:eastAsia="Times New Roman" w:hAnsi="Times New Roman"/>
          <w:sz w:val="18"/>
          <w:szCs w:val="18"/>
          <w:b w:val="1"/>
          <w:bCs w:val="1"/>
          <w:color w:val="auto"/>
        </w:rPr>
        <w:t>Balance at December 31, 2025</w:t>
      </w:r>
      <w:r>
        <w:rPr>
          <w:sz w:val="20"/>
          <w:szCs w:val="20"/>
          <w:color w:val="auto"/>
        </w:rPr>
        <w:tab/>
      </w:r>
      <w:r>
        <w:rPr>
          <w:rFonts w:ascii="Times New Roman" w:cs="Times New Roman" w:eastAsia="Times New Roman" w:hAnsi="Times New Roman"/>
          <w:sz w:val="18"/>
          <w:szCs w:val="18"/>
          <w:b w:val="1"/>
          <w:bCs w:val="1"/>
          <w:color w:val="auto"/>
        </w:rPr>
        <w:t>72,299,440</w:t>
        <w:tab/>
        <w:t>$</w:t>
      </w:r>
      <w:r>
        <w:rPr>
          <w:sz w:val="20"/>
          <w:szCs w:val="20"/>
          <w:color w:val="auto"/>
        </w:rPr>
        <w:tab/>
      </w:r>
      <w:r>
        <w:rPr>
          <w:rFonts w:ascii="Times New Roman" w:cs="Times New Roman" w:eastAsia="Times New Roman" w:hAnsi="Times New Roman"/>
          <w:sz w:val="18"/>
          <w:szCs w:val="18"/>
          <w:b w:val="1"/>
          <w:bCs w:val="1"/>
          <w:color w:val="auto"/>
        </w:rPr>
        <w:t>7</w:t>
        <w:tab/>
        <w:t>$</w:t>
      </w:r>
      <w:r>
        <w:rPr>
          <w:sz w:val="20"/>
          <w:szCs w:val="20"/>
          <w:color w:val="auto"/>
        </w:rPr>
        <w:tab/>
      </w:r>
      <w:r>
        <w:rPr>
          <w:rFonts w:ascii="Times New Roman" w:cs="Times New Roman" w:eastAsia="Times New Roman" w:hAnsi="Times New Roman"/>
          <w:sz w:val="18"/>
          <w:szCs w:val="18"/>
          <w:b w:val="1"/>
          <w:bCs w:val="1"/>
          <w:color w:val="auto"/>
        </w:rPr>
        <w:t>478,593</w:t>
        <w:tab/>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(449,048)</w:t>
        <w:tab/>
        <w:t>$</w:t>
      </w:r>
      <w:r>
        <w:rPr>
          <w:sz w:val="20"/>
          <w:szCs w:val="20"/>
          <w:color w:val="auto"/>
        </w:rPr>
        <w:tab/>
      </w:r>
      <w:r>
        <w:rPr>
          <w:rFonts w:ascii="Times New Roman" w:cs="Times New Roman" w:eastAsia="Times New Roman" w:hAnsi="Times New Roman"/>
          <w:sz w:val="18"/>
          <w:szCs w:val="18"/>
          <w:b w:val="1"/>
          <w:bCs w:val="1"/>
          <w:color w:val="auto"/>
        </w:rPr>
        <w:t>29,552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2338705</wp:posOffset>
                </wp:positionH>
                <wp:positionV relativeFrom="paragraph">
                  <wp:posOffset>-118110</wp:posOffset>
                </wp:positionV>
                <wp:extent cx="83439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4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15pt,-9.2999pt" to="249.85pt,-9.2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3331845</wp:posOffset>
                </wp:positionH>
                <wp:positionV relativeFrom="paragraph">
                  <wp:posOffset>-118110</wp:posOffset>
                </wp:positionV>
                <wp:extent cx="83883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83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35pt,-9.2999pt" to="328.4pt,-9.2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4329430</wp:posOffset>
                </wp:positionH>
                <wp:positionV relativeFrom="paragraph">
                  <wp:posOffset>-118110</wp:posOffset>
                </wp:positionV>
                <wp:extent cx="8382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9pt,-9.2999pt" to="406.9pt,-9.2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5327015</wp:posOffset>
                </wp:positionH>
                <wp:positionV relativeFrom="paragraph">
                  <wp:posOffset>-118110</wp:posOffset>
                </wp:positionV>
                <wp:extent cx="93281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81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45pt,-9.2999pt" to="492.9pt,-9.2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6463665</wp:posOffset>
                </wp:positionH>
                <wp:positionV relativeFrom="paragraph">
                  <wp:posOffset>-118110</wp:posOffset>
                </wp:positionV>
                <wp:extent cx="82486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95pt,-9.2999pt" to="573.9pt,-9.2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7492365</wp:posOffset>
                </wp:positionH>
                <wp:positionV relativeFrom="paragraph">
                  <wp:posOffset>-118110</wp:posOffset>
                </wp:positionV>
                <wp:extent cx="113919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91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9.95pt,-9.2999pt" to="679.65pt,-9.2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2338705</wp:posOffset>
                </wp:positionH>
                <wp:positionV relativeFrom="paragraph">
                  <wp:posOffset>31115</wp:posOffset>
                </wp:positionV>
                <wp:extent cx="83439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4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15pt,2.45pt" to="249.85pt,2.4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2338705</wp:posOffset>
                </wp:positionH>
                <wp:positionV relativeFrom="paragraph">
                  <wp:posOffset>50165</wp:posOffset>
                </wp:positionV>
                <wp:extent cx="83439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43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15pt,3.95pt" to="249.85pt,3.9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3331845</wp:posOffset>
                </wp:positionH>
                <wp:positionV relativeFrom="paragraph">
                  <wp:posOffset>31115</wp:posOffset>
                </wp:positionV>
                <wp:extent cx="83883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83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35pt,2.45pt" to="328.4pt,2.4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3331845</wp:posOffset>
                </wp:positionH>
                <wp:positionV relativeFrom="paragraph">
                  <wp:posOffset>50165</wp:posOffset>
                </wp:positionV>
                <wp:extent cx="83883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83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35pt,3.95pt" to="328.4pt,3.9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4329430</wp:posOffset>
                </wp:positionH>
                <wp:positionV relativeFrom="paragraph">
                  <wp:posOffset>31115</wp:posOffset>
                </wp:positionV>
                <wp:extent cx="8382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9pt,2.45pt" to="406.9pt,2.4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4329430</wp:posOffset>
                </wp:positionH>
                <wp:positionV relativeFrom="paragraph">
                  <wp:posOffset>50165</wp:posOffset>
                </wp:positionV>
                <wp:extent cx="8382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9pt,3.95pt" to="406.9pt,3.9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5327015</wp:posOffset>
                </wp:positionH>
                <wp:positionV relativeFrom="paragraph">
                  <wp:posOffset>31115</wp:posOffset>
                </wp:positionV>
                <wp:extent cx="93281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81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45pt,2.45pt" to="492.9pt,2.4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5327015</wp:posOffset>
                </wp:positionH>
                <wp:positionV relativeFrom="paragraph">
                  <wp:posOffset>50165</wp:posOffset>
                </wp:positionV>
                <wp:extent cx="93281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81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45pt,3.95pt" to="492.9pt,3.9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6463665</wp:posOffset>
                </wp:positionH>
                <wp:positionV relativeFrom="paragraph">
                  <wp:posOffset>31115</wp:posOffset>
                </wp:positionV>
                <wp:extent cx="82486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95pt,2.45pt" to="573.9pt,2.4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6463665</wp:posOffset>
                </wp:positionH>
                <wp:positionV relativeFrom="paragraph">
                  <wp:posOffset>50165</wp:posOffset>
                </wp:positionV>
                <wp:extent cx="82486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95pt,3.95pt" to="573.9pt,3.9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7492365</wp:posOffset>
                </wp:positionH>
                <wp:positionV relativeFrom="paragraph">
                  <wp:posOffset>31115</wp:posOffset>
                </wp:positionV>
                <wp:extent cx="113919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91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9.95pt,2.45pt" to="679.65pt,2.4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7492365</wp:posOffset>
                </wp:positionH>
                <wp:positionV relativeFrom="paragraph">
                  <wp:posOffset>50165</wp:posOffset>
                </wp:positionV>
                <wp:extent cx="113919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91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9.95pt,3.95pt" to="679.65pt,3.95pt" o:allowincell="f" strokecolor="#000000" strokeweight="0.75pt"/>
            </w:pict>
          </mc:Fallback>
        </mc:AlternateContent>
      </w: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5840" w:h="12240" w:orient="landscape"/>
          <w:cols w:equalWidth="0" w:num="1">
            <w:col w:w="13680"/>
          </w:cols>
          <w:pgMar w:left="1080" w:top="67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5840" w:h="12240" w:orient="landscape"/>
          <w:cols w:equalWidth="0" w:num="1">
            <w:col w:w="13680"/>
          </w:cols>
          <w:pgMar w:left="1080" w:top="678" w:right="1080" w:bottom="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Biomea Fusion,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Cash Flows</w:t>
      </w: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8"/>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120" w:type="dxa"/>
            <w:vAlign w:val="bottom"/>
            <w:tcBorders>
              <w:bottom w:val="single" w:sz="8" w:color="EAEAEA"/>
            </w:tcBorders>
          </w:tcPr>
          <w:p>
            <w:pPr>
              <w:spacing w:after="0"/>
              <w:rPr>
                <w:sz w:val="19"/>
                <w:szCs w:val="19"/>
                <w:color w:val="auto"/>
              </w:rPr>
            </w:pPr>
          </w:p>
        </w:tc>
        <w:tc>
          <w:tcPr>
            <w:tcW w:w="20" w:type="dxa"/>
            <w:vAlign w:val="bottom"/>
            <w:tcBorders>
              <w:bottom w:val="single" w:sz="8" w:color="EAEAE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EAEAEA"/>
            </w:tcBorders>
          </w:tcPr>
          <w:p>
            <w:pPr>
              <w:spacing w:after="0"/>
              <w:rPr>
                <w:sz w:val="19"/>
                <w:szCs w:val="19"/>
                <w:color w:val="auto"/>
              </w:rPr>
            </w:pPr>
          </w:p>
        </w:tc>
        <w:tc>
          <w:tcPr>
            <w:tcW w:w="100" w:type="dxa"/>
            <w:vAlign w:val="bottom"/>
            <w:tcBorders>
              <w:bottom w:val="single" w:sz="8" w:color="EA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EAEAEA"/>
            </w:tcBorders>
          </w:tcPr>
          <w:p>
            <w:pPr>
              <w:spacing w:after="0"/>
              <w:rPr>
                <w:sz w:val="19"/>
                <w:szCs w:val="19"/>
                <w:color w:val="auto"/>
              </w:rPr>
            </w:pPr>
          </w:p>
        </w:tc>
        <w:tc>
          <w:tcPr>
            <w:tcW w:w="120" w:type="dxa"/>
            <w:vAlign w:val="bottom"/>
            <w:tcBorders>
              <w:bottom w:val="single" w:sz="8" w:color="EAEAE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8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8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investments</w:t>
            </w: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104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04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1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04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92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04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18"/>
                <w:szCs w:val="18"/>
                <w:color w:val="auto"/>
              </w:rPr>
              <w:t>(7,738)</w:t>
            </w: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21"/>
        </w:trPr>
        <w:tc>
          <w:tcPr>
            <w:tcW w:w="61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104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1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104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104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9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196"/>
        </w:trPr>
        <w:tc>
          <w:tcPr>
            <w:tcW w:w="6120" w:type="dxa"/>
            <w:vAlign w:val="bottom"/>
            <w:tcBorders>
              <w:top w:val="single" w:sz="8" w:color="EAEAEA"/>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Borders>
              <w:top w:val="single" w:sz="8" w:color="EAEAEA"/>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(70,371)</w:t>
            </w:r>
          </w:p>
        </w:tc>
        <w:tc>
          <w:tcPr>
            <w:tcW w:w="160" w:type="dxa"/>
            <w:vAlign w:val="bottom"/>
            <w:tcBorders>
              <w:top w:val="single" w:sz="8" w:color="EAEAEA"/>
            </w:tcBorders>
          </w:tcPr>
          <w:p>
            <w:pPr>
              <w:spacing w:after="0"/>
              <w:rPr>
                <w:sz w:val="17"/>
                <w:szCs w:val="17"/>
                <w:color w:val="auto"/>
              </w:rPr>
            </w:pPr>
          </w:p>
        </w:tc>
        <w:tc>
          <w:tcPr>
            <w:tcW w:w="100" w:type="dxa"/>
            <w:vAlign w:val="bottom"/>
            <w:tcBorders>
              <w:top w:val="single" w:sz="8" w:color="EAEAEA"/>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(119,894)</w:t>
            </w:r>
          </w:p>
        </w:tc>
        <w:tc>
          <w:tcPr>
            <w:tcW w:w="160" w:type="dxa"/>
            <w:vAlign w:val="bottom"/>
            <w:tcBorders>
              <w:top w:val="single" w:sz="8" w:color="EAEAEA"/>
            </w:tcBorders>
          </w:tcPr>
          <w:p>
            <w:pPr>
              <w:spacing w:after="0"/>
              <w:rPr>
                <w:sz w:val="17"/>
                <w:szCs w:val="17"/>
                <w:color w:val="auto"/>
              </w:rPr>
            </w:pPr>
          </w:p>
        </w:tc>
        <w:tc>
          <w:tcPr>
            <w:tcW w:w="120" w:type="dxa"/>
            <w:vAlign w:val="bottom"/>
            <w:tcBorders>
              <w:top w:val="single" w:sz="8" w:color="EAEAEA"/>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(96,592)</w:t>
            </w:r>
          </w:p>
        </w:tc>
        <w:tc>
          <w:tcPr>
            <w:tcW w:w="80" w:type="dxa"/>
            <w:vAlign w:val="bottom"/>
            <w:tcBorders>
              <w:top w:val="single" w:sz="8" w:color="EAEAEA"/>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12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8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41"/>
        </w:trPr>
        <w:tc>
          <w:tcPr>
            <w:tcW w:w="61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2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104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104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EAEAEA"/>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 w:type="dxa"/>
            <w:vAlign w:val="bottom"/>
            <w:tcBorders>
              <w:top w:val="single" w:sz="8" w:color="EAEAEA"/>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EAEAEA"/>
            </w:tcBorders>
          </w:tcPr>
          <w:p>
            <w:pPr>
              <w:spacing w:after="0"/>
              <w:rPr>
                <w:sz w:val="17"/>
                <w:szCs w:val="17"/>
                <w:color w:val="auto"/>
              </w:rPr>
            </w:pPr>
          </w:p>
        </w:tc>
        <w:tc>
          <w:tcPr>
            <w:tcW w:w="100" w:type="dxa"/>
            <w:vAlign w:val="bottom"/>
            <w:tcBorders>
              <w:top w:val="single" w:sz="8" w:color="EAEAEA"/>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top w:val="single" w:sz="8" w:color="EAEAEA"/>
            </w:tcBorders>
          </w:tcPr>
          <w:p>
            <w:pPr>
              <w:spacing w:after="0"/>
              <w:rPr>
                <w:sz w:val="17"/>
                <w:szCs w:val="17"/>
                <w:color w:val="auto"/>
              </w:rPr>
            </w:pPr>
          </w:p>
        </w:tc>
        <w:tc>
          <w:tcPr>
            <w:tcW w:w="120" w:type="dxa"/>
            <w:vAlign w:val="bottom"/>
            <w:tcBorders>
              <w:top w:val="single" w:sz="8" w:color="EAEAEA"/>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(2,220)</w:t>
            </w:r>
          </w:p>
        </w:tc>
        <w:tc>
          <w:tcPr>
            <w:tcW w:w="80" w:type="dxa"/>
            <w:vAlign w:val="bottom"/>
            <w:tcBorders>
              <w:top w:val="single" w:sz="8" w:color="EAEAEA"/>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12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8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Proceeds from issuance of common stock under at the market equity offering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 net of offering costs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120" w:type="dxa"/>
            <w:vAlign w:val="bottom"/>
            <w:shd w:val="clear" w:color="auto" w:fill="EAEAEA"/>
          </w:tcPr>
          <w:p>
            <w:pPr>
              <w:ind w:left="200"/>
              <w:spacing w:after="0" w:line="202" w:lineRule="exact"/>
              <w:rPr>
                <w:sz w:val="20"/>
                <w:szCs w:val="20"/>
                <w:color w:val="auto"/>
              </w:rPr>
            </w:pPr>
            <w:r>
              <w:rPr>
                <w:rFonts w:ascii="Times New Roman" w:cs="Times New Roman" w:eastAsia="Times New Roman" w:hAnsi="Times New Roman"/>
                <w:sz w:val="18"/>
                <w:szCs w:val="18"/>
                <w:color w:val="auto"/>
              </w:rPr>
              <w:t>Proceeds from issuance of common stock, common warrants and pre-funded</w:t>
            </w:r>
          </w:p>
        </w:tc>
        <w:tc>
          <w:tcPr>
            <w:tcW w:w="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88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88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8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rPr>
              <w:t>warrants, net of offering costs</w:t>
            </w: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62,837</w:t>
            </w: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04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161,803</w:t>
            </w: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Proceeds from stock options exercised and purchases under the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20" w:type="dxa"/>
            <w:vAlign w:val="bottom"/>
            <w:tcBorders>
              <w:bottom w:val="single" w:sz="8" w:color="EAEAEA"/>
            </w:tcBorders>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 w:type="dxa"/>
            <w:vAlign w:val="bottom"/>
            <w:tcBorders>
              <w:bottom w:val="single" w:sz="8" w:color="EAEAE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EAEAEA"/>
            </w:tcBorders>
          </w:tcPr>
          <w:p>
            <w:pPr>
              <w:spacing w:after="0"/>
              <w:rPr>
                <w:sz w:val="19"/>
                <w:szCs w:val="19"/>
                <w:color w:val="auto"/>
              </w:rPr>
            </w:pPr>
          </w:p>
        </w:tc>
        <w:tc>
          <w:tcPr>
            <w:tcW w:w="100" w:type="dxa"/>
            <w:vAlign w:val="bottom"/>
            <w:tcBorders>
              <w:bottom w:val="single" w:sz="8" w:color="EA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60" w:type="dxa"/>
            <w:vAlign w:val="bottom"/>
            <w:tcBorders>
              <w:bottom w:val="single" w:sz="8" w:color="EAEAEA"/>
            </w:tcBorders>
          </w:tcPr>
          <w:p>
            <w:pPr>
              <w:spacing w:after="0"/>
              <w:rPr>
                <w:sz w:val="19"/>
                <w:szCs w:val="19"/>
                <w:color w:val="auto"/>
              </w:rPr>
            </w:pPr>
          </w:p>
        </w:tc>
        <w:tc>
          <w:tcPr>
            <w:tcW w:w="120" w:type="dxa"/>
            <w:vAlign w:val="bottom"/>
            <w:tcBorders>
              <w:bottom w:val="single" w:sz="8" w:color="EAEAE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tcBorders>
              <w:bottom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67,904</w:t>
            </w:r>
          </w:p>
        </w:tc>
        <w:tc>
          <w:tcPr>
            <w:tcW w:w="1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163,798</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12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0" w:type="dxa"/>
            <w:vAlign w:val="bottom"/>
            <w:tcBorders>
              <w:bottom w:val="single" w:sz="8" w:color="EAEAEA"/>
            </w:tcBorders>
            <w:shd w:val="clear" w:color="auto" w:fill="EAEAEA"/>
          </w:tcPr>
          <w:p>
            <w:pPr>
              <w:spacing w:after="0"/>
              <w:rPr>
                <w:sz w:val="20"/>
                <w:szCs w:val="20"/>
                <w:color w:val="auto"/>
              </w:rPr>
            </w:pPr>
          </w:p>
        </w:tc>
        <w:tc>
          <w:tcPr>
            <w:tcW w:w="220" w:type="dxa"/>
            <w:vAlign w:val="bottom"/>
            <w:tcBorders>
              <w:bottom w:val="single" w:sz="8" w:color="auto"/>
            </w:tcBorders>
            <w:shd w:val="clear" w:color="auto" w:fill="EAEAEA"/>
          </w:tcPr>
          <w:p>
            <w:pPr>
              <w:spacing w:after="0"/>
              <w:rPr>
                <w:sz w:val="20"/>
                <w:szCs w:val="20"/>
                <w:color w:val="auto"/>
              </w:rPr>
            </w:pPr>
          </w:p>
        </w:tc>
        <w:tc>
          <w:tcPr>
            <w:tcW w:w="8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58,648</w:t>
            </w:r>
          </w:p>
        </w:tc>
        <w:tc>
          <w:tcPr>
            <w:tcW w:w="160" w:type="dxa"/>
            <w:vAlign w:val="bottom"/>
            <w:tcBorders>
              <w:bottom w:val="single" w:sz="8" w:color="EAEAEA"/>
            </w:tcBorders>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240" w:type="dxa"/>
            <w:vAlign w:val="bottom"/>
            <w:tcBorders>
              <w:bottom w:val="single" w:sz="8" w:color="auto"/>
            </w:tcBorders>
            <w:shd w:val="clear" w:color="auto" w:fill="EAEAEA"/>
          </w:tcPr>
          <w:p>
            <w:pPr>
              <w:spacing w:after="0"/>
              <w:rPr>
                <w:sz w:val="20"/>
                <w:szCs w:val="20"/>
                <w:color w:val="auto"/>
              </w:rPr>
            </w:pPr>
          </w:p>
        </w:tc>
        <w:tc>
          <w:tcPr>
            <w:tcW w:w="8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177,236</w:t>
            </w:r>
          </w:p>
        </w:tc>
        <w:tc>
          <w:tcPr>
            <w:tcW w:w="16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260" w:type="dxa"/>
            <w:vAlign w:val="bottom"/>
            <w:tcBorders>
              <w:bottom w:val="single" w:sz="8" w:color="auto"/>
            </w:tcBorders>
            <w:shd w:val="clear" w:color="auto" w:fill="EAEAEA"/>
          </w:tcPr>
          <w:p>
            <w:pPr>
              <w:spacing w:after="0"/>
              <w:rPr>
                <w:sz w:val="20"/>
                <w:szCs w:val="20"/>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112,250</w:t>
            </w:r>
          </w:p>
        </w:tc>
        <w:tc>
          <w:tcPr>
            <w:tcW w:w="8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20" w:type="dxa"/>
            <w:vAlign w:val="bottom"/>
            <w:tcBorders>
              <w:bottom w:val="single" w:sz="8" w:color="EAEAEA"/>
            </w:tcBorders>
          </w:tcPr>
          <w:p>
            <w:pPr>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20" w:type="dxa"/>
            <w:vAlign w:val="bottom"/>
            <w:tcBorders>
              <w:bottom w:val="single" w:sz="8" w:color="EAEAEA"/>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56,181</w:t>
            </w:r>
          </w:p>
        </w:tc>
        <w:tc>
          <w:tcPr>
            <w:tcW w:w="160" w:type="dxa"/>
            <w:vAlign w:val="bottom"/>
            <w:tcBorders>
              <w:bottom w:val="single" w:sz="8" w:color="EAEAEA"/>
            </w:tcBorders>
          </w:tcPr>
          <w:p>
            <w:pPr>
              <w:spacing w:after="0"/>
              <w:rPr>
                <w:sz w:val="20"/>
                <w:szCs w:val="20"/>
                <w:color w:val="auto"/>
              </w:rPr>
            </w:pPr>
          </w:p>
        </w:tc>
        <w:tc>
          <w:tcPr>
            <w:tcW w:w="100" w:type="dxa"/>
            <w:vAlign w:val="bottom"/>
            <w:tcBorders>
              <w:bottom w:val="single" w:sz="8" w:color="EAEAEA"/>
            </w:tcBorders>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58,648</w:t>
            </w:r>
          </w:p>
        </w:tc>
        <w:tc>
          <w:tcPr>
            <w:tcW w:w="160" w:type="dxa"/>
            <w:vAlign w:val="bottom"/>
            <w:tcBorders>
              <w:bottom w:val="single" w:sz="8" w:color="EAEAEA"/>
            </w:tcBorders>
          </w:tcPr>
          <w:p>
            <w:pPr>
              <w:spacing w:after="0"/>
              <w:rPr>
                <w:sz w:val="20"/>
                <w:szCs w:val="20"/>
                <w:color w:val="auto"/>
              </w:rPr>
            </w:pPr>
          </w:p>
        </w:tc>
        <w:tc>
          <w:tcPr>
            <w:tcW w:w="120" w:type="dxa"/>
            <w:vAlign w:val="bottom"/>
            <w:tcBorders>
              <w:bottom w:val="single" w:sz="8" w:color="EAEAEA"/>
            </w:tcBorders>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177,236</w:t>
            </w:r>
          </w:p>
        </w:tc>
        <w:tc>
          <w:tcPr>
            <w:tcW w:w="8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120" w:type="dxa"/>
            <w:vAlign w:val="bottom"/>
            <w:shd w:val="clear" w:color="auto" w:fill="EAEAEA"/>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88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88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8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of operating lease right-of-use assets</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EAEAEA"/>
          </w:tcPr>
          <w:p>
            <w:pPr>
              <w:ind w:left="200"/>
              <w:spacing w:after="0" w:line="202" w:lineRule="exact"/>
              <w:rPr>
                <w:sz w:val="20"/>
                <w:szCs w:val="20"/>
                <w:color w:val="auto"/>
              </w:rPr>
            </w:pPr>
            <w:r>
              <w:rPr>
                <w:rFonts w:ascii="Times New Roman" w:cs="Times New Roman" w:eastAsia="Times New Roman" w:hAnsi="Times New Roman"/>
                <w:sz w:val="18"/>
                <w:szCs w:val="18"/>
                <w:color w:val="auto"/>
              </w:rPr>
              <w:t>Acquisition of property and equipment in accounts payable and</w:t>
            </w:r>
          </w:p>
        </w:tc>
        <w:tc>
          <w:tcPr>
            <w:tcW w:w="240" w:type="dxa"/>
            <w:vAlign w:val="bottom"/>
            <w:gridSpan w:val="2"/>
            <w:vMerge w:val="restart"/>
            <w:shd w:val="clear" w:color="auto" w:fill="EAEAEA"/>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EAEAE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EAEAEA"/>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EAEAEA"/>
          </w:tcPr>
          <w:p>
            <w:pPr>
              <w:spacing w:after="0"/>
              <w:rPr>
                <w:sz w:val="17"/>
                <w:szCs w:val="17"/>
                <w:color w:val="auto"/>
              </w:rPr>
            </w:pPr>
          </w:p>
        </w:tc>
        <w:tc>
          <w:tcPr>
            <w:tcW w:w="380" w:type="dxa"/>
            <w:vAlign w:val="bottom"/>
            <w:gridSpan w:val="2"/>
            <w:vMerge w:val="restart"/>
            <w:shd w:val="clear" w:color="auto" w:fill="EAEAEA"/>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EAEAEA"/>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20" w:type="dxa"/>
            <w:vAlign w:val="bottom"/>
            <w:shd w:val="clear" w:color="auto" w:fill="EAEAEA"/>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gridSpan w:val="2"/>
            <w:vMerge w:val="continue"/>
            <w:shd w:val="clear" w:color="auto" w:fill="EAEAEA"/>
          </w:tcPr>
          <w:p>
            <w:pPr>
              <w:spacing w:after="0"/>
              <w:rPr>
                <w:sz w:val="19"/>
                <w:szCs w:val="19"/>
                <w:color w:val="auto"/>
              </w:rPr>
            </w:pPr>
          </w:p>
        </w:tc>
        <w:tc>
          <w:tcPr>
            <w:tcW w:w="1040" w:type="dxa"/>
            <w:vAlign w:val="bottom"/>
            <w:gridSpan w:val="2"/>
            <w:vMerge w:val="continue"/>
            <w:shd w:val="clear" w:color="auto" w:fill="EAEAEA"/>
          </w:tcPr>
          <w:p>
            <w:pPr>
              <w:spacing w:after="0"/>
              <w:rPr>
                <w:sz w:val="19"/>
                <w:szCs w:val="19"/>
                <w:color w:val="auto"/>
              </w:rPr>
            </w:pPr>
          </w:p>
        </w:tc>
        <w:tc>
          <w:tcPr>
            <w:tcW w:w="340" w:type="dxa"/>
            <w:vAlign w:val="bottom"/>
            <w:gridSpan w:val="2"/>
            <w:vMerge w:val="continue"/>
            <w:shd w:val="clear" w:color="auto" w:fill="EAEAEA"/>
          </w:tcPr>
          <w:p>
            <w:pPr>
              <w:spacing w:after="0"/>
              <w:rPr>
                <w:sz w:val="19"/>
                <w:szCs w:val="19"/>
                <w:color w:val="auto"/>
              </w:rPr>
            </w:pPr>
          </w:p>
        </w:tc>
        <w:tc>
          <w:tcPr>
            <w:tcW w:w="880" w:type="dxa"/>
            <w:vAlign w:val="bottom"/>
            <w:vMerge w:val="continue"/>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80" w:type="dxa"/>
            <w:vAlign w:val="bottom"/>
            <w:gridSpan w:val="2"/>
            <w:vMerge w:val="continue"/>
            <w:shd w:val="clear" w:color="auto" w:fill="EAEAEA"/>
          </w:tcPr>
          <w:p>
            <w:pPr>
              <w:spacing w:after="0"/>
              <w:rPr>
                <w:sz w:val="19"/>
                <w:szCs w:val="19"/>
                <w:color w:val="auto"/>
              </w:rPr>
            </w:pPr>
          </w:p>
        </w:tc>
        <w:tc>
          <w:tcPr>
            <w:tcW w:w="920" w:type="dxa"/>
            <w:vAlign w:val="bottom"/>
            <w:gridSpan w:val="2"/>
            <w:vMerge w:val="continue"/>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Remeasurement of operating lease right-of-use assets and lease liability</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6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shd w:val="clear" w:color="auto" w:fill="EAEAEA"/>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8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55,812</w:t>
            </w:r>
          </w:p>
        </w:tc>
        <w:tc>
          <w:tcPr>
            <w:tcW w:w="16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58,279</w:t>
            </w:r>
          </w:p>
        </w:tc>
        <w:tc>
          <w:tcPr>
            <w:tcW w:w="160" w:type="dxa"/>
            <w:vAlign w:val="bottom"/>
          </w:tcPr>
          <w:p>
            <w:pPr>
              <w:spacing w:after="0"/>
              <w:rPr>
                <w:sz w:val="19"/>
                <w:szCs w:val="19"/>
                <w:color w:val="auto"/>
              </w:rPr>
            </w:pP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12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Borders>
              <w:bottom w:val="single" w:sz="8" w:color="EAEAEA"/>
            </w:tcBorders>
            <w:shd w:val="clear" w:color="auto" w:fill="EAEAEA"/>
          </w:tcPr>
          <w:p>
            <w:pPr>
              <w:spacing w:after="0"/>
              <w:rPr>
                <w:sz w:val="20"/>
                <w:szCs w:val="20"/>
                <w:color w:val="auto"/>
              </w:rPr>
            </w:pPr>
          </w:p>
        </w:tc>
        <w:tc>
          <w:tcPr>
            <w:tcW w:w="220" w:type="dxa"/>
            <w:vAlign w:val="bottom"/>
            <w:tcBorders>
              <w:bottom w:val="single" w:sz="8" w:color="auto"/>
            </w:tcBorders>
            <w:shd w:val="clear" w:color="auto" w:fill="EAEAEA"/>
          </w:tcPr>
          <w:p>
            <w:pPr>
              <w:spacing w:after="0"/>
              <w:rPr>
                <w:sz w:val="20"/>
                <w:szCs w:val="20"/>
                <w:color w:val="auto"/>
              </w:rPr>
            </w:pPr>
          </w:p>
        </w:tc>
        <w:tc>
          <w:tcPr>
            <w:tcW w:w="8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Borders>
              <w:bottom w:val="single" w:sz="8" w:color="EAEAEA"/>
            </w:tcBorders>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240" w:type="dxa"/>
            <w:vAlign w:val="bottom"/>
            <w:tcBorders>
              <w:bottom w:val="single" w:sz="8" w:color="auto"/>
            </w:tcBorders>
            <w:shd w:val="clear" w:color="auto" w:fill="EAEAEA"/>
          </w:tcPr>
          <w:p>
            <w:pPr>
              <w:spacing w:after="0"/>
              <w:rPr>
                <w:sz w:val="20"/>
                <w:szCs w:val="20"/>
                <w:color w:val="auto"/>
              </w:rPr>
            </w:pPr>
          </w:p>
        </w:tc>
        <w:tc>
          <w:tcPr>
            <w:tcW w:w="8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260" w:type="dxa"/>
            <w:vAlign w:val="bottom"/>
            <w:tcBorders>
              <w:bottom w:val="single" w:sz="8" w:color="auto"/>
            </w:tcBorders>
            <w:shd w:val="clear" w:color="auto" w:fill="EAEAEA"/>
          </w:tcPr>
          <w:p>
            <w:pPr>
              <w:spacing w:after="0"/>
              <w:rPr>
                <w:sz w:val="20"/>
                <w:szCs w:val="20"/>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bottom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56,181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58,648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177,236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-5852795</wp:posOffset>
            </wp:positionV>
            <wp:extent cx="249999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extLst>
                    </a:blip>
                    <a:srcRect/>
                    <a:stretch>
                      <a:fillRect/>
                    </a:stretch>
                  </pic:blipFill>
                  <pic:spPr bwMode="auto">
                    <a:xfrm>
                      <a:off x="0" y="0"/>
                      <a:ext cx="2499995" cy="3810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080"/>
          </w:cols>
          <w:pgMar w:left="1080" w:top="1056" w:right="1080" w:bottom="175" w:gutter="0" w:footer="0" w:header="0"/>
          <w:type w:val="continuous"/>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Biomea Fusion,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Organization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124" w:lineRule="exact"/>
        <w:rPr>
          <w:sz w:val="20"/>
          <w:szCs w:val="20"/>
          <w:color w:val="auto"/>
        </w:rPr>
      </w:pPr>
    </w:p>
    <w:p>
      <w:pPr>
        <w:jc w:val="both"/>
        <w:ind w:right="320"/>
        <w:spacing w:after="0" w:line="252" w:lineRule="auto"/>
        <w:rPr>
          <w:sz w:val="20"/>
          <w:szCs w:val="20"/>
          <w:color w:val="auto"/>
        </w:rPr>
      </w:pPr>
      <w:r>
        <w:rPr>
          <w:rFonts w:ascii="Times New Roman" w:cs="Times New Roman" w:eastAsia="Times New Roman" w:hAnsi="Times New Roman"/>
          <w:sz w:val="20"/>
          <w:szCs w:val="20"/>
          <w:color w:val="auto"/>
        </w:rPr>
        <w:t>Biomea Fusion, Inc., (the Company), was established in the state of Delaware in August 2017 as Biomea Fusion, LLC. In December 2020, all outstanding membership interests in Biomea Fusion, LLC were converted into equity interests in the Company. The capitalization information included in these financial statements is consistently presented as if it is that of Biomea Fusion, Inc., even during the prior period when investors held their equity interests in Biomea Fusion, LLC.</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company was founded with the goal of creating targeted treatments built through expertise in chemistry and a deep understanding of metabolic biology. The Company is a clinical-stage diabetes and obesity medicines company focused on the discovery and development of oral, small molecule drugs to treat and improve the lives of patients with diabetes, obesity and other metabolic diseases.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the Company will continue as a going concern, which assumes the realization of assets and satisfaction of liabilities and commitments in the normal course of business. The Company believes that based on its current operating plan, its cash, cash equivalents and restricted cash will not enable it to fund its operating expenses and capital expenditure requirements for at least twelve months following the issuance date of the financial statements. The Company has incurred net operating losses and negative cash flows from operations since its inception and had an accumulated deficit of $449.0 million at December 31, 2025. As of December 31, 2025, the Company had cash, cash equivalents, and restricted cash of $56.2 million. The Company’s ability to continue as a going concern will require the Company to raise additional capital to fund the Company's operations through public or private equity offering, debt financings, collaborations and licensing arrangements or other sources. There can be no assurance that additional financing will be available to the Company or that such financing, if available, will be available on terms acceptable to the Company. Accordingly, there is substantial doubt about the Company’s ability to continue as a going concern.</w:t>
      </w:r>
    </w:p>
    <w:p>
      <w:pPr>
        <w:spacing w:after="0" w:line="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 has historically financed its operations primarily through the sale of convertible preferred stock and common stock and the issuance of unsecured promissory notes. To date, none of the Company’s product candidates have been approved for sale, and the Company has not generated any revenue since inception. Management expects operating losses to continue and increase for the foreseeable future, as the Company continues clinical development activities for its lead product candidate and advances the preclinical and clinical development of other product candidates. The Company’s prospects are subject to risks, expenses and uncertainties frequently encountered by companies in the biotechnology industry as discussed above. There can be no assurance that in the event the Company requires additional financing, such financing will be available on terms which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Summary of Significant Accounting Policies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24"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auto"/>
        </w:rPr>
        <w:t>These financial statements have been prepared in accordance with accounting principles generally accepted in the United States of America (U.S. GAAP).</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2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amounts reported in the financial statements and accompanying notes. On an ongoing basis, the Company evaluates its estimates, including, but not limited to, those related to clinical and preclinical accruals, manufacturing accruals, fair value of common stock, stock-based compensation, warrant liability, operating lease right-of-use (ROU) assets and liabilities and income taxes. The Company bases its estimates on its historical experience and also on assumptions that it believes are reasonable; however, actual results could significantly differ from those estimates.</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060"/>
          </w:cols>
          <w:pgMar w:left="1080" w:top="1056" w:right="1100" w:bottom="175"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12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Company operates and manages its business as one reportable and operating segment, which is the business of developing small molecule drugs to treat patients with diabetes and obesity. The Company’s interim chief executive officer, who is the chief operating decision maker, reviews financial information on an aggregate basis for allocating resources and evaluating financial performance. All long-lived assets are maintained in, and all losses are attributable to, the United States of America.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12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a concentration of credit risk, consist primarily of cash, cash equivalents and restricted cash. The Company maintains bank deposits in federally insured financial institutions and these deposits may exceed federally insured limits. The Company invests in money market funds, U.S. Treasury securities, U.S. government agency securities, corporate notes, commercial paper, and asset backed securities. The Company is exposed to credit risk in the event of default by the financial institutions holding its cash and cash equivalents and issuers of investments to the extent recorded in the balance sheet. The Company’s investment policy limits investments to money market funds, certain types of debt securities issued by the U.S. Government and its agencies, corporate notes and commercial paper, and places restrictions on the credit ratings, maturities and concentration by type and issuer. The Company has not experienced any losses on its deposits of cash, cash equivalents and restricted cash</w:t>
      </w:r>
      <w:r>
        <w:rPr>
          <w:rFonts w:ascii="Times New Roman" w:cs="Times New Roman" w:eastAsia="Times New Roman" w:hAnsi="Times New Roman"/>
          <w:sz w:val="20"/>
          <w:szCs w:val="20"/>
          <w:i w:val="1"/>
          <w:iCs w:val="1"/>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Risks and Uncertainties</w:t>
      </w:r>
    </w:p>
    <w:p>
      <w:pPr>
        <w:spacing w:after="0" w:line="12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preclinical studies, clinical trials and achievement of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 source suppliers and changes in the Company's operating expenses as a result of these uncertainties and other factors, such as inflation. 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Company.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12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The Company considers all highly liquid investments with original maturities of three months or less from the date of purchase to be cash and cash equivalents. Cash equivalents consist of amounts invested in money market accounts and are stated at fair value. Restricted cash consists of two stand-by letters of credit issued to the Company’s landlord in connection with two of the Company’s leases.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12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 xml:space="preserve">The Company adopted Accounting Standards Update (“ASU”) 2016-13, </w:t>
      </w:r>
      <w:r>
        <w:rPr>
          <w:rFonts w:ascii="Times New Roman" w:cs="Times New Roman" w:eastAsia="Times New Roman" w:hAnsi="Times New Roman"/>
          <w:sz w:val="20"/>
          <w:szCs w:val="20"/>
          <w:i w:val="1"/>
          <w:iCs w:val="1"/>
          <w:color w:val="auto"/>
        </w:rPr>
        <w:t>Measurement of Credit Losses on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Instruments, </w:t>
      </w:r>
      <w:r>
        <w:rPr>
          <w:rFonts w:ascii="Times New Roman" w:cs="Times New Roman" w:eastAsia="Times New Roman" w:hAnsi="Times New Roman"/>
          <w:sz w:val="20"/>
          <w:szCs w:val="20"/>
          <w:color w:val="auto"/>
        </w:rPr>
        <w:t>on January 1, 2023. The Company’s investments have been classified as available-for-sale and carried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w:t>
      </w:r>
    </w:p>
    <w:p>
      <w:pPr>
        <w:spacing w:after="0" w:line="8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For available-for-sale debt securities in an unrealized loss position, the Company first assesses whether it intends to sell, or whether it is more likely than not that it will be required to sell the security before the recovery of its amortized cost basis. If either of the criteria regarding intent or requirement to sell is met, the security’s amortized cost basis is written down to fair value and recognized in interest and other income, net in the statement of operations and comprehensive loss. If neither criteria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interest and other income, net.</w:t>
      </w:r>
    </w:p>
    <w:p>
      <w:pPr>
        <w:spacing w:after="0" w:line="8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Any unrealized losses from declines in fair value below the amortized cost basis as a result of non-credit factors are recognized in accumulated other comprehensive loss, net of tax as a separate component of stockholders’ equity, along with unrealized gains. Realized gains and losses and declines in fair value, if any, on available-for-sale securities are included in interest and other income, net in the statement operations and comprehensive loss.</w:t>
      </w:r>
    </w:p>
    <w:p>
      <w:pPr>
        <w:sectPr>
          <w:pgSz w:w="12240" w:h="15840" w:orient="portrait"/>
          <w:cols w:equalWidth="0" w:num="1">
            <w:col w:w="10080"/>
          </w:cols>
          <w:pgMar w:left="1080" w:top="1056" w:right="1080" w:bottom="175"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080"/>
          </w:cols>
          <w:pgMar w:left="1080" w:top="1056" w:right="1080" w:bottom="175" w:gutter="0" w:footer="0" w:header="0"/>
          <w:type w:val="continuous"/>
        </w:sectPr>
      </w:pPr>
    </w:p>
    <w:bookmarkStart w:id="104" w:name="page105"/>
    <w:bookmarkEnd w:id="104"/>
    <w:p>
      <w:pPr>
        <w:ind w:right="40"/>
        <w:spacing w:after="0" w:line="249" w:lineRule="auto"/>
        <w:rPr>
          <w:sz w:val="20"/>
          <w:szCs w:val="20"/>
          <w:color w:val="auto"/>
        </w:rPr>
      </w:pPr>
      <w:r>
        <w:rPr>
          <w:rFonts w:ascii="Times New Roman" w:cs="Times New Roman" w:eastAsia="Times New Roman" w:hAnsi="Times New Roman"/>
          <w:sz w:val="20"/>
          <w:szCs w:val="20"/>
          <w:color w:val="auto"/>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in other current assets on the balance sheets.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p>
      <w:pPr>
        <w:spacing w:after="0" w:line="12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Property and equipment are recorded at cost net of accumulated depreciation. Property and equipment are depreciated using the straight-line method over the estimated useful lives of the assets. The useful lives of property and equipment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7100" w:type="dxa"/>
            <w:vAlign w:val="bottom"/>
            <w:shd w:val="clear" w:color="auto" w:fill="EAEAEA"/>
          </w:tcPr>
          <w:p>
            <w:pPr>
              <w:ind w:left="980"/>
              <w:spacing w:after="0"/>
              <w:rPr>
                <w:sz w:val="20"/>
                <w:szCs w:val="20"/>
                <w:color w:val="auto"/>
              </w:rPr>
            </w:pPr>
            <w:r>
              <w:rPr>
                <w:rFonts w:ascii="Times New Roman" w:cs="Times New Roman" w:eastAsia="Times New Roman" w:hAnsi="Times New Roman"/>
                <w:sz w:val="20"/>
                <w:szCs w:val="20"/>
                <w:color w:val="auto"/>
              </w:rPr>
              <w:t>3 years</w:t>
            </w: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71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5 years</w:t>
            </w:r>
          </w:p>
        </w:tc>
      </w:tr>
      <w:tr>
        <w:trPr>
          <w:trHeight w:val="230"/>
        </w:trPr>
        <w:tc>
          <w:tcPr>
            <w:tcW w:w="29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7100" w:type="dxa"/>
            <w:vAlign w:val="bottom"/>
            <w:shd w:val="clear" w:color="auto" w:fill="EAEAEA"/>
          </w:tcPr>
          <w:p>
            <w:pPr>
              <w:ind w:left="980"/>
              <w:spacing w:after="0"/>
              <w:rPr>
                <w:sz w:val="20"/>
                <w:szCs w:val="20"/>
                <w:color w:val="auto"/>
              </w:rPr>
            </w:pPr>
            <w:r>
              <w:rPr>
                <w:rFonts w:ascii="Times New Roman" w:cs="Times New Roman" w:eastAsia="Times New Roman" w:hAnsi="Times New Roman"/>
                <w:sz w:val="20"/>
                <w:szCs w:val="20"/>
                <w:color w:val="auto"/>
              </w:rPr>
              <w:t>5 years</w:t>
            </w:r>
          </w:p>
        </w:tc>
      </w:tr>
      <w:tr>
        <w:trPr>
          <w:trHeight w:val="266"/>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710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Shorter of remaining lease term or estimated useful life</w:t>
            </w:r>
          </w:p>
        </w:tc>
      </w:tr>
    </w:tbl>
    <w:p>
      <w:pPr>
        <w:spacing w:after="0" w:line="6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Upon retirement or sale of the assets, the cost and related accumulated depreciation are removed from the balance sheet and the resulting gain or loss is recorded to the statements of operations. Repairs and maintenance are expensed as incurred.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12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In conjunction with the Company's ongoing efforts to reduce operating costs, the Company ceased use of its laboratory facility, which triggered an impairment analysis. In connection with the impairment assessment, the Company recorded an impairment charge of $ 2.2 million, which is included in impairment of long-lived assets in the statements of operations and comprehensive loss for the year ended December 31, 2025 (see Note 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Expenses</w:t>
      </w:r>
    </w:p>
    <w:p>
      <w:pPr>
        <w:spacing w:after="0" w:line="12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Company expenses research and development costs as they are incurred. Research and development expenses consist primarily of: (i) personnel- related expenses, including salaries, benefits and stock-based compensation expense, for personnel in the Company’s research and development functions; (ii) fees paid to third parties such as contractors, consultants and contract research organizations (CROs), for animal studies and other costs related to preclinical and clinical testing; (iii) costs related to acquiring and manufacturing research and clinical trial materials, including under agreements with third parties such as contract manufacturing organizations (CMOs), and other vendors; (iv) costs related to the preparation of regulatory submissions; (v) expenses related to laboratory supplies and services; and (vi) depreciation of equipment and facilities expenses.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Research and Development Expenses</w:t>
      </w:r>
    </w:p>
    <w:p>
      <w:pPr>
        <w:spacing w:after="0" w:line="12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The Company records accruals for estimated costs of research, preclinical studies, clinical trials, and manufacturing development, which are significant components of research and development expenses. A substantial portion of the Company’s ongoing research and development activities is conducted by third-party service providers, CROs and CMOs. The Company’s contracts with the CROs and CMOs generally include fees such as initiation fees, reservation fees, costs related to animal studies and safety tests, verification run costs, materials and reagents expenses, investigator fees, taxes, etc.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and actual timeline (start-date and end-date) of the services and the agreed-upon fees to be paid for such services. Through December 31, 2025, there have been no material differences from the Company’s estimated accrued research and development expenses to actual expenses.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080"/>
          </w:cols>
          <w:pgMar w:left="1080" w:top="1060" w:right="1080" w:bottom="175"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2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 accounts for stock-based compensation by measuring and recognizing compensation expense for all share-based awards made to employees, non-employees and directors based on estimated grant-date fair values. The Company uses the straight-line method to allocate compensation cost to reporting periods over the requisite service period, which is generally the vesting period, and estimates the fair value of share-based awards to employees, non-employees and directors using the Black-Scholes option-pricing model. The Company uses the “simplified” method to estimate the expected term. The Company utilizes this method as its stock options qualify as "plain-vanilla" options. The Company accounts for forfeitures as they occur. The fair value of restricted stock units is based on grant-date fair value. The fair value of each purchase under the employee stock purchase plan (ESPP) is estimated at the beginning of the offering period using the Black-Scholes option pricing model and recorded as expense over the service period using the straight-line method.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Pre-funded Warrants</w:t>
      </w:r>
    </w:p>
    <w:p>
      <w:pPr>
        <w:spacing w:after="0" w:line="124"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color w:val="auto"/>
        </w:rPr>
        <w:t>The Company issued pre-funded warrants in connection with the completed underwritten public offerings. The Company accounts for the pre-funded warrants as a freestanding equity-linked financial instrument that met the criteria for equity classification in accordance with ASC 815, Derivatives and Hedging. Accordingly, the Company recorded the pre-funded warrants as a component of stockholders' equity within additional paid-in capital (see Note 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 Per Share</w:t>
      </w:r>
    </w:p>
    <w:p>
      <w:pPr>
        <w:spacing w:after="0" w:line="12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Basic net loss per share is calculated by dividing the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in accordance with Accounting Standard Codification 842, “Leases” (ASC 842). As of December 31, 2025, the Company's lease population consisted of real estate leases and the Company did not have finance leases.</w:t>
      </w:r>
    </w:p>
    <w:p>
      <w:pPr>
        <w:spacing w:after="0" w:line="6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Operating leases are included in operating lease right-of-use (ROU) assets, current operating lease liabilities and non-current operating lease liabilities on the Company’s balance sheet.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those lease payments. The Company determines the incremental borrowing rate based on an analysis of corporate bond yields with a credit rating similar to the Company. The determination of the Company’s incremental borrowing rate requires management judgment including the development of a synthetic credit rating and cost of debt as the Company currently does not carry any debt. The Company believes that the estimates used in determining the incremental borrowing rate are reasonable based upon current facts and circumstances. Applying different judgments to the same facts and circumstances could result in the estimated amounts to vary. The operating lease ROU assets also include adjustments for prepayments and accrued lease payments and exclude lease incentives. Lease incentives are recognized prospectively, on reimbursement, as reduction to the right-of-use asset and lease liabilities over the lease term. The Company’s lease terms may include options to extend or terminate the lease when it is reasonably certain that the Company will exercise such options. The Company reassesses the lease term when significant events or changes in circumstances within its control occur, such as strategic shifts or facility closures, that affect whether it is reasonably certain to exercise extension or termination options. Operating lease cost is recognized on a straight-line basis over the expected lease term. Variable lease costs represent payments that are dependent on usage, a rate or index. Variable lease cost primarily relates to common area maintenance charges. Lease agreements that include lease and non-lease components are accounted for as a single lease component. The Company has elected to apply the short-term lease exception for all lease agreements with a noncancelable term of less than 12 months.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24"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The Company began providing for income taxes under the asset and liability method in December 2020 upon conversion from a limited liability company into a corporation.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sectPr>
          <w:pgSz w:w="12240" w:h="15840" w:orient="portrait"/>
          <w:cols w:equalWidth="0" w:num="1">
            <w:col w:w="10080"/>
          </w:cols>
          <w:pgMar w:left="1080" w:top="1056" w:right="1080" w:bottom="175"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080"/>
          </w:cols>
          <w:pgMar w:left="1080" w:top="1056" w:right="1080" w:bottom="175" w:gutter="0" w:footer="0" w:header="0"/>
          <w:type w:val="continuous"/>
        </w:sectPr>
      </w:pPr>
    </w:p>
    <w:bookmarkStart w:id="106" w:name="page107"/>
    <w:bookmarkEnd w:id="106"/>
    <w:p>
      <w:pPr>
        <w:spacing w:after="0" w:line="244" w:lineRule="auto"/>
        <w:rPr>
          <w:sz w:val="20"/>
          <w:szCs w:val="20"/>
          <w:color w:val="auto"/>
        </w:rPr>
      </w:pPr>
      <w:r>
        <w:rPr>
          <w:rFonts w:ascii="Times New Roman" w:cs="Times New Roman" w:eastAsia="Times New Roman" w:hAnsi="Times New Roman"/>
          <w:sz w:val="20"/>
          <w:szCs w:val="20"/>
          <w:color w:val="auto"/>
        </w:rPr>
        <w:t xml:space="preserve">The Company accounts for uncertain tax positions in accordance with ASC No.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w:t>
      </w:r>
    </w:p>
    <w:p>
      <w:pPr>
        <w:spacing w:after="0" w:line="5" w:lineRule="exact"/>
        <w:rPr>
          <w:sz w:val="20"/>
          <w:szCs w:val="20"/>
          <w:color w:val="auto"/>
        </w:rPr>
      </w:pPr>
    </w:p>
    <w:p>
      <w:pPr>
        <w:ind w:right="340"/>
        <w:spacing w:after="0" w:line="244" w:lineRule="auto"/>
        <w:tabs>
          <w:tab w:leader="none" w:pos="29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8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The Company includes any penalties and interest expense related to income taxes as a component of income tax expense, as necessary.</w:t>
      </w:r>
    </w:p>
    <w:p>
      <w:pPr>
        <w:spacing w:after="0" w:line="4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In July 2025, the One Big Beautiful Bill Act (“OBBBA”) was signed into law. The Company evaluated the potential impact of the OBBBA legislation on its financial position, results of operations, and cash flows. However, due to the Company’s valuation allowance position on its deferred tax assets, the OBBBA did not have a material impact on the Company’s effective tax rate or cash flow in the current fiscal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 Liability</w:t>
      </w:r>
    </w:p>
    <w:p>
      <w:pPr>
        <w:spacing w:after="0" w:line="124"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0"/>
          <w:szCs w:val="20"/>
          <w:color w:val="auto"/>
        </w:rPr>
        <w:t>The Company accounts for its warrants in accordance with ASC 815, Derivatives and Hedging - Contracts in Entity's Own Equity, as either liabilities or as equity instruments depending on the specific terms of the warrant agreement. The common warrants issued in connection with the June and October 2025 underwritten public offerings (see Note 5) are classified as liabilities and are recorded at fair value. The warrants are subject to re-measurement at each settlement date and at each balance sheet date and any change in fair value is recognized in Change in fair value of common warrant liability in the statements of operations and comprehensive loss. The Company estimates the fair value of the warrant liability using a Black-Scholes pricing model. The Company is required to make assumptions and estimates in determining an appropriate expected term, risk-free interest rate, volatility factor, dividend yield, and the fair value of common stock. Any significant adjustments to the unobservable inputs would have a direct impact on the fair value of the warrant liability.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 - Adopted</w:t>
      </w:r>
    </w:p>
    <w:p>
      <w:pPr>
        <w:spacing w:after="0" w:line="12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 xml:space="preserve">In December, 2023, the FASB issued Accounting Standards Update 2023-09, </w:t>
      </w:r>
      <w:r>
        <w:rPr>
          <w:rFonts w:ascii="Times New Roman" w:cs="Times New Roman" w:eastAsia="Times New Roman" w:hAnsi="Times New Roman"/>
          <w:sz w:val="20"/>
          <w:szCs w:val="20"/>
          <w:i w:val="1"/>
          <w:iCs w:val="1"/>
          <w:color w:val="auto"/>
        </w:rPr>
        <w:t>Income Taxes -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w:t>
      </w:r>
      <w:r>
        <w:rPr>
          <w:rFonts w:ascii="Times New Roman" w:cs="Times New Roman" w:eastAsia="Times New Roman" w:hAnsi="Times New Roman"/>
          <w:sz w:val="20"/>
          <w:szCs w:val="20"/>
          <w:color w:val="auto"/>
        </w:rPr>
        <w:t>(ASU 2023-09) requiring enhancements and further transparency to certain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We adopted the standard and applied the disclosure requirements on a prospective basis effective for the year ended December 31, 2025. Adoption of ASU 2023-09 did not have a material impact to the Company’s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 - Not Yet Adopted</w:t>
      </w:r>
    </w:p>
    <w:p>
      <w:pPr>
        <w:spacing w:after="0" w:line="12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 xml:space="preserve">In November 2024, the FASB issued Accounting Standards Update 2024-03, </w:t>
      </w:r>
      <w:r>
        <w:rPr>
          <w:rFonts w:ascii="Times New Roman" w:cs="Times New Roman" w:eastAsia="Times New Roman" w:hAnsi="Times New Roman"/>
          <w:sz w:val="20"/>
          <w:szCs w:val="20"/>
          <w:i w:val="1"/>
          <w:iCs w:val="1"/>
          <w:color w:val="auto"/>
        </w:rPr>
        <w:t>Income Statement-Reporting Comprehensive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Income-Expense Disaggregation Disclosures (Subtopic 220-40): Disaggregation of Income Statement Expenses </w:t>
      </w:r>
      <w:r>
        <w:rPr>
          <w:rFonts w:ascii="Times New Roman" w:cs="Times New Roman" w:eastAsia="Times New Roman" w:hAnsi="Times New Roman"/>
          <w:sz w:val="20"/>
          <w:szCs w:val="20"/>
          <w:color w:val="auto"/>
        </w:rPr>
        <w:t>(ASU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financial statements and related disclosures.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Fair Value Measurement</w:t>
      </w:r>
    </w:p>
    <w:p>
      <w:pPr>
        <w:spacing w:after="0" w:line="12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Company applies fair value accounting for all financial assets and liabilities.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77" w:lineRule="exact"/>
        <w:rPr>
          <w:sz w:val="20"/>
          <w:szCs w:val="20"/>
          <w:color w:val="auto"/>
        </w:rPr>
      </w:pPr>
    </w:p>
    <w:p>
      <w:pPr>
        <w:ind w:left="480" w:right="1080"/>
        <w:spacing w:after="0" w:line="277" w:lineRule="auto"/>
        <w:rPr>
          <w:sz w:val="20"/>
          <w:szCs w:val="20"/>
          <w:color w:val="auto"/>
        </w:rPr>
      </w:pPr>
      <w:r>
        <w:rPr>
          <w:rFonts w:ascii="Times New Roman" w:cs="Times New Roman" w:eastAsia="Times New Roman" w:hAnsi="Times New Roman"/>
          <w:sz w:val="20"/>
          <w:szCs w:val="20"/>
          <w:color w:val="auto"/>
        </w:rPr>
        <w:t>Level 1—Observable inputs, such as quoted prices in active markets for identical assets or liabilities at the measurement date.</w:t>
      </w:r>
    </w:p>
    <w:p>
      <w:pPr>
        <w:spacing w:after="0" w:line="49" w:lineRule="exact"/>
        <w:rPr>
          <w:sz w:val="20"/>
          <w:szCs w:val="20"/>
          <w:color w:val="auto"/>
        </w:rPr>
      </w:pPr>
    </w:p>
    <w:p>
      <w:pPr>
        <w:ind w:left="480" w:right="300"/>
        <w:spacing w:after="0" w:line="258" w:lineRule="auto"/>
        <w:rPr>
          <w:sz w:val="20"/>
          <w:szCs w:val="20"/>
          <w:color w:val="auto"/>
        </w:rPr>
      </w:pPr>
      <w:r>
        <w:rPr>
          <w:rFonts w:ascii="Times New Roman" w:cs="Times New Roman" w:eastAsia="Times New Roman" w:hAnsi="Times New Roman"/>
          <w:sz w:val="20"/>
          <w:szCs w:val="20"/>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ectPr>
          <w:pgSz w:w="12240" w:h="15840" w:orient="portrait"/>
          <w:cols w:equalWidth="0" w:num="1">
            <w:col w:w="10080"/>
          </w:cols>
          <w:pgMar w:left="1080" w:top="1060" w:right="1080" w:bottom="175"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080"/>
          </w:cols>
          <w:pgMar w:left="1080" w:top="1060" w:right="1080" w:bottom="175" w:gutter="0" w:footer="0" w:header="0"/>
          <w:type w:val="continuous"/>
        </w:sectPr>
      </w:pPr>
    </w:p>
    <w:bookmarkStart w:id="107" w:name="page108"/>
    <w:bookmarkEnd w:id="107"/>
    <w:p>
      <w:pPr>
        <w:ind w:left="480" w:right="420"/>
        <w:spacing w:after="0" w:line="258" w:lineRule="auto"/>
        <w:rPr>
          <w:sz w:val="20"/>
          <w:szCs w:val="20"/>
          <w:color w:val="auto"/>
        </w:rPr>
      </w:pPr>
      <w:r>
        <w:rPr>
          <w:rFonts w:ascii="Times New Roman" w:cs="Times New Roman" w:eastAsia="Times New Roman" w:hAnsi="Times New Roman"/>
          <w:sz w:val="20"/>
          <w:szCs w:val="20"/>
          <w:color w:val="auto"/>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6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The carrying amount of cash and cash equivalents, prepaid expenses, accounts payable and accrued expenses are generally considered to be representative of their respective fair values because of the short-term nature of these instruments.</w:t>
      </w:r>
    </w:p>
    <w:p>
      <w:pPr>
        <w:spacing w:after="0" w:line="4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Assets and liabilities measured at fair value are classified in their entirety based on the lowest level of input that is significant to the fair value measurement. The Company classifies money market funds as Level 1 within the fair value hierarchy as the fair value is based on quoted price in active markets. The Company classifies its investments in corporate debt securities, commercial paper and asset backed securities as Level 2 within the fair value hierarchy as the fair value is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or historical pricing trends of a security relative to its peers. To validate the fair value determination provided by its investment managers, the Company reviews the pricing movement in the context of overall market trends and trading information from its investment managers. In addition, the Company assesses the inputs and methods used in determining the fair value in order to determine the classification of securities in the fair value hierarchy. The Company evaluates transfers between levels at the end of each reporting period and there were no transfers of financial instruments between the fair value measurement levels during the year ended December 31, 2025.</w:t>
      </w:r>
    </w:p>
    <w:p>
      <w:pPr>
        <w:spacing w:after="0" w:line="9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The Company measures and reports certain financial instruments as assets and liabilities at fair value on a recurring basis. The following tables set forth the fair value of the Company’s financial assets, which consist of cash equivalents and marketable securities measured and recognized at fair value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520" w:type="dxa"/>
            <w:vAlign w:val="bottom"/>
          </w:tcPr>
          <w:p>
            <w:pPr>
              <w:spacing w:after="0"/>
              <w:rPr>
                <w:sz w:val="23"/>
                <w:szCs w:val="2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Fair</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Gross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Hierarchy</w:t>
            </w:r>
          </w:p>
        </w:tc>
        <w:tc>
          <w:tcPr>
            <w:tcW w:w="10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Amortized</w:t>
            </w:r>
          </w:p>
        </w:tc>
        <w:tc>
          <w:tcPr>
            <w:tcW w:w="20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Fair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520" w:type="dxa"/>
            <w:vAlign w:val="bottom"/>
            <w:tcBorders>
              <w:bottom w:val="single" w:sz="8" w:color="EAEAEA"/>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Level</w:t>
            </w:r>
          </w:p>
        </w:tc>
        <w:tc>
          <w:tcPr>
            <w:tcW w:w="100" w:type="dxa"/>
            <w:vAlign w:val="bottom"/>
            <w:tcBorders>
              <w:bottom w:val="single" w:sz="8" w:color="EAEAEA"/>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Cost</w:t>
            </w:r>
          </w:p>
        </w:tc>
        <w:tc>
          <w:tcPr>
            <w:tcW w:w="200" w:type="dxa"/>
            <w:vAlign w:val="bottom"/>
            <w:tcBorders>
              <w:bottom w:val="single" w:sz="8" w:color="EAEAEA"/>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Gains</w:t>
            </w:r>
          </w:p>
        </w:tc>
        <w:tc>
          <w:tcPr>
            <w:tcW w:w="220" w:type="dxa"/>
            <w:vAlign w:val="bottom"/>
            <w:tcBorders>
              <w:bottom w:val="single" w:sz="8" w:color="EAEAEA"/>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200" w:type="dxa"/>
            <w:vAlign w:val="bottom"/>
            <w:tcBorders>
              <w:bottom w:val="single" w:sz="8" w:color="EAEAEA"/>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60" w:type="dxa"/>
            <w:vAlign w:val="bottom"/>
            <w:tcBorders>
              <w:bottom w:val="single" w:sz="8" w:color="EAEAEA"/>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EAEAEA"/>
          </w:tcPr>
          <w:p>
            <w:pPr>
              <w:spacing w:after="0" w:line="220" w:lineRule="exact"/>
              <w:rPr>
                <w:sz w:val="20"/>
                <w:szCs w:val="20"/>
                <w:color w:val="auto"/>
              </w:rPr>
            </w:pPr>
            <w:r>
              <w:rPr>
                <w:rFonts w:ascii="Times New Roman" w:cs="Times New Roman" w:eastAsia="Times New Roman" w:hAnsi="Times New Roman"/>
                <w:sz w:val="20"/>
                <w:szCs w:val="20"/>
                <w:color w:val="auto"/>
              </w:rPr>
              <w:t>Financial assets included in cash and</w:t>
            </w:r>
          </w:p>
        </w:tc>
        <w:tc>
          <w:tcPr>
            <w:tcW w:w="9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78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78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80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80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20" w:type="dxa"/>
            <w:vAlign w:val="bottom"/>
            <w:shd w:val="clear" w:color="auto" w:fill="EAEAEA"/>
          </w:tcPr>
          <w:p>
            <w:pPr>
              <w:jc w:val="right"/>
              <w:ind w:right="2900"/>
              <w:spacing w:after="0"/>
              <w:rPr>
                <w:sz w:val="20"/>
                <w:szCs w:val="20"/>
                <w:color w:val="auto"/>
              </w:rPr>
            </w:pPr>
            <w:r>
              <w:rPr>
                <w:rFonts w:ascii="Times New Roman" w:cs="Times New Roman" w:eastAsia="Times New Roman" w:hAnsi="Times New Roman"/>
                <w:sz w:val="20"/>
                <w:szCs w:val="20"/>
                <w:color w:val="auto"/>
              </w:rPr>
              <w:t>cash equivalents:</w:t>
            </w:r>
          </w:p>
        </w:tc>
        <w:tc>
          <w:tcPr>
            <w:tcW w:w="98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78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78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8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80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980" w:type="dxa"/>
            <w:vAlign w:val="bottom"/>
            <w:tcBorders>
              <w:bottom w:val="single" w:sz="8" w:color="EAEAEA"/>
            </w:tcBorders>
          </w:tcPr>
          <w:p>
            <w:pPr>
              <w:jc w:val="center"/>
              <w:spacing w:after="0"/>
              <w:rPr>
                <w:sz w:val="20"/>
                <w:szCs w:val="20"/>
                <w:color w:val="auto"/>
              </w:rPr>
            </w:pPr>
            <w:r>
              <w:rPr>
                <w:rFonts w:ascii="Times New Roman" w:cs="Times New Roman" w:eastAsia="Times New Roman" w:hAnsi="Times New Roman"/>
                <w:sz w:val="20"/>
                <w:szCs w:val="20"/>
                <w:color w:val="auto"/>
                <w:w w:val="99"/>
              </w:rPr>
              <w:t>Level 1</w:t>
            </w:r>
          </w:p>
        </w:tc>
        <w:tc>
          <w:tcPr>
            <w:tcW w:w="100" w:type="dxa"/>
            <w:vAlign w:val="bottom"/>
            <w:tcBorders>
              <w:bottom w:val="single" w:sz="8" w:color="EAEAEA"/>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55,030</w:t>
            </w:r>
          </w:p>
        </w:tc>
        <w:tc>
          <w:tcPr>
            <w:tcW w:w="200" w:type="dxa"/>
            <w:vAlign w:val="bottom"/>
            <w:tcBorders>
              <w:bottom w:val="single" w:sz="8" w:color="EAEAEA"/>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Borders>
              <w:bottom w:val="single" w:sz="8" w:color="EAEAEA"/>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tcBorders>
              <w:bottom w:val="single" w:sz="8" w:color="EAEAEA"/>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55,030</w:t>
            </w: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Total</w:t>
            </w:r>
          </w:p>
        </w:tc>
        <w:tc>
          <w:tcPr>
            <w:tcW w:w="98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80" w:type="dxa"/>
            <w:vAlign w:val="bottom"/>
            <w:tcBorders>
              <w:bottom w:val="single" w:sz="8" w:color="auto"/>
            </w:tcBorders>
            <w:shd w:val="clear" w:color="auto" w:fill="EAEAEA"/>
          </w:tcPr>
          <w:p>
            <w:pPr>
              <w:spacing w:after="0"/>
              <w:rPr>
                <w:sz w:val="20"/>
                <w:szCs w:val="20"/>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55,030</w:t>
            </w:r>
          </w:p>
        </w:tc>
        <w:tc>
          <w:tcPr>
            <w:tcW w:w="200" w:type="dxa"/>
            <w:vAlign w:val="bottom"/>
            <w:shd w:val="clear" w:color="auto" w:fill="EAEAEA"/>
          </w:tcPr>
          <w:p>
            <w:pPr>
              <w:spacing w:after="0"/>
              <w:rPr>
                <w:sz w:val="20"/>
                <w:szCs w:val="20"/>
                <w:color w:val="auto"/>
              </w:rPr>
            </w:pPr>
          </w:p>
        </w:tc>
        <w:tc>
          <w:tcPr>
            <w:tcW w:w="160" w:type="dxa"/>
            <w:vAlign w:val="bottom"/>
            <w:tcBorders>
              <w:bottom w:val="single" w:sz="8" w:color="auto"/>
            </w:tcBorders>
            <w:shd w:val="clear" w:color="auto" w:fill="EAEAEA"/>
          </w:tcPr>
          <w:p>
            <w:pPr>
              <w:spacing w:after="0"/>
              <w:rPr>
                <w:sz w:val="20"/>
                <w:szCs w:val="20"/>
                <w:color w:val="auto"/>
              </w:rPr>
            </w:pPr>
          </w:p>
        </w:tc>
        <w:tc>
          <w:tcPr>
            <w:tcW w:w="780" w:type="dxa"/>
            <w:vAlign w:val="bottom"/>
            <w:tcBorders>
              <w:bottom w:val="single" w:sz="8" w:color="auto"/>
            </w:tcBorders>
            <w:shd w:val="clear" w:color="auto" w:fill="EAEAEA"/>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shd w:val="clear" w:color="auto" w:fill="EAEAEA"/>
          </w:tcPr>
          <w:p>
            <w:pPr>
              <w:spacing w:after="0"/>
              <w:rPr>
                <w:sz w:val="20"/>
                <w:szCs w:val="20"/>
                <w:color w:val="auto"/>
              </w:rPr>
            </w:pPr>
          </w:p>
        </w:tc>
        <w:tc>
          <w:tcPr>
            <w:tcW w:w="140" w:type="dxa"/>
            <w:vAlign w:val="bottom"/>
            <w:tcBorders>
              <w:bottom w:val="single" w:sz="8" w:color="auto"/>
            </w:tcBorders>
            <w:shd w:val="clear" w:color="auto" w:fill="EAEAEA"/>
          </w:tcPr>
          <w:p>
            <w:pPr>
              <w:spacing w:after="0"/>
              <w:rPr>
                <w:sz w:val="20"/>
                <w:szCs w:val="20"/>
                <w:color w:val="auto"/>
              </w:rPr>
            </w:pPr>
          </w:p>
        </w:tc>
        <w:tc>
          <w:tcPr>
            <w:tcW w:w="800" w:type="dxa"/>
            <w:vAlign w:val="bottom"/>
            <w:tcBorders>
              <w:bottom w:val="single" w:sz="8" w:color="auto"/>
            </w:tcBorders>
            <w:shd w:val="clear" w:color="auto" w:fill="EAEAEA"/>
          </w:tcPr>
          <w:p>
            <w:pPr>
              <w:ind w:left="58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shd w:val="clear" w:color="auto" w:fill="EAEAEA"/>
          </w:tcPr>
          <w:p>
            <w:pPr>
              <w:spacing w:after="0"/>
              <w:rPr>
                <w:sz w:val="20"/>
                <w:szCs w:val="20"/>
                <w:color w:val="auto"/>
              </w:rPr>
            </w:pPr>
          </w:p>
        </w:tc>
        <w:tc>
          <w:tcPr>
            <w:tcW w:w="160" w:type="dxa"/>
            <w:vAlign w:val="bottom"/>
            <w:tcBorders>
              <w:bottom w:val="single" w:sz="8" w:color="auto"/>
            </w:tcBorders>
            <w:shd w:val="clear" w:color="auto" w:fill="EAEAEA"/>
          </w:tcPr>
          <w:p>
            <w:pPr>
              <w:spacing w:after="0"/>
              <w:rPr>
                <w:sz w:val="20"/>
                <w:szCs w:val="20"/>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55,030</w:t>
            </w: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w:t>
            </w: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EAEAEA"/>
          </w:tcPr>
          <w:p>
            <w:pPr>
              <w:jc w:val="right"/>
              <w:ind w:right="2900"/>
              <w:spacing w:after="0"/>
              <w:rPr>
                <w:sz w:val="20"/>
                <w:szCs w:val="20"/>
                <w:color w:val="auto"/>
              </w:rPr>
            </w:pPr>
            <w:r>
              <w:rPr>
                <w:rFonts w:ascii="Times New Roman" w:cs="Times New Roman" w:eastAsia="Times New Roman" w:hAnsi="Times New Roman"/>
                <w:sz w:val="20"/>
                <w:szCs w:val="20"/>
                <w:color w:val="auto"/>
              </w:rPr>
              <w:t>Warrant liability</w:t>
            </w:r>
          </w:p>
        </w:tc>
        <w:tc>
          <w:tcPr>
            <w:tcW w:w="98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Level 3</w:t>
            </w:r>
          </w:p>
        </w:tc>
        <w:tc>
          <w:tcPr>
            <w:tcW w:w="100" w:type="dxa"/>
            <w:vAlign w:val="bottom"/>
            <w:shd w:val="clear" w:color="auto" w:fill="EAEAEA"/>
          </w:tcPr>
          <w:p>
            <w:pPr>
              <w:spacing w:after="0"/>
              <w:rPr>
                <w:sz w:val="21"/>
                <w:szCs w:val="21"/>
                <w:color w:val="auto"/>
              </w:rPr>
            </w:pPr>
          </w:p>
        </w:tc>
        <w:tc>
          <w:tcPr>
            <w:tcW w:w="180" w:type="dxa"/>
            <w:vAlign w:val="bottom"/>
            <w:tcBorders>
              <w:bottom w:val="single" w:sz="8" w:color="auto"/>
            </w:tcBorders>
            <w:shd w:val="clear" w:color="auto" w:fill="EAEAEA"/>
          </w:tcPr>
          <w:p>
            <w:pPr>
              <w:spacing w:after="0"/>
              <w:rPr>
                <w:sz w:val="21"/>
                <w:szCs w:val="21"/>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17,791</w:t>
            </w:r>
          </w:p>
        </w:tc>
        <w:tc>
          <w:tcPr>
            <w:tcW w:w="200" w:type="dxa"/>
            <w:vAlign w:val="bottom"/>
            <w:shd w:val="clear" w:color="auto" w:fill="EAEAEA"/>
          </w:tcPr>
          <w:p>
            <w:pPr>
              <w:spacing w:after="0"/>
              <w:rPr>
                <w:sz w:val="21"/>
                <w:szCs w:val="21"/>
                <w:color w:val="auto"/>
              </w:rPr>
            </w:pPr>
          </w:p>
        </w:tc>
        <w:tc>
          <w:tcPr>
            <w:tcW w:w="160" w:type="dxa"/>
            <w:vAlign w:val="bottom"/>
            <w:tcBorders>
              <w:bottom w:val="single" w:sz="8" w:color="auto"/>
            </w:tcBorders>
            <w:shd w:val="clear" w:color="auto" w:fill="EAEAEA"/>
          </w:tcPr>
          <w:p>
            <w:pPr>
              <w:spacing w:after="0"/>
              <w:rPr>
                <w:sz w:val="21"/>
                <w:szCs w:val="21"/>
                <w:color w:val="auto"/>
              </w:rPr>
            </w:pPr>
          </w:p>
        </w:tc>
        <w:tc>
          <w:tcPr>
            <w:tcW w:w="780" w:type="dxa"/>
            <w:vAlign w:val="bottom"/>
            <w:tcBorders>
              <w:bottom w:val="single" w:sz="8" w:color="auto"/>
            </w:tcBorders>
            <w:shd w:val="clear" w:color="auto" w:fill="EAEAEA"/>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shd w:val="clear" w:color="auto" w:fill="EAEAEA"/>
          </w:tcPr>
          <w:p>
            <w:pPr>
              <w:spacing w:after="0"/>
              <w:rPr>
                <w:sz w:val="21"/>
                <w:szCs w:val="21"/>
                <w:color w:val="auto"/>
              </w:rPr>
            </w:pPr>
          </w:p>
        </w:tc>
        <w:tc>
          <w:tcPr>
            <w:tcW w:w="140" w:type="dxa"/>
            <w:vAlign w:val="bottom"/>
            <w:tcBorders>
              <w:bottom w:val="single" w:sz="8" w:color="auto"/>
            </w:tcBorders>
            <w:shd w:val="clear" w:color="auto" w:fill="EAEAEA"/>
          </w:tcPr>
          <w:p>
            <w:pPr>
              <w:spacing w:after="0"/>
              <w:rPr>
                <w:sz w:val="21"/>
                <w:szCs w:val="21"/>
                <w:color w:val="auto"/>
              </w:rPr>
            </w:pPr>
          </w:p>
        </w:tc>
        <w:tc>
          <w:tcPr>
            <w:tcW w:w="800" w:type="dxa"/>
            <w:vAlign w:val="bottom"/>
            <w:tcBorders>
              <w:bottom w:val="single" w:sz="8" w:color="auto"/>
            </w:tcBorders>
            <w:shd w:val="clear" w:color="auto" w:fill="EAEAEA"/>
          </w:tcPr>
          <w:p>
            <w:pPr>
              <w:ind w:left="58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shd w:val="clear" w:color="auto" w:fill="EAEAEA"/>
          </w:tcPr>
          <w:p>
            <w:pPr>
              <w:spacing w:after="0"/>
              <w:rPr>
                <w:sz w:val="21"/>
                <w:szCs w:val="21"/>
                <w:color w:val="auto"/>
              </w:rPr>
            </w:pPr>
          </w:p>
        </w:tc>
        <w:tc>
          <w:tcPr>
            <w:tcW w:w="160" w:type="dxa"/>
            <w:vAlign w:val="bottom"/>
            <w:tcBorders>
              <w:bottom w:val="single" w:sz="8" w:color="auto"/>
            </w:tcBorders>
            <w:shd w:val="clear" w:color="auto" w:fill="EAEAEA"/>
          </w:tcPr>
          <w:p>
            <w:pPr>
              <w:spacing w:after="0"/>
              <w:rPr>
                <w:sz w:val="21"/>
                <w:szCs w:val="21"/>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17,791</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17,791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452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Fair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Gross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Hierarchy</w:t>
            </w:r>
          </w:p>
        </w:tc>
        <w:tc>
          <w:tcPr>
            <w:tcW w:w="10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Amortized</w:t>
            </w:r>
          </w:p>
        </w:tc>
        <w:tc>
          <w:tcPr>
            <w:tcW w:w="20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Fair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20" w:type="dxa"/>
            <w:vAlign w:val="bottom"/>
            <w:tcBorders>
              <w:bottom w:val="single" w:sz="8" w:color="EAEAEA"/>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100" w:type="dxa"/>
            <w:vAlign w:val="bottom"/>
            <w:tcBorders>
              <w:bottom w:val="single" w:sz="8" w:color="EAEAEA"/>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Cost</w:t>
            </w:r>
          </w:p>
        </w:tc>
        <w:tc>
          <w:tcPr>
            <w:tcW w:w="200" w:type="dxa"/>
            <w:vAlign w:val="bottom"/>
            <w:tcBorders>
              <w:bottom w:val="single" w:sz="8" w:color="EAEAEA"/>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Gains</w:t>
            </w:r>
          </w:p>
        </w:tc>
        <w:tc>
          <w:tcPr>
            <w:tcW w:w="220" w:type="dxa"/>
            <w:vAlign w:val="bottom"/>
            <w:tcBorders>
              <w:bottom w:val="single" w:sz="8" w:color="EAEAEA"/>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200" w:type="dxa"/>
            <w:vAlign w:val="bottom"/>
            <w:tcBorders>
              <w:bottom w:val="single" w:sz="8" w:color="EAEAEA"/>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60" w:type="dxa"/>
            <w:vAlign w:val="bottom"/>
            <w:tcBorders>
              <w:bottom w:val="single" w:sz="8" w:color="EAEAEA"/>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EAEAEA"/>
          </w:tcPr>
          <w:p>
            <w:pPr>
              <w:spacing w:after="0" w:line="206" w:lineRule="exact"/>
              <w:rPr>
                <w:sz w:val="20"/>
                <w:szCs w:val="20"/>
                <w:color w:val="auto"/>
              </w:rPr>
            </w:pPr>
            <w:r>
              <w:rPr>
                <w:rFonts w:ascii="Times New Roman" w:cs="Times New Roman" w:eastAsia="Times New Roman" w:hAnsi="Times New Roman"/>
                <w:sz w:val="20"/>
                <w:szCs w:val="20"/>
                <w:color w:val="auto"/>
              </w:rPr>
              <w:t>Financial assets included in cash and</w:t>
            </w:r>
          </w:p>
        </w:tc>
        <w:tc>
          <w:tcPr>
            <w:tcW w:w="98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520" w:type="dxa"/>
            <w:vAlign w:val="bottom"/>
            <w:shd w:val="clear" w:color="auto" w:fill="EAEAEA"/>
          </w:tcPr>
          <w:p>
            <w:pPr>
              <w:jc w:val="right"/>
              <w:ind w:right="2900"/>
              <w:spacing w:after="0"/>
              <w:rPr>
                <w:sz w:val="20"/>
                <w:szCs w:val="20"/>
                <w:color w:val="auto"/>
              </w:rPr>
            </w:pPr>
            <w:r>
              <w:rPr>
                <w:rFonts w:ascii="Times New Roman" w:cs="Times New Roman" w:eastAsia="Times New Roman" w:hAnsi="Times New Roman"/>
                <w:sz w:val="20"/>
                <w:szCs w:val="20"/>
                <w:color w:val="auto"/>
              </w:rPr>
              <w:t>cash equivalents:</w:t>
            </w:r>
          </w:p>
        </w:tc>
        <w:tc>
          <w:tcPr>
            <w:tcW w:w="98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78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78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80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80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980" w:type="dxa"/>
            <w:vAlign w:val="bottom"/>
            <w:tcBorders>
              <w:bottom w:val="single" w:sz="8" w:color="EAEAEA"/>
            </w:tcBorders>
          </w:tcPr>
          <w:p>
            <w:pPr>
              <w:jc w:val="center"/>
              <w:spacing w:after="0"/>
              <w:rPr>
                <w:sz w:val="20"/>
                <w:szCs w:val="20"/>
                <w:color w:val="auto"/>
              </w:rPr>
            </w:pPr>
            <w:r>
              <w:rPr>
                <w:rFonts w:ascii="Times New Roman" w:cs="Times New Roman" w:eastAsia="Times New Roman" w:hAnsi="Times New Roman"/>
                <w:sz w:val="20"/>
                <w:szCs w:val="20"/>
                <w:color w:val="auto"/>
                <w:w w:val="99"/>
              </w:rPr>
              <w:t>Level 1</w:t>
            </w:r>
          </w:p>
        </w:tc>
        <w:tc>
          <w:tcPr>
            <w:tcW w:w="100" w:type="dxa"/>
            <w:vAlign w:val="bottom"/>
            <w:tcBorders>
              <w:bottom w:val="single" w:sz="8" w:color="EA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56,031</w:t>
            </w:r>
          </w:p>
        </w:tc>
        <w:tc>
          <w:tcPr>
            <w:tcW w:w="200" w:type="dxa"/>
            <w:vAlign w:val="bottom"/>
            <w:tcBorders>
              <w:bottom w:val="single" w:sz="8" w:color="EAEAEA"/>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Borders>
              <w:bottom w:val="single" w:sz="8" w:color="EAEAEA"/>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bottom w:val="single" w:sz="8" w:color="EAEAEA"/>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56,031</w:t>
            </w:r>
          </w:p>
        </w:tc>
        <w:tc>
          <w:tcPr>
            <w:tcW w:w="6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52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9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80" w:type="dxa"/>
            <w:vAlign w:val="bottom"/>
            <w:tcBorders>
              <w:bottom w:val="single" w:sz="8" w:color="auto"/>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EAEAEA"/>
              </w:rPr>
              <w:t>$</w:t>
            </w:r>
          </w:p>
        </w:tc>
        <w:tc>
          <w:tcPr>
            <w:tcW w:w="78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EAEAEA"/>
              </w:rPr>
              <w:t>56,031</w:t>
            </w:r>
          </w:p>
        </w:tc>
        <w:tc>
          <w:tcPr>
            <w:tcW w:w="200" w:type="dxa"/>
            <w:vAlign w:val="bottom"/>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EAEAEA"/>
          </w:tcPr>
          <w:p>
            <w:pPr>
              <w:ind w:left="580"/>
              <w:spacing w:after="0" w:line="225"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shd w:val="clear" w:color="auto" w:fill="EAEAEA"/>
          </w:tcPr>
          <w:p>
            <w:pPr>
              <w:ind w:left="600"/>
              <w:spacing w:after="0" w:line="225"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80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EAEAEA"/>
              </w:rPr>
              <w:t>56,031</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-3371215</wp:posOffset>
            </wp:positionV>
            <wp:extent cx="284162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extLst>
                        <a:ext uri="{28A0092B-C50C-407E-A947-70E740481C1C}"/>
                      </a:extLst>
                    </a:blip>
                    <a:srcRect/>
                    <a:stretch>
                      <a:fillRect/>
                    </a:stretch>
                  </pic:blipFill>
                  <pic:spPr bwMode="auto">
                    <a:xfrm>
                      <a:off x="0" y="0"/>
                      <a:ext cx="2841625" cy="3810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-1239520</wp:posOffset>
            </wp:positionV>
            <wp:extent cx="284162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0">
                      <a:extLst>
                        <a:ext uri="{28A0092B-C50C-407E-A947-70E740481C1C}"/>
                      </a:extLst>
                    </a:blip>
                    <a:srcRect/>
                    <a:stretch>
                      <a:fillRect/>
                    </a:stretch>
                  </pic:blipFill>
                  <pic:spPr bwMode="auto">
                    <a:xfrm>
                      <a:off x="0" y="0"/>
                      <a:ext cx="2841625" cy="38100"/>
                    </a:xfrm>
                    <a:prstGeom prst="rect">
                      <a:avLst/>
                    </a:prstGeom>
                    <a:noFill/>
                  </pic:spPr>
                </pic:pic>
              </a:graphicData>
            </a:graphic>
          </wp:anchor>
        </w:drawing>
      </w:r>
    </w:p>
    <w:p>
      <w:pPr>
        <w:spacing w:after="0" w:line="8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Company evaluates transfers between levels at the end of each reporting period. There were no transfers between Levels 1, 2 and 3 during the year ended December 31, 2025 and 2024. As of December 31, 2025 and December 31, 2024, there were no financial instruments classified as Level 2. There have been no realized gains or losses recognized for the periods presented. Unrealized gains and losses are included in accumulated other comprehensive loss within stockholders' equity on the balance sheet. There were no investments as of December 31, 2025 and December 31, 2024, as such, no allowance for</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080"/>
          </w:cols>
          <w:pgMar w:left="1080" w:top="1060" w:right="1080" w:bottom="175" w:gutter="0" w:footer="0" w:header="0"/>
          <w:type w:val="continuous"/>
        </w:sectPr>
      </w:pPr>
    </w:p>
    <w:bookmarkStart w:id="108" w:name="page109"/>
    <w:bookmarkEnd w:id="108"/>
    <w:p>
      <w:pPr>
        <w:ind w:right="740"/>
        <w:spacing w:after="0" w:line="277" w:lineRule="auto"/>
        <w:rPr>
          <w:sz w:val="20"/>
          <w:szCs w:val="20"/>
          <w:color w:val="auto"/>
        </w:rPr>
      </w:pPr>
      <w:r>
        <w:rPr>
          <w:rFonts w:ascii="Times New Roman" w:cs="Times New Roman" w:eastAsia="Times New Roman" w:hAnsi="Times New Roman"/>
          <w:sz w:val="20"/>
          <w:szCs w:val="20"/>
          <w:color w:val="auto"/>
        </w:rPr>
        <w:t>credit losses has been recognized as of December 31, 2025. During the year ended December 31, 2025 and 2024, the Company did not recognize any impairment losses related to investments.</w:t>
      </w:r>
    </w:p>
    <w:p>
      <w:pPr>
        <w:spacing w:after="0" w:line="49"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auto"/>
        </w:rPr>
        <w:t>The warrant liability in the table above consisted of the fair value of the Common Warrants (see Note 5) and was based on significant inputs not observable in the market, which represents a Level 3 measurement within the fair value hierarchy.</w:t>
      </w:r>
    </w:p>
    <w:p>
      <w:pPr>
        <w:spacing w:after="0" w:line="4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The following table provides a full roll forward of the aggregate fair value of the warrant liability categorized within Level 3 inputs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320" w:type="dxa"/>
            <w:vAlign w:val="bottom"/>
            <w:gridSpan w:val="7"/>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Warrant Liability</w:t>
            </w:r>
          </w:p>
        </w:tc>
        <w:tc>
          <w:tcPr>
            <w:tcW w:w="0" w:type="dxa"/>
            <w:vAlign w:val="bottom"/>
          </w:tcPr>
          <w:p>
            <w:pPr>
              <w:spacing w:after="0"/>
              <w:rPr>
                <w:sz w:val="1"/>
                <w:szCs w:val="1"/>
                <w:color w:val="auto"/>
              </w:rPr>
            </w:pPr>
          </w:p>
        </w:tc>
      </w:tr>
      <w:tr>
        <w:trPr>
          <w:trHeight w:val="239"/>
        </w:trPr>
        <w:tc>
          <w:tcPr>
            <w:tcW w:w="618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660" w:type="dxa"/>
            <w:vAlign w:val="bottom"/>
            <w:tcBorders>
              <w:top w:val="single" w:sz="8" w:color="EAEAEA"/>
            </w:tcBorders>
            <w:shd w:val="clear" w:color="auto" w:fill="EAEAEA"/>
          </w:tcPr>
          <w:p>
            <w:pPr>
              <w:spacing w:after="0"/>
              <w:rPr>
                <w:sz w:val="20"/>
                <w:szCs w:val="20"/>
                <w:color w:val="auto"/>
              </w:rPr>
            </w:pPr>
          </w:p>
        </w:tc>
        <w:tc>
          <w:tcPr>
            <w:tcW w:w="540" w:type="dxa"/>
            <w:vAlign w:val="bottom"/>
            <w:tcBorders>
              <w:top w:val="single" w:sz="8" w:color="EAEAEA"/>
            </w:tcBorders>
            <w:shd w:val="clear" w:color="auto" w:fill="EAEAEA"/>
          </w:tcPr>
          <w:p>
            <w:pPr>
              <w:spacing w:after="0"/>
              <w:rPr>
                <w:sz w:val="20"/>
                <w:szCs w:val="20"/>
                <w:color w:val="auto"/>
              </w:rPr>
            </w:pPr>
          </w:p>
        </w:tc>
        <w:tc>
          <w:tcPr>
            <w:tcW w:w="380" w:type="dxa"/>
            <w:vAlign w:val="bottom"/>
            <w:tcBorders>
              <w:top w:val="single" w:sz="8" w:color="auto"/>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top w:val="single" w:sz="8" w:color="auto"/>
            </w:tcBorders>
            <w:shd w:val="clear" w:color="auto" w:fill="EAEAEA"/>
          </w:tcPr>
          <w:p>
            <w:pPr>
              <w:spacing w:after="0"/>
              <w:rPr>
                <w:sz w:val="20"/>
                <w:szCs w:val="20"/>
                <w:color w:val="auto"/>
              </w:rPr>
            </w:pPr>
          </w:p>
        </w:tc>
        <w:tc>
          <w:tcPr>
            <w:tcW w:w="160" w:type="dxa"/>
            <w:vAlign w:val="bottom"/>
            <w:tcBorders>
              <w:top w:val="single" w:sz="8" w:color="auto"/>
            </w:tcBorders>
            <w:shd w:val="clear" w:color="auto" w:fill="EAEAEA"/>
          </w:tcPr>
          <w:p>
            <w:pPr>
              <w:spacing w:after="0"/>
              <w:rPr>
                <w:sz w:val="20"/>
                <w:szCs w:val="20"/>
                <w:color w:val="auto"/>
              </w:rPr>
            </w:pPr>
          </w:p>
        </w:tc>
        <w:tc>
          <w:tcPr>
            <w:tcW w:w="100" w:type="dxa"/>
            <w:vAlign w:val="bottom"/>
            <w:tcBorders>
              <w:top w:val="single" w:sz="8" w:color="auto"/>
            </w:tcBorders>
            <w:shd w:val="clear" w:color="auto" w:fill="EAEAEA"/>
          </w:tcPr>
          <w:p>
            <w:pPr>
              <w:spacing w:after="0"/>
              <w:rPr>
                <w:sz w:val="20"/>
                <w:szCs w:val="20"/>
                <w:color w:val="auto"/>
              </w:rPr>
            </w:pPr>
          </w:p>
        </w:tc>
        <w:tc>
          <w:tcPr>
            <w:tcW w:w="480" w:type="dxa"/>
            <w:vAlign w:val="bottom"/>
            <w:tcBorders>
              <w:top w:val="single" w:sz="8" w:color="auto"/>
            </w:tcBorders>
            <w:shd w:val="clear" w:color="auto" w:fill="EAEAEA"/>
          </w:tcPr>
          <w:p>
            <w:pPr>
              <w:spacing w:after="0"/>
              <w:rPr>
                <w:sz w:val="20"/>
                <w:szCs w:val="20"/>
                <w:color w:val="auto"/>
              </w:rPr>
            </w:pPr>
          </w:p>
        </w:tc>
        <w:tc>
          <w:tcPr>
            <w:tcW w:w="96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EAEAEA"/>
            </w:tcBorders>
            <w:shd w:val="clear" w:color="auto" w:fill="EAEAEA"/>
          </w:tcPr>
          <w:p>
            <w:pPr>
              <w:spacing w:after="0"/>
              <w:rPr>
                <w:sz w:val="20"/>
                <w:szCs w:val="20"/>
                <w:color w:val="auto"/>
              </w:rPr>
            </w:pPr>
          </w:p>
        </w:tc>
        <w:tc>
          <w:tcPr>
            <w:tcW w:w="6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warrants</w:t>
            </w: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8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Change in fair value</w:t>
            </w:r>
          </w:p>
        </w:tc>
        <w:tc>
          <w:tcPr>
            <w:tcW w:w="660" w:type="dxa"/>
            <w:vAlign w:val="bottom"/>
            <w:shd w:val="clear" w:color="auto" w:fill="EAEAEA"/>
          </w:tcPr>
          <w:p>
            <w:pPr>
              <w:spacing w:after="0"/>
              <w:rPr>
                <w:sz w:val="21"/>
                <w:szCs w:val="21"/>
                <w:color w:val="auto"/>
              </w:rPr>
            </w:pPr>
          </w:p>
        </w:tc>
        <w:tc>
          <w:tcPr>
            <w:tcW w:w="540" w:type="dxa"/>
            <w:vAlign w:val="bottom"/>
            <w:shd w:val="clear" w:color="auto" w:fill="EAEAEA"/>
          </w:tcPr>
          <w:p>
            <w:pPr>
              <w:spacing w:after="0"/>
              <w:rPr>
                <w:sz w:val="21"/>
                <w:szCs w:val="21"/>
                <w:color w:val="auto"/>
              </w:rPr>
            </w:pPr>
          </w:p>
        </w:tc>
        <w:tc>
          <w:tcPr>
            <w:tcW w:w="380" w:type="dxa"/>
            <w:vAlign w:val="bottom"/>
            <w:shd w:val="clear" w:color="auto" w:fill="EAEAEA"/>
          </w:tcPr>
          <w:p>
            <w:pPr>
              <w:spacing w:after="0"/>
              <w:rPr>
                <w:sz w:val="21"/>
                <w:szCs w:val="21"/>
                <w:color w:val="auto"/>
              </w:rPr>
            </w:pPr>
          </w:p>
        </w:tc>
        <w:tc>
          <w:tcPr>
            <w:tcW w:w="54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80" w:type="dxa"/>
            <w:vAlign w:val="bottom"/>
            <w:shd w:val="clear" w:color="auto" w:fill="EAEAEA"/>
          </w:tcPr>
          <w:p>
            <w:pPr>
              <w:spacing w:after="0"/>
              <w:rPr>
                <w:sz w:val="21"/>
                <w:szCs w:val="21"/>
                <w:color w:val="auto"/>
              </w:rPr>
            </w:pPr>
          </w:p>
        </w:tc>
        <w:tc>
          <w:tcPr>
            <w:tcW w:w="1040" w:type="dxa"/>
            <w:vAlign w:val="bottom"/>
            <w:gridSpan w:val="3"/>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(19,857)</w:t>
            </w:r>
          </w:p>
        </w:tc>
        <w:tc>
          <w:tcPr>
            <w:tcW w:w="0" w:type="dxa"/>
            <w:vAlign w:val="bottom"/>
          </w:tcPr>
          <w:p>
            <w:pPr>
              <w:spacing w:after="0"/>
              <w:rPr>
                <w:sz w:val="1"/>
                <w:szCs w:val="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1200" w:type="dxa"/>
            <w:vAlign w:val="bottom"/>
            <w:gridSpan w:val="2"/>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17,791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4. Balance Sheet Components</w:t>
            </w: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61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 consists of the following (in thousands):</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180" w:type="dxa"/>
            <w:vAlign w:val="bottom"/>
            <w:tcBorders>
              <w:bottom w:val="single" w:sz="8" w:color="EAEAEA"/>
            </w:tcBorders>
          </w:tcPr>
          <w:p>
            <w:pPr>
              <w:spacing w:after="0"/>
              <w:rPr>
                <w:sz w:val="20"/>
                <w:szCs w:val="20"/>
                <w:color w:val="auto"/>
              </w:rPr>
            </w:pPr>
          </w:p>
        </w:tc>
        <w:tc>
          <w:tcPr>
            <w:tcW w:w="660" w:type="dxa"/>
            <w:vAlign w:val="bottom"/>
            <w:tcBorders>
              <w:bottom w:val="single" w:sz="8" w:color="EAEAEA"/>
            </w:tcBorders>
          </w:tcPr>
          <w:p>
            <w:pPr>
              <w:spacing w:after="0"/>
              <w:rPr>
                <w:sz w:val="20"/>
                <w:szCs w:val="20"/>
                <w:color w:val="auto"/>
              </w:rPr>
            </w:pPr>
          </w:p>
        </w:tc>
        <w:tc>
          <w:tcPr>
            <w:tcW w:w="9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20"/>
                <w:szCs w:val="20"/>
                <w:b w:val="1"/>
                <w:bCs w:val="1"/>
                <w:color w:val="auto"/>
                <w:w w:val="94"/>
              </w:rPr>
              <w:t>2025</w:t>
            </w: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EAEAEA"/>
            </w:tcBorders>
          </w:tcPr>
          <w:p>
            <w:pPr>
              <w:spacing w:after="0"/>
              <w:rPr>
                <w:sz w:val="20"/>
                <w:szCs w:val="20"/>
                <w:color w:val="auto"/>
              </w:rPr>
            </w:pPr>
          </w:p>
        </w:tc>
        <w:tc>
          <w:tcPr>
            <w:tcW w:w="100" w:type="dxa"/>
            <w:vAlign w:val="bottom"/>
            <w:tcBorders>
              <w:bottom w:val="single" w:sz="8" w:color="EAEAEA"/>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660" w:type="dxa"/>
            <w:vAlign w:val="bottom"/>
            <w:shd w:val="clear" w:color="auto" w:fill="EAEAEA"/>
          </w:tcPr>
          <w:p>
            <w:pPr>
              <w:spacing w:after="0"/>
              <w:rPr>
                <w:sz w:val="20"/>
                <w:szCs w:val="20"/>
                <w:color w:val="auto"/>
              </w:rPr>
            </w:pPr>
          </w:p>
        </w:tc>
        <w:tc>
          <w:tcPr>
            <w:tcW w:w="540" w:type="dxa"/>
            <w:vAlign w:val="bottom"/>
            <w:shd w:val="clear" w:color="auto" w:fill="EAEAEA"/>
          </w:tcPr>
          <w:p>
            <w:pPr>
              <w:jc w:val="right"/>
              <w:ind w:right="340"/>
              <w:spacing w:after="0"/>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shd w:val="clear" w:color="auto" w:fill="EAEAEA"/>
          </w:tcPr>
          <w:p>
            <w:pPr>
              <w:spacing w:after="0"/>
              <w:rPr>
                <w:sz w:val="20"/>
                <w:szCs w:val="20"/>
                <w:color w:val="auto"/>
              </w:rPr>
            </w:pPr>
          </w:p>
        </w:tc>
        <w:tc>
          <w:tcPr>
            <w:tcW w:w="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480" w:type="dxa"/>
            <w:vAlign w:val="bottom"/>
            <w:shd w:val="clear" w:color="auto" w:fill="EAEAEA"/>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3,928</w:t>
            </w: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660" w:type="dxa"/>
            <w:vAlign w:val="bottom"/>
            <w:shd w:val="clear" w:color="auto" w:fill="EAEAEA"/>
          </w:tcPr>
          <w:p>
            <w:pPr>
              <w:spacing w:after="0"/>
              <w:rPr>
                <w:sz w:val="21"/>
                <w:szCs w:val="21"/>
                <w:color w:val="auto"/>
              </w:rPr>
            </w:pPr>
          </w:p>
        </w:tc>
        <w:tc>
          <w:tcPr>
            <w:tcW w:w="540" w:type="dxa"/>
            <w:vAlign w:val="bottom"/>
            <w:shd w:val="clear" w:color="auto" w:fill="EAEAEA"/>
          </w:tcPr>
          <w:p>
            <w:pPr>
              <w:spacing w:after="0"/>
              <w:rPr>
                <w:sz w:val="21"/>
                <w:szCs w:val="21"/>
                <w:color w:val="auto"/>
              </w:rPr>
            </w:pPr>
          </w:p>
        </w:tc>
        <w:tc>
          <w:tcPr>
            <w:tcW w:w="380" w:type="dxa"/>
            <w:vAlign w:val="bottom"/>
            <w:shd w:val="clear" w:color="auto" w:fill="EAEAEA"/>
          </w:tcPr>
          <w:p>
            <w:pPr>
              <w:spacing w:after="0"/>
              <w:rPr>
                <w:sz w:val="21"/>
                <w:szCs w:val="21"/>
                <w:color w:val="auto"/>
              </w:rPr>
            </w:pPr>
          </w:p>
        </w:tc>
        <w:tc>
          <w:tcPr>
            <w:tcW w:w="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80" w:type="dxa"/>
            <w:vAlign w:val="bottom"/>
            <w:shd w:val="clear" w:color="auto" w:fill="EAEAEA"/>
          </w:tcPr>
          <w:p>
            <w:pPr>
              <w:spacing w:after="0"/>
              <w:rPr>
                <w:sz w:val="21"/>
                <w:szCs w:val="21"/>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2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660" w:type="dxa"/>
            <w:vAlign w:val="bottom"/>
            <w:tcBorders>
              <w:bottom w:val="single" w:sz="8" w:color="EAEAEA"/>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160" w:type="dxa"/>
            <w:vAlign w:val="bottom"/>
            <w:tcBorders>
              <w:bottom w:val="single" w:sz="8" w:color="EAEAEA"/>
            </w:tcBorders>
          </w:tcPr>
          <w:p>
            <w:pPr>
              <w:spacing w:after="0"/>
              <w:rPr>
                <w:sz w:val="21"/>
                <w:szCs w:val="21"/>
                <w:color w:val="auto"/>
              </w:rPr>
            </w:pPr>
          </w:p>
        </w:tc>
        <w:tc>
          <w:tcPr>
            <w:tcW w:w="100" w:type="dxa"/>
            <w:vAlign w:val="bottom"/>
            <w:tcBorders>
              <w:bottom w:val="single" w:sz="8" w:color="EAEAEA"/>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3,439</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Total property and equipment, gross</w:t>
            </w:r>
          </w:p>
        </w:tc>
        <w:tc>
          <w:tcPr>
            <w:tcW w:w="660" w:type="dxa"/>
            <w:vAlign w:val="bottom"/>
            <w:shd w:val="clear" w:color="auto" w:fill="EAEAEA"/>
          </w:tcPr>
          <w:p>
            <w:pPr>
              <w:spacing w:after="0"/>
              <w:rPr>
                <w:sz w:val="20"/>
                <w:szCs w:val="20"/>
                <w:color w:val="auto"/>
              </w:rPr>
            </w:pPr>
          </w:p>
        </w:tc>
        <w:tc>
          <w:tcPr>
            <w:tcW w:w="54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480" w:type="dxa"/>
            <w:vAlign w:val="bottom"/>
            <w:shd w:val="clear" w:color="auto" w:fill="EAEAEA"/>
          </w:tcPr>
          <w:p>
            <w:pPr>
              <w:spacing w:after="0"/>
              <w:rPr>
                <w:sz w:val="20"/>
                <w:szCs w:val="20"/>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7,945</w:t>
            </w: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660" w:type="dxa"/>
            <w:vAlign w:val="bottom"/>
            <w:tcBorders>
              <w:bottom w:val="single" w:sz="8" w:color="EAEAEA"/>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(1,009)</w:t>
            </w:r>
          </w:p>
        </w:tc>
        <w:tc>
          <w:tcPr>
            <w:tcW w:w="160" w:type="dxa"/>
            <w:vAlign w:val="bottom"/>
            <w:tcBorders>
              <w:bottom w:val="single" w:sz="8" w:color="EAEAEA"/>
            </w:tcBorders>
          </w:tcPr>
          <w:p>
            <w:pPr>
              <w:spacing w:after="0"/>
              <w:rPr>
                <w:sz w:val="21"/>
                <w:szCs w:val="21"/>
                <w:color w:val="auto"/>
              </w:rPr>
            </w:pPr>
          </w:p>
        </w:tc>
        <w:tc>
          <w:tcPr>
            <w:tcW w:w="100" w:type="dxa"/>
            <w:vAlign w:val="bottom"/>
            <w:tcBorders>
              <w:bottom w:val="single" w:sz="8" w:color="EAEAEA"/>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(4,179)</w:t>
            </w: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18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660" w:type="dxa"/>
            <w:vAlign w:val="bottom"/>
            <w:tcBorders>
              <w:bottom w:val="single" w:sz="8" w:color="EAEAEA"/>
            </w:tcBorders>
            <w:shd w:val="clear" w:color="auto" w:fill="EAEAEA"/>
          </w:tcPr>
          <w:p>
            <w:pPr>
              <w:spacing w:after="0"/>
              <w:rPr>
                <w:sz w:val="22"/>
                <w:szCs w:val="22"/>
                <w:color w:val="auto"/>
              </w:rPr>
            </w:pPr>
          </w:p>
        </w:tc>
        <w:tc>
          <w:tcPr>
            <w:tcW w:w="540" w:type="dxa"/>
            <w:vAlign w:val="bottom"/>
            <w:tcBorders>
              <w:bottom w:val="single" w:sz="8" w:color="auto"/>
            </w:tcBorders>
            <w:shd w:val="clear" w:color="auto" w:fill="EAEAEA"/>
          </w:tcPr>
          <w:p>
            <w:pPr>
              <w:jc w:val="right"/>
              <w:ind w:right="340"/>
              <w:spacing w:after="0"/>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Borders>
              <w:bottom w:val="single" w:sz="8" w:color="auto"/>
            </w:tcBorders>
            <w:shd w:val="clear" w:color="auto" w:fill="EAEAEA"/>
          </w:tcPr>
          <w:p>
            <w:pPr>
              <w:spacing w:after="0"/>
              <w:rPr>
                <w:sz w:val="22"/>
                <w:szCs w:val="22"/>
                <w:color w:val="auto"/>
              </w:rPr>
            </w:pPr>
          </w:p>
        </w:tc>
        <w:tc>
          <w:tcPr>
            <w:tcW w:w="5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60" w:type="dxa"/>
            <w:vAlign w:val="bottom"/>
            <w:tcBorders>
              <w:bottom w:val="single" w:sz="8" w:color="EAEAEA"/>
            </w:tcBorders>
            <w:shd w:val="clear" w:color="auto" w:fill="EAEAEA"/>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480" w:type="dxa"/>
            <w:vAlign w:val="bottom"/>
            <w:tcBorders>
              <w:bottom w:val="single" w:sz="8" w:color="auto"/>
            </w:tcBorders>
            <w:shd w:val="clear" w:color="auto" w:fill="EAEAEA"/>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3,766</w:t>
            </w:r>
          </w:p>
        </w:tc>
        <w:tc>
          <w:tcPr>
            <w:tcW w:w="20" w:type="dxa"/>
            <w:vAlign w:val="bottom"/>
            <w:tcBorders>
              <w:bottom w:val="single" w:sz="8" w:color="auto"/>
            </w:tcBorders>
            <w:shd w:val="clear" w:color="auto" w:fill="EAEAEA"/>
          </w:tcPr>
          <w:p>
            <w:pPr>
              <w:spacing w:after="0"/>
              <w:rPr>
                <w:sz w:val="22"/>
                <w:szCs w:val="22"/>
                <w:color w:val="auto"/>
              </w:rPr>
            </w:pPr>
          </w:p>
        </w:tc>
        <w:tc>
          <w:tcPr>
            <w:tcW w:w="6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auto"/>
        </w:rPr>
        <w:t>Depreciation expense was approximately $1.4 million, $1.7 million, $1.5 million for the years ended December 31, 2025, 2024 and 2023, respectively.</w:t>
      </w:r>
    </w:p>
    <w:p>
      <w:pPr>
        <w:spacing w:after="0" w:line="4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During 2025, the Company ceased the use of its laboratory facility for research and development activities as part of its ongoing efforts to reduce operating costs. Following the cessation of laboratory activities, the leased facilities continued to be utilized for ongoing operating purposes. As a result, the Company evaluated the recoverability of its property and equipment previously used for research and development purposes and determined that the carrying value of certain assets was not recoverable and recorded a one-time impairment charge of $2.2 million which is included as an impairment of long-lived assets in the statements of operations and comprehensive loss for year ended December 31, 2025. The impairment charges primarily related to laboratory equipment and leasehold improvements.</w:t>
      </w:r>
    </w:p>
    <w:p>
      <w:pPr>
        <w:spacing w:after="0" w:line="8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The fair value of the impaired laboratory equipment and leasehold improvements was determined based on estimated net realizable value, using a market approach based on prices for similar assets. Leasehold improvements were assigned no fair value as such assets have no realizable value to a third party. As a result, the carrying value of these assets was written down to their estimated fair value, resulting in the $2.2 million impairment charge.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Expenses and Other Current Liabilities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5"/>
        </w:trPr>
        <w:tc>
          <w:tcPr>
            <w:tcW w:w="6840" w:type="dxa"/>
            <w:vAlign w:val="bottom"/>
            <w:tcBorders>
              <w:bottom w:val="single" w:sz="8" w:color="EAEAEA"/>
            </w:tcBorders>
          </w:tcPr>
          <w:p>
            <w:pPr>
              <w:spacing w:after="0"/>
              <w:rPr>
                <w:sz w:val="19"/>
                <w:szCs w:val="19"/>
                <w:color w:val="auto"/>
              </w:rPr>
            </w:pPr>
          </w:p>
        </w:tc>
        <w:tc>
          <w:tcPr>
            <w:tcW w:w="9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EAEAEA"/>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0"/>
              <w:spacing w:after="0" w:line="225" w:lineRule="exact"/>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Borders>
              <w:bottom w:val="single" w:sz="8" w:color="EAEAEA"/>
            </w:tcBorders>
          </w:tcPr>
          <w:p>
            <w:pPr>
              <w:spacing w:after="0"/>
              <w:rPr>
                <w:sz w:val="19"/>
                <w:szCs w:val="19"/>
                <w:color w:val="auto"/>
              </w:rPr>
            </w:pPr>
          </w:p>
        </w:tc>
      </w:tr>
      <w:tr>
        <w:trPr>
          <w:trHeight w:val="225"/>
        </w:trPr>
        <w:tc>
          <w:tcPr>
            <w:tcW w:w="684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Accrued research and development materials and services</w:t>
            </w:r>
          </w:p>
        </w:tc>
        <w:tc>
          <w:tcPr>
            <w:tcW w:w="960" w:type="dxa"/>
            <w:vAlign w:val="bottom"/>
            <w:shd w:val="clear" w:color="auto" w:fill="EAEAEA"/>
          </w:tcPr>
          <w:p>
            <w:pPr>
              <w:jc w:val="right"/>
              <w:ind w:right="7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3,163</w:t>
            </w:r>
          </w:p>
        </w:tc>
        <w:tc>
          <w:tcPr>
            <w:tcW w:w="260" w:type="dxa"/>
            <w:vAlign w:val="bottom"/>
            <w:shd w:val="clear" w:color="auto" w:fill="EAEAEA"/>
          </w:tcPr>
          <w:p>
            <w:pPr>
              <w:spacing w:after="0"/>
              <w:rPr>
                <w:sz w:val="19"/>
                <w:szCs w:val="19"/>
                <w:color w:val="auto"/>
              </w:rPr>
            </w:pPr>
          </w:p>
        </w:tc>
        <w:tc>
          <w:tcPr>
            <w:tcW w:w="500" w:type="dxa"/>
            <w:vAlign w:val="bottom"/>
            <w:shd w:val="clear" w:color="auto" w:fill="EAEAEA"/>
          </w:tcPr>
          <w:p>
            <w:pPr>
              <w:jc w:val="right"/>
              <w:ind w:right="3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5,947</w:t>
            </w:r>
          </w:p>
        </w:tc>
        <w:tc>
          <w:tcPr>
            <w:tcW w:w="60" w:type="dxa"/>
            <w:vAlign w:val="bottom"/>
            <w:shd w:val="clear" w:color="auto" w:fill="EAEAEA"/>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Accrued personnel expenses</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2,958</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60" w:type="dxa"/>
            <w:vAlign w:val="bottom"/>
          </w:tcPr>
          <w:p>
            <w:pPr>
              <w:spacing w:after="0"/>
              <w:rPr>
                <w:sz w:val="20"/>
                <w:szCs w:val="20"/>
                <w:color w:val="auto"/>
              </w:rPr>
            </w:pPr>
          </w:p>
        </w:tc>
      </w:tr>
      <w:tr>
        <w:trPr>
          <w:trHeight w:val="230"/>
        </w:trPr>
        <w:tc>
          <w:tcPr>
            <w:tcW w:w="68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Accrued professional services</w:t>
            </w:r>
          </w:p>
        </w:tc>
        <w:tc>
          <w:tcPr>
            <w:tcW w:w="960" w:type="dxa"/>
            <w:vAlign w:val="bottom"/>
            <w:shd w:val="clear" w:color="auto" w:fill="EAEAEA"/>
          </w:tcPr>
          <w:p>
            <w:pPr>
              <w:spacing w:after="0"/>
              <w:rPr>
                <w:sz w:val="20"/>
                <w:szCs w:val="20"/>
                <w:color w:val="auto"/>
              </w:rPr>
            </w:pPr>
          </w:p>
        </w:tc>
        <w:tc>
          <w:tcPr>
            <w:tcW w:w="760" w:type="dxa"/>
            <w:vAlign w:val="bottom"/>
            <w:gridSpan w:val="2"/>
            <w:shd w:val="clear" w:color="auto" w:fill="EAEAEA"/>
          </w:tcPr>
          <w:p>
            <w:pPr>
              <w:jc w:val="right"/>
              <w:ind w:right="260"/>
              <w:spacing w:after="0"/>
              <w:rPr>
                <w:sz w:val="20"/>
                <w:szCs w:val="20"/>
                <w:color w:val="auto"/>
              </w:rPr>
            </w:pPr>
            <w:r>
              <w:rPr>
                <w:rFonts w:ascii="Times New Roman" w:cs="Times New Roman" w:eastAsia="Times New Roman" w:hAnsi="Times New Roman"/>
                <w:sz w:val="20"/>
                <w:szCs w:val="20"/>
                <w:color w:val="auto"/>
              </w:rPr>
              <w:t>117</w:t>
            </w:r>
          </w:p>
        </w:tc>
        <w:tc>
          <w:tcPr>
            <w:tcW w:w="500" w:type="dxa"/>
            <w:vAlign w:val="bottom"/>
            <w:shd w:val="clear" w:color="auto" w:fill="EAEAEA"/>
          </w:tcPr>
          <w:p>
            <w:pPr>
              <w:spacing w:after="0"/>
              <w:rPr>
                <w:sz w:val="20"/>
                <w:szCs w:val="20"/>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60" w:type="dxa"/>
            <w:vAlign w:val="bottom"/>
            <w:shd w:val="clear" w:color="auto" w:fill="EAEAEA"/>
          </w:tcPr>
          <w:p>
            <w:pPr>
              <w:spacing w:after="0"/>
              <w:rPr>
                <w:sz w:val="20"/>
                <w:szCs w:val="20"/>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96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169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60" w:type="dxa"/>
            <w:vAlign w:val="bottom"/>
          </w:tcPr>
          <w:p>
            <w:pPr>
              <w:spacing w:after="0"/>
              <w:rPr>
                <w:sz w:val="19"/>
                <w:szCs w:val="19"/>
                <w:color w:val="auto"/>
              </w:rPr>
            </w:pPr>
          </w:p>
        </w:tc>
      </w:tr>
      <w:tr>
        <w:trPr>
          <w:trHeight w:val="245"/>
        </w:trPr>
        <w:tc>
          <w:tcPr>
            <w:tcW w:w="6840" w:type="dxa"/>
            <w:vAlign w:val="bottom"/>
            <w:tcBorders>
              <w:top w:val="single" w:sz="8" w:color="EAEAEA"/>
              <w:bottom w:val="single" w:sz="8" w:color="EAEAEA"/>
            </w:tcBorders>
            <w:shd w:val="clear" w:color="auto" w:fill="EAEAEA"/>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960" w:type="dxa"/>
            <w:vAlign w:val="bottom"/>
            <w:tcBorders>
              <w:top w:val="single" w:sz="8" w:color="auto"/>
              <w:bottom w:val="single" w:sz="8" w:color="auto"/>
            </w:tcBorders>
            <w:shd w:val="clear" w:color="auto" w:fill="EAEAEA"/>
          </w:tcPr>
          <w:p>
            <w:pPr>
              <w:jc w:val="right"/>
              <w:ind w:right="7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6,407</w:t>
            </w:r>
          </w:p>
        </w:tc>
        <w:tc>
          <w:tcPr>
            <w:tcW w:w="260" w:type="dxa"/>
            <w:vAlign w:val="bottom"/>
            <w:tcBorders>
              <w:top w:val="single" w:sz="8" w:color="EAEAEA"/>
              <w:bottom w:val="single" w:sz="8" w:color="EAEAEA"/>
            </w:tcBorders>
            <w:shd w:val="clear" w:color="auto" w:fill="EAEAEA"/>
          </w:tcPr>
          <w:p>
            <w:pPr>
              <w:spacing w:after="0"/>
              <w:rPr>
                <w:sz w:val="21"/>
                <w:szCs w:val="21"/>
                <w:color w:val="auto"/>
              </w:rPr>
            </w:pPr>
          </w:p>
        </w:tc>
        <w:tc>
          <w:tcPr>
            <w:tcW w:w="500" w:type="dxa"/>
            <w:vAlign w:val="bottom"/>
            <w:tcBorders>
              <w:top w:val="single" w:sz="8" w:color="auto"/>
              <w:bottom w:val="single" w:sz="8" w:color="auto"/>
            </w:tcBorders>
            <w:shd w:val="clear" w:color="auto" w:fill="EAEAEA"/>
          </w:tcPr>
          <w:p>
            <w:pPr>
              <w:jc w:val="right"/>
              <w:ind w:right="3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6,662</w:t>
            </w:r>
          </w:p>
        </w:tc>
        <w:tc>
          <w:tcPr>
            <w:tcW w:w="60" w:type="dxa"/>
            <w:vAlign w:val="bottom"/>
            <w:tcBorders>
              <w:top w:val="single" w:sz="8" w:color="EAEAEA"/>
              <w:bottom w:val="single" w:sz="8" w:color="EAEAEA"/>
            </w:tcBorders>
            <w:shd w:val="clear" w:color="auto" w:fill="EAEAEA"/>
          </w:tcPr>
          <w:p>
            <w:pPr>
              <w:spacing w:after="0"/>
              <w:rPr>
                <w:sz w:val="21"/>
                <w:szCs w:val="21"/>
                <w:color w:val="auto"/>
              </w:rPr>
            </w:pPr>
          </w:p>
        </w:tc>
      </w:tr>
      <w:tr>
        <w:trPr>
          <w:trHeight w:val="20"/>
        </w:trPr>
        <w:tc>
          <w:tcPr>
            <w:tcW w:w="6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080"/>
          </w:cols>
          <w:pgMar w:left="1080" w:top="1060" w:right="1080" w:bottom="175"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color w:val="auto"/>
        </w:rPr>
        <w:t>Note 5. Capital Structure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2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As of December 31, 2025 and 2024, the Company was authorized to issue 300,000,000 shares of common stock with a par value of $0.0001 per share and 10,000,000 shares of preferred stock with a par value of $0.0001 per share.</w:t>
      </w:r>
    </w:p>
    <w:p>
      <w:pPr>
        <w:spacing w:after="0" w:line="4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auto"/>
        </w:rPr>
        <w:t>Common stockholders are entitled to dividends when and if declared by the Company’s Board of Directors and after any preferred share dividends are fully paid. The holder of each share of common stock is entitled to one vote. As of December 31, 2025 and 2024, no dividends have been declared.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The Company had reserved common stock for future issuance as follows:</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47"/>
        </w:trPr>
        <w:tc>
          <w:tcPr>
            <w:tcW w:w="6820" w:type="dxa"/>
            <w:vAlign w:val="bottom"/>
          </w:tcPr>
          <w:p>
            <w:pPr>
              <w:spacing w:after="0"/>
              <w:rPr>
                <w:sz w:val="24"/>
                <w:szCs w:val="24"/>
                <w:color w:val="auto"/>
              </w:rPr>
            </w:pPr>
          </w:p>
        </w:tc>
        <w:tc>
          <w:tcPr>
            <w:tcW w:w="22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6820" w:type="dxa"/>
            <w:vAlign w:val="bottom"/>
            <w:tcBorders>
              <w:bottom w:val="single" w:sz="8" w:color="EAEAEA"/>
            </w:tcBorders>
          </w:tcPr>
          <w:p>
            <w:pPr>
              <w:spacing w:after="0"/>
              <w:rPr>
                <w:sz w:val="20"/>
                <w:szCs w:val="20"/>
                <w:color w:val="auto"/>
              </w:rPr>
            </w:pPr>
          </w:p>
        </w:tc>
        <w:tc>
          <w:tcPr>
            <w:tcW w:w="14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EAEAEA"/>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AEAEA"/>
            </w:tcBorders>
          </w:tcPr>
          <w:p>
            <w:pPr>
              <w:spacing w:after="0"/>
              <w:rPr>
                <w:sz w:val="20"/>
                <w:szCs w:val="20"/>
                <w:color w:val="auto"/>
              </w:rPr>
            </w:pPr>
          </w:p>
        </w:tc>
      </w:tr>
      <w:tr>
        <w:trPr>
          <w:trHeight w:val="239"/>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Stock options, issued and outstanding</w:t>
            </w:r>
          </w:p>
        </w:tc>
        <w:tc>
          <w:tcPr>
            <w:tcW w:w="14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8,255,280</w:t>
            </w:r>
          </w:p>
        </w:tc>
        <w:tc>
          <w:tcPr>
            <w:tcW w:w="260" w:type="dxa"/>
            <w:vAlign w:val="bottom"/>
            <w:shd w:val="clear" w:color="auto" w:fill="EAEAEA"/>
          </w:tcPr>
          <w:p>
            <w:pPr>
              <w:spacing w:after="0"/>
              <w:rPr>
                <w:sz w:val="20"/>
                <w:szCs w:val="20"/>
                <w:color w:val="auto"/>
              </w:rPr>
            </w:pPr>
          </w:p>
        </w:tc>
        <w:tc>
          <w:tcPr>
            <w:tcW w:w="500" w:type="dxa"/>
            <w:vAlign w:val="bottom"/>
            <w:shd w:val="clear" w:color="auto" w:fill="EAEAEA"/>
          </w:tcPr>
          <w:p>
            <w:pPr>
              <w:spacing w:after="0"/>
              <w:rPr>
                <w:sz w:val="20"/>
                <w:szCs w:val="20"/>
                <w:color w:val="auto"/>
              </w:rPr>
            </w:pPr>
          </w:p>
        </w:tc>
        <w:tc>
          <w:tcPr>
            <w:tcW w:w="9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9,168,745</w:t>
            </w:r>
          </w:p>
        </w:tc>
        <w:tc>
          <w:tcPr>
            <w:tcW w:w="60" w:type="dxa"/>
            <w:vAlign w:val="bottom"/>
            <w:shd w:val="clear" w:color="auto" w:fill="EAEAEA"/>
          </w:tcPr>
          <w:p>
            <w:pPr>
              <w:spacing w:after="0"/>
              <w:rPr>
                <w:sz w:val="20"/>
                <w:szCs w:val="20"/>
                <w:color w:val="auto"/>
              </w:rPr>
            </w:pPr>
          </w:p>
        </w:tc>
      </w:tr>
      <w:tr>
        <w:trPr>
          <w:trHeight w:val="244"/>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 authorized for future issuance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4,517,434</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2,680,934</w:t>
            </w:r>
          </w:p>
        </w:tc>
        <w:tc>
          <w:tcPr>
            <w:tcW w:w="60" w:type="dxa"/>
            <w:vAlign w:val="bottom"/>
          </w:tcPr>
          <w:p>
            <w:pPr>
              <w:spacing w:after="0"/>
              <w:rPr>
                <w:sz w:val="21"/>
                <w:szCs w:val="21"/>
                <w:color w:val="auto"/>
              </w:rPr>
            </w:pPr>
          </w:p>
        </w:tc>
      </w:tr>
      <w:tr>
        <w:trPr>
          <w:trHeight w:val="244"/>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Employee stock purchase plan, available for future issuance</w:t>
            </w:r>
          </w:p>
        </w:tc>
        <w:tc>
          <w:tcPr>
            <w:tcW w:w="14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805,008</w:t>
            </w:r>
          </w:p>
        </w:tc>
        <w:tc>
          <w:tcPr>
            <w:tcW w:w="260" w:type="dxa"/>
            <w:vAlign w:val="bottom"/>
            <w:shd w:val="clear" w:color="auto" w:fill="EAEAEA"/>
          </w:tcPr>
          <w:p>
            <w:pPr>
              <w:spacing w:after="0"/>
              <w:rPr>
                <w:sz w:val="21"/>
                <w:szCs w:val="21"/>
                <w:color w:val="auto"/>
              </w:rPr>
            </w:pPr>
          </w:p>
        </w:tc>
        <w:tc>
          <w:tcPr>
            <w:tcW w:w="500" w:type="dxa"/>
            <w:vAlign w:val="bottom"/>
            <w:shd w:val="clear" w:color="auto" w:fill="EAEAEA"/>
          </w:tcPr>
          <w:p>
            <w:pPr>
              <w:spacing w:after="0"/>
              <w:rPr>
                <w:sz w:val="21"/>
                <w:szCs w:val="21"/>
                <w:color w:val="auto"/>
              </w:rPr>
            </w:pPr>
          </w:p>
        </w:tc>
        <w:tc>
          <w:tcPr>
            <w:tcW w:w="9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583,263</w:t>
            </w:r>
          </w:p>
        </w:tc>
        <w:tc>
          <w:tcPr>
            <w:tcW w:w="60" w:type="dxa"/>
            <w:vAlign w:val="bottom"/>
            <w:shd w:val="clear" w:color="auto" w:fill="EAEAEA"/>
          </w:tcPr>
          <w:p>
            <w:pPr>
              <w:spacing w:after="0"/>
              <w:rPr>
                <w:sz w:val="21"/>
                <w:szCs w:val="21"/>
                <w:color w:val="auto"/>
              </w:rPr>
            </w:pPr>
          </w:p>
        </w:tc>
      </w:tr>
      <w:tr>
        <w:trPr>
          <w:trHeight w:val="244"/>
        </w:trPr>
        <w:tc>
          <w:tcPr>
            <w:tcW w:w="682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Restricted stock subject to future vesting</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892,500</w:t>
            </w:r>
          </w:p>
        </w:tc>
        <w:tc>
          <w:tcPr>
            <w:tcW w:w="260" w:type="dxa"/>
            <w:vAlign w:val="bottom"/>
            <w:tcBorders>
              <w:bottom w:val="single" w:sz="8" w:color="EAEAEA"/>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AEAEA"/>
            </w:tcBorders>
          </w:tcPr>
          <w:p>
            <w:pPr>
              <w:spacing w:after="0"/>
              <w:rPr>
                <w:sz w:val="21"/>
                <w:szCs w:val="21"/>
                <w:color w:val="auto"/>
              </w:rPr>
            </w:pPr>
          </w:p>
        </w:tc>
      </w:tr>
      <w:tr>
        <w:trPr>
          <w:trHeight w:val="259"/>
        </w:trPr>
        <w:tc>
          <w:tcPr>
            <w:tcW w:w="682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4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14,470,222</w:t>
            </w:r>
          </w:p>
        </w:tc>
        <w:tc>
          <w:tcPr>
            <w:tcW w:w="260" w:type="dxa"/>
            <w:vAlign w:val="bottom"/>
            <w:tcBorders>
              <w:bottom w:val="single" w:sz="8" w:color="EAEAEA"/>
            </w:tcBorders>
            <w:shd w:val="clear" w:color="auto" w:fill="EAEAEA"/>
          </w:tcPr>
          <w:p>
            <w:pPr>
              <w:spacing w:after="0"/>
              <w:rPr>
                <w:sz w:val="22"/>
                <w:szCs w:val="22"/>
                <w:color w:val="auto"/>
              </w:rPr>
            </w:pPr>
          </w:p>
        </w:tc>
        <w:tc>
          <w:tcPr>
            <w:tcW w:w="500" w:type="dxa"/>
            <w:vAlign w:val="bottom"/>
            <w:tcBorders>
              <w:bottom w:val="single" w:sz="8" w:color="auto"/>
            </w:tcBorders>
            <w:shd w:val="clear" w:color="auto" w:fill="EAEAEA"/>
          </w:tcPr>
          <w:p>
            <w:pPr>
              <w:spacing w:after="0"/>
              <w:rPr>
                <w:sz w:val="22"/>
                <w:szCs w:val="22"/>
                <w:color w:val="auto"/>
              </w:rPr>
            </w:pPr>
          </w:p>
        </w:tc>
        <w:tc>
          <w:tcPr>
            <w:tcW w:w="9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12,432,942</w:t>
            </w:r>
          </w:p>
        </w:tc>
        <w:tc>
          <w:tcPr>
            <w:tcW w:w="60" w:type="dxa"/>
            <w:vAlign w:val="bottom"/>
            <w:tcBorders>
              <w:bottom w:val="single" w:sz="8" w:color="EAEAEA"/>
            </w:tcBorders>
            <w:shd w:val="clear" w:color="auto" w:fill="EAEAEA"/>
          </w:tcPr>
          <w:p>
            <w:pPr>
              <w:spacing w:after="0"/>
              <w:rPr>
                <w:sz w:val="22"/>
                <w:szCs w:val="22"/>
                <w:color w:val="auto"/>
              </w:rPr>
            </w:pPr>
          </w:p>
        </w:tc>
      </w:tr>
      <w:tr>
        <w:trPr>
          <w:trHeight w:val="20"/>
        </w:trPr>
        <w:tc>
          <w:tcPr>
            <w:tcW w:w="68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Public Offerings</w:t>
      </w:r>
    </w:p>
    <w:p>
      <w:pPr>
        <w:spacing w:after="0" w:line="12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In April 2023, pursuant to a registration statement on Form S-3, the Company issued and sold 5,750,000 shares of common stock at a public offering price of $30.00 per share in an underwritten public offering. The net proceeds to the Company from the offering were approximately $161.8 million, after deducting underwriting discounts and commissions and offering costs of approximately $11.0 million.</w:t>
      </w:r>
    </w:p>
    <w:p>
      <w:pPr>
        <w:spacing w:after="0" w:line="7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 June 2025, the Company completed an underwritten public offering transaction in which it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The net proceeds to the Company from the offering were approximately $37.2 million, after deducting underwriting discounts and commissions and offering costs of approximately $2.8 million.</w:t>
      </w:r>
    </w:p>
    <w:p>
      <w:pPr>
        <w:spacing w:after="0" w:line="8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In July 2025, in connection with the completed underwritten public offering, the underwriters partially exercised their over-allotment option to purchase an additional 1,381,262 shares of common stock at an offering price of $2.00 per share. The net proceeds from the offering pursuant to the over-allotment option were approximately $2.6 million, after deducting underwriting discounts and commissions and offering costs of approximately $0.2 million.</w:t>
      </w:r>
    </w:p>
    <w:p>
      <w:pPr>
        <w:spacing w:after="0" w:line="7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In October 2025, the Company completed an underwritten public offering transaction in which it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12,195,121 shares of common stock at a per share exercise price of $2.50. The underwriters partially exercised their overallotment option to purchase 1,829,268 shares of common stock. The net proceeds to the Company from the offering were approximately $23.1 million, after deducting underwriting discounts and commissions and offering costs of approximately $1.9 million.</w:t>
      </w:r>
    </w:p>
    <w:p>
      <w:pPr>
        <w:spacing w:after="0" w:line="8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The Company concluded that the common warrants do not meet the equity contract scope exception. The liability associated with the common warrants is recorded as warrant liability in the balance sheet as of December 31, 2025.</w:t>
      </w:r>
    </w:p>
    <w:p>
      <w:pPr>
        <w:spacing w:after="0" w:line="49"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color w:val="auto"/>
        </w:rPr>
        <w:t>The valuation of the common warrants is adjusted to fair value (Level 3) at each subsequent balance sheet date until the common warrants are settled or expired. To this date, due primarily to fluctuations in the Company's common stock price between the issuance date and December 31, 2025, the warrant liability was revalued at $17.8 million as of December 31, 2025. The change in fair value of $19.9 million has been recorded as Change in fair value of common warrant liability.</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080"/>
          </w:cols>
          <w:pgMar w:left="1080" w:top="1056" w:right="1080" w:bottom="175" w:gutter="0" w:footer="0" w:header="0"/>
          <w:type w:val="continuous"/>
        </w:sectPr>
      </w:pPr>
    </w:p>
    <w:bookmarkStart w:id="110" w:name="page111"/>
    <w:bookmarkEnd w:id="110"/>
    <w:p>
      <w:pPr>
        <w:ind w:right="20"/>
        <w:spacing w:after="0" w:line="277" w:lineRule="auto"/>
        <w:rPr>
          <w:sz w:val="20"/>
          <w:szCs w:val="20"/>
          <w:color w:val="auto"/>
        </w:rPr>
      </w:pPr>
      <w:r>
        <w:rPr>
          <w:rFonts w:ascii="Times New Roman" w:cs="Times New Roman" w:eastAsia="Times New Roman" w:hAnsi="Times New Roman"/>
          <w:sz w:val="20"/>
          <w:szCs w:val="20"/>
          <w:color w:val="auto"/>
        </w:rPr>
        <w:t>The Company calculated the fair value of common warrants using the Black-Scholes option pricing model with the following inputs: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40" w:type="dxa"/>
            <w:vAlign w:val="bottom"/>
            <w:gridSpan w:val="9"/>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June 2025 Underwritten Public Offering</w:t>
            </w:r>
          </w:p>
        </w:tc>
      </w:tr>
      <w:tr>
        <w:trPr>
          <w:trHeight w:val="230"/>
        </w:trPr>
        <w:tc>
          <w:tcPr>
            <w:tcW w:w="3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June 20,</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00" w:type="dxa"/>
            <w:vAlign w:val="bottom"/>
          </w:tcPr>
          <w:p>
            <w:pPr>
              <w:spacing w:after="0"/>
              <w:rPr>
                <w:sz w:val="19"/>
                <w:szCs w:val="19"/>
                <w:color w:val="auto"/>
              </w:rPr>
            </w:pPr>
          </w:p>
        </w:tc>
      </w:tr>
      <w:tr>
        <w:trPr>
          <w:trHeight w:val="244"/>
        </w:trPr>
        <w:tc>
          <w:tcPr>
            <w:tcW w:w="39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3"/>
        </w:trPr>
        <w:tc>
          <w:tcPr>
            <w:tcW w:w="39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gridSpan w:val="3"/>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9"/>
              </w:rPr>
              <w:t>(issuance)</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(period end)</w:t>
            </w:r>
          </w:p>
        </w:tc>
      </w:tr>
      <w:tr>
        <w:trPr>
          <w:trHeight w:val="239"/>
        </w:trPr>
        <w:tc>
          <w:tcPr>
            <w:tcW w:w="396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Common stock price</w:t>
            </w:r>
          </w:p>
        </w:tc>
        <w:tc>
          <w:tcPr>
            <w:tcW w:w="2020" w:type="dxa"/>
            <w:vAlign w:val="bottom"/>
            <w:tcBorders>
              <w:top w:val="single" w:sz="8" w:color="EAEAEA"/>
            </w:tcBorders>
            <w:shd w:val="clear" w:color="auto" w:fill="EAEAEA"/>
          </w:tcPr>
          <w:p>
            <w:pPr>
              <w:spacing w:after="0"/>
              <w:rPr>
                <w:sz w:val="20"/>
                <w:szCs w:val="20"/>
                <w:color w:val="auto"/>
              </w:rPr>
            </w:pPr>
          </w:p>
        </w:tc>
        <w:tc>
          <w:tcPr>
            <w:tcW w:w="160" w:type="dxa"/>
            <w:vAlign w:val="bottom"/>
            <w:tcBorders>
              <w:top w:val="single" w:sz="8" w:color="auto"/>
            </w:tcBorders>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20" w:type="dxa"/>
            <w:vAlign w:val="bottom"/>
            <w:tcBorders>
              <w:top w:val="single" w:sz="8" w:color="EAEAEA"/>
            </w:tcBorders>
            <w:shd w:val="clear" w:color="auto" w:fill="EAEAEA"/>
          </w:tcPr>
          <w:p>
            <w:pPr>
              <w:spacing w:after="0"/>
              <w:rPr>
                <w:sz w:val="20"/>
                <w:szCs w:val="20"/>
                <w:color w:val="auto"/>
              </w:rPr>
            </w:pPr>
          </w:p>
        </w:tc>
        <w:tc>
          <w:tcPr>
            <w:tcW w:w="280" w:type="dxa"/>
            <w:vAlign w:val="bottom"/>
            <w:tcBorders>
              <w:top w:val="single" w:sz="8" w:color="EAEAEA"/>
            </w:tcBorders>
            <w:shd w:val="clear" w:color="auto" w:fill="EAEAEA"/>
          </w:tcPr>
          <w:p>
            <w:pPr>
              <w:spacing w:after="0"/>
              <w:rPr>
                <w:sz w:val="20"/>
                <w:szCs w:val="20"/>
                <w:color w:val="auto"/>
              </w:rPr>
            </w:pPr>
          </w:p>
        </w:tc>
        <w:tc>
          <w:tcPr>
            <w:tcW w:w="120" w:type="dxa"/>
            <w:vAlign w:val="bottom"/>
            <w:tcBorders>
              <w:top w:val="single" w:sz="8" w:color="EAEAEA"/>
            </w:tcBorders>
            <w:shd w:val="clear" w:color="auto" w:fill="EAEAEA"/>
          </w:tcPr>
          <w:p>
            <w:pPr>
              <w:spacing w:after="0"/>
              <w:rPr>
                <w:sz w:val="20"/>
                <w:szCs w:val="20"/>
                <w:color w:val="auto"/>
              </w:rPr>
            </w:pPr>
          </w:p>
        </w:tc>
        <w:tc>
          <w:tcPr>
            <w:tcW w:w="200" w:type="dxa"/>
            <w:vAlign w:val="bottom"/>
            <w:tcBorders>
              <w:top w:val="single" w:sz="8" w:color="auto"/>
            </w:tcBorders>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0" w:type="dxa"/>
            <w:vAlign w:val="bottom"/>
            <w:tcBorders>
              <w:top w:val="single" w:sz="8" w:color="auto"/>
            </w:tcBorders>
            <w:shd w:val="clear" w:color="auto" w:fill="EAEAEA"/>
          </w:tcPr>
          <w:p>
            <w:pPr>
              <w:spacing w:after="0"/>
              <w:rPr>
                <w:sz w:val="20"/>
                <w:szCs w:val="20"/>
                <w:color w:val="auto"/>
              </w:rPr>
            </w:pPr>
          </w:p>
        </w:tc>
        <w:tc>
          <w:tcPr>
            <w:tcW w:w="200" w:type="dxa"/>
            <w:vAlign w:val="bottom"/>
            <w:tcBorders>
              <w:top w:val="single" w:sz="8" w:color="EAEAEA"/>
            </w:tcBorders>
            <w:shd w:val="clear" w:color="auto" w:fill="EAEAEA"/>
          </w:tcPr>
          <w:p>
            <w:pPr>
              <w:spacing w:after="0"/>
              <w:rPr>
                <w:sz w:val="20"/>
                <w:szCs w:val="20"/>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9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Expected term (years)</w:t>
            </w:r>
          </w:p>
        </w:tc>
        <w:tc>
          <w:tcPr>
            <w:tcW w:w="20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5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3.5%</w:t>
            </w:r>
          </w:p>
        </w:tc>
      </w:tr>
      <w:tr>
        <w:trPr>
          <w:trHeight w:val="244"/>
        </w:trPr>
        <w:tc>
          <w:tcPr>
            <w:tcW w:w="39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0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860" w:type="dxa"/>
            <w:vAlign w:val="bottom"/>
            <w:gridSpan w:val="3"/>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132.9%</w:t>
            </w:r>
          </w:p>
        </w:tc>
        <w:tc>
          <w:tcPr>
            <w:tcW w:w="1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760" w:type="dxa"/>
            <w:vAlign w:val="bottom"/>
            <w:gridSpan w:val="3"/>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116.3%</w:t>
            </w:r>
          </w:p>
        </w:tc>
      </w:tr>
      <w:tr>
        <w:trPr>
          <w:trHeight w:val="513"/>
        </w:trPr>
        <w:tc>
          <w:tcPr>
            <w:tcW w:w="3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October 2025 Underwritten Public Offering</w:t>
            </w:r>
          </w:p>
        </w:tc>
        <w:tc>
          <w:tcPr>
            <w:tcW w:w="220" w:type="dxa"/>
            <w:vAlign w:val="bottom"/>
            <w:gridSpan w:val="2"/>
          </w:tcPr>
          <w:p>
            <w:pPr>
              <w:spacing w:after="0"/>
              <w:rPr>
                <w:sz w:val="24"/>
                <w:szCs w:val="24"/>
                <w:color w:val="auto"/>
              </w:rPr>
            </w:pPr>
          </w:p>
        </w:tc>
      </w:tr>
      <w:tr>
        <w:trPr>
          <w:trHeight w:val="287"/>
        </w:trPr>
        <w:tc>
          <w:tcPr>
            <w:tcW w:w="3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9"/>
              </w:rPr>
              <w:t>October 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83"/>
        </w:trPr>
        <w:tc>
          <w:tcPr>
            <w:tcW w:w="3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3"/>
        </w:trPr>
        <w:tc>
          <w:tcPr>
            <w:tcW w:w="39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9"/>
              </w:rPr>
              <w:t>(issuance)</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9"/>
              </w:rPr>
              <w:t>(period end)</w:t>
            </w:r>
          </w:p>
        </w:tc>
      </w:tr>
      <w:tr>
        <w:trPr>
          <w:trHeight w:val="239"/>
        </w:trPr>
        <w:tc>
          <w:tcPr>
            <w:tcW w:w="396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Common stock price</w:t>
            </w:r>
          </w:p>
        </w:tc>
        <w:tc>
          <w:tcPr>
            <w:tcW w:w="2020" w:type="dxa"/>
            <w:vAlign w:val="bottom"/>
            <w:tcBorders>
              <w:top w:val="single" w:sz="8" w:color="EAEAEA"/>
            </w:tcBorders>
            <w:shd w:val="clear" w:color="auto" w:fill="EAEAEA"/>
          </w:tcPr>
          <w:p>
            <w:pPr>
              <w:spacing w:after="0"/>
              <w:rPr>
                <w:sz w:val="20"/>
                <w:szCs w:val="20"/>
                <w:color w:val="auto"/>
              </w:rPr>
            </w:pPr>
          </w:p>
        </w:tc>
        <w:tc>
          <w:tcPr>
            <w:tcW w:w="20" w:type="dxa"/>
            <w:vAlign w:val="bottom"/>
            <w:tcBorders>
              <w:top w:val="single" w:sz="8" w:color="EAEAEA"/>
            </w:tcBorders>
            <w:shd w:val="clear" w:color="auto" w:fill="EAEAEA"/>
          </w:tcPr>
          <w:p>
            <w:pPr>
              <w:spacing w:after="0"/>
              <w:rPr>
                <w:sz w:val="20"/>
                <w:szCs w:val="20"/>
                <w:color w:val="auto"/>
              </w:rPr>
            </w:pPr>
          </w:p>
        </w:tc>
        <w:tc>
          <w:tcPr>
            <w:tcW w:w="14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tcBorders>
              <w:top w:val="single" w:sz="8" w:color="auto"/>
            </w:tcBorders>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280" w:type="dxa"/>
            <w:vAlign w:val="bottom"/>
            <w:tcBorders>
              <w:top w:val="single" w:sz="8" w:color="EAEAEA"/>
            </w:tcBorders>
            <w:shd w:val="clear" w:color="auto" w:fill="EAEAEA"/>
          </w:tcPr>
          <w:p>
            <w:pPr>
              <w:spacing w:after="0"/>
              <w:rPr>
                <w:sz w:val="20"/>
                <w:szCs w:val="20"/>
                <w:color w:val="auto"/>
              </w:rPr>
            </w:pPr>
          </w:p>
        </w:tc>
        <w:tc>
          <w:tcPr>
            <w:tcW w:w="140" w:type="dxa"/>
            <w:vAlign w:val="bottom"/>
            <w:tcBorders>
              <w:top w:val="single" w:sz="8" w:color="EAEAEA"/>
            </w:tcBorders>
            <w:gridSpan w:val="2"/>
            <w:shd w:val="clear" w:color="auto" w:fill="EAEAEA"/>
          </w:tcPr>
          <w:p>
            <w:pPr>
              <w:spacing w:after="0"/>
              <w:rPr>
                <w:sz w:val="20"/>
                <w:szCs w:val="20"/>
                <w:color w:val="auto"/>
              </w:rPr>
            </w:pPr>
          </w:p>
        </w:tc>
        <w:tc>
          <w:tcPr>
            <w:tcW w:w="18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0" w:type="dxa"/>
            <w:vAlign w:val="bottom"/>
            <w:tcBorders>
              <w:top w:val="single" w:sz="8" w:color="EAEAEA"/>
            </w:tcBorders>
            <w:shd w:val="clear" w:color="auto" w:fill="EAEAEA"/>
          </w:tcPr>
          <w:p>
            <w:pPr>
              <w:spacing w:after="0"/>
              <w:rPr>
                <w:sz w:val="20"/>
                <w:szCs w:val="20"/>
                <w:color w:val="auto"/>
              </w:rPr>
            </w:pPr>
          </w:p>
        </w:tc>
        <w:tc>
          <w:tcPr>
            <w:tcW w:w="200" w:type="dxa"/>
            <w:vAlign w:val="bottom"/>
            <w:tcBorders>
              <w:top w:val="single" w:sz="8" w:color="EAEAEA"/>
            </w:tcBorders>
            <w:shd w:val="clear" w:color="auto" w:fill="EAEAEA"/>
          </w:tcPr>
          <w:p>
            <w:pPr>
              <w:spacing w:after="0"/>
              <w:rPr>
                <w:sz w:val="20"/>
                <w:szCs w:val="20"/>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9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Expected term (years)</w:t>
            </w:r>
          </w:p>
        </w:tc>
        <w:tc>
          <w:tcPr>
            <w:tcW w:w="20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5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8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3.6%</w:t>
            </w:r>
          </w:p>
        </w:tc>
      </w:tr>
      <w:tr>
        <w:trPr>
          <w:trHeight w:val="244"/>
        </w:trPr>
        <w:tc>
          <w:tcPr>
            <w:tcW w:w="39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0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1860" w:type="dxa"/>
            <w:vAlign w:val="bottom"/>
            <w:gridSpan w:val="3"/>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121.6%</w:t>
            </w:r>
          </w:p>
        </w:tc>
        <w:tc>
          <w:tcPr>
            <w:tcW w:w="12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760" w:type="dxa"/>
            <w:vAlign w:val="bottom"/>
            <w:gridSpan w:val="3"/>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125.0%</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Warrants</w:t>
      </w:r>
    </w:p>
    <w:p>
      <w:pPr>
        <w:spacing w:after="0" w:line="124"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color w:val="auto"/>
        </w:rPr>
        <w:t>As of December 31, 2025, the following warrants to purchase shares of the Company's common stock were issued and outstanding: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60" w:type="dxa"/>
            <w:vAlign w:val="bottom"/>
          </w:tcPr>
          <w:p>
            <w:pPr>
              <w:spacing w:after="0"/>
              <w:rPr>
                <w:sz w:val="20"/>
                <w:szCs w:val="20"/>
                <w:color w:val="auto"/>
              </w:rPr>
            </w:pPr>
          </w:p>
        </w:tc>
      </w:tr>
      <w:tr>
        <w:trPr>
          <w:trHeight w:val="230"/>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Warrants</w:t>
            </w:r>
          </w:p>
        </w:tc>
        <w:tc>
          <w:tcPr>
            <w:tcW w:w="60" w:type="dxa"/>
            <w:vAlign w:val="bottom"/>
          </w:tcPr>
          <w:p>
            <w:pPr>
              <w:spacing w:after="0"/>
              <w:rPr>
                <w:sz w:val="20"/>
                <w:szCs w:val="20"/>
                <w:color w:val="auto"/>
              </w:rPr>
            </w:pPr>
          </w:p>
        </w:tc>
      </w:tr>
      <w:tr>
        <w:trPr>
          <w:trHeight w:val="253"/>
        </w:trPr>
        <w:tc>
          <w:tcPr>
            <w:tcW w:w="24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b w:val="1"/>
                <w:bCs w:val="1"/>
                <w:color w:val="auto"/>
              </w:rPr>
              <w:t>Warrant Type</w:t>
            </w:r>
          </w:p>
        </w:tc>
        <w:tc>
          <w:tcPr>
            <w:tcW w:w="160" w:type="dxa"/>
            <w:vAlign w:val="bottom"/>
            <w:tcBorders>
              <w:bottom w:val="single" w:sz="8" w:color="EAEAEA"/>
            </w:tcBorders>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Issue Date</w:t>
            </w:r>
          </w:p>
        </w:tc>
        <w:tc>
          <w:tcPr>
            <w:tcW w:w="180" w:type="dxa"/>
            <w:vAlign w:val="bottom"/>
            <w:tcBorders>
              <w:bottom w:val="single" w:sz="8" w:color="EAEAEA"/>
            </w:tcBorders>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Expiration Date</w:t>
            </w:r>
          </w:p>
        </w:tc>
        <w:tc>
          <w:tcPr>
            <w:tcW w:w="160" w:type="dxa"/>
            <w:vAlign w:val="bottom"/>
            <w:tcBorders>
              <w:bottom w:val="single" w:sz="8" w:color="EAEAEA"/>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8"/>
              </w:rPr>
              <w:t>Exercise Price</w:t>
            </w:r>
          </w:p>
        </w:tc>
        <w:tc>
          <w:tcPr>
            <w:tcW w:w="280" w:type="dxa"/>
            <w:vAlign w:val="bottom"/>
            <w:tcBorders>
              <w:bottom w:val="single" w:sz="8" w:color="EAEAEA"/>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60" w:type="dxa"/>
            <w:vAlign w:val="bottom"/>
            <w:tcBorders>
              <w:bottom w:val="single" w:sz="8" w:color="EAEAEA"/>
            </w:tcBorders>
          </w:tcPr>
          <w:p>
            <w:pPr>
              <w:spacing w:after="0"/>
              <w:rPr>
                <w:sz w:val="22"/>
                <w:szCs w:val="22"/>
                <w:color w:val="auto"/>
              </w:rPr>
            </w:pPr>
          </w:p>
        </w:tc>
      </w:tr>
      <w:tr>
        <w:trPr>
          <w:trHeight w:val="239"/>
        </w:trPr>
        <w:tc>
          <w:tcPr>
            <w:tcW w:w="24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Common warrants</w:t>
            </w:r>
          </w:p>
        </w:tc>
        <w:tc>
          <w:tcPr>
            <w:tcW w:w="160" w:type="dxa"/>
            <w:vAlign w:val="bottom"/>
            <w:shd w:val="clear" w:color="auto" w:fill="EAEAEA"/>
          </w:tcPr>
          <w:p>
            <w:pPr>
              <w:spacing w:after="0"/>
              <w:rPr>
                <w:sz w:val="20"/>
                <w:szCs w:val="20"/>
                <w:color w:val="auto"/>
              </w:rPr>
            </w:pPr>
          </w:p>
        </w:tc>
        <w:tc>
          <w:tcPr>
            <w:tcW w:w="196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rPr>
              <w:t>June 20, 2025</w:t>
            </w:r>
          </w:p>
        </w:tc>
        <w:tc>
          <w:tcPr>
            <w:tcW w:w="180" w:type="dxa"/>
            <w:vAlign w:val="bottom"/>
            <w:shd w:val="clear" w:color="auto" w:fill="EAEAEA"/>
          </w:tcPr>
          <w:p>
            <w:pPr>
              <w:spacing w:after="0"/>
              <w:rPr>
                <w:sz w:val="20"/>
                <w:szCs w:val="20"/>
                <w:color w:val="auto"/>
              </w:rPr>
            </w:pPr>
          </w:p>
        </w:tc>
        <w:tc>
          <w:tcPr>
            <w:tcW w:w="17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20"/>
                <w:szCs w:val="20"/>
                <w:color w:val="auto"/>
                <w:w w:val="99"/>
              </w:rPr>
              <w:t>December 20, 2026</w:t>
            </w:r>
          </w:p>
        </w:tc>
        <w:tc>
          <w:tcPr>
            <w:tcW w:w="160" w:type="dxa"/>
            <w:vAlign w:val="bottom"/>
            <w:shd w:val="clear" w:color="auto" w:fill="EAEAEA"/>
          </w:tcPr>
          <w:p>
            <w:pPr>
              <w:spacing w:after="0"/>
              <w:rPr>
                <w:sz w:val="20"/>
                <w:szCs w:val="20"/>
                <w:color w:val="auto"/>
              </w:rPr>
            </w:pPr>
          </w:p>
        </w:tc>
        <w:tc>
          <w:tcPr>
            <w:tcW w:w="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80" w:type="dxa"/>
            <w:vAlign w:val="bottom"/>
            <w:shd w:val="clear" w:color="auto" w:fill="EAEAEA"/>
          </w:tcPr>
          <w:p>
            <w:pPr>
              <w:spacing w:after="0"/>
              <w:rPr>
                <w:sz w:val="20"/>
                <w:szCs w:val="20"/>
                <w:color w:val="auto"/>
              </w:rPr>
            </w:pPr>
          </w:p>
        </w:tc>
        <w:tc>
          <w:tcPr>
            <w:tcW w:w="16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23,000,000</w:t>
            </w:r>
          </w:p>
        </w:tc>
        <w:tc>
          <w:tcPr>
            <w:tcW w:w="60" w:type="dxa"/>
            <w:vAlign w:val="bottom"/>
            <w:shd w:val="clear" w:color="auto" w:fill="EAEAEA"/>
          </w:tcPr>
          <w:p>
            <w:pPr>
              <w:spacing w:after="0"/>
              <w:rPr>
                <w:sz w:val="20"/>
                <w:szCs w:val="20"/>
                <w:color w:val="auto"/>
              </w:rPr>
            </w:pPr>
          </w:p>
        </w:tc>
      </w:tr>
      <w:tr>
        <w:trPr>
          <w:trHeight w:val="244"/>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Common warrants</w:t>
            </w:r>
          </w:p>
        </w:tc>
        <w:tc>
          <w:tcPr>
            <w:tcW w:w="16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8, 2025</w:t>
            </w:r>
          </w:p>
        </w:tc>
        <w:tc>
          <w:tcPr>
            <w:tcW w:w="1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8, 2028</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8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14,024,389</w:t>
            </w:r>
          </w:p>
        </w:tc>
        <w:tc>
          <w:tcPr>
            <w:tcW w:w="60" w:type="dxa"/>
            <w:vAlign w:val="bottom"/>
          </w:tcPr>
          <w:p>
            <w:pPr>
              <w:spacing w:after="0"/>
              <w:rPr>
                <w:sz w:val="21"/>
                <w:szCs w:val="21"/>
                <w:color w:val="auto"/>
              </w:rPr>
            </w:pPr>
          </w:p>
        </w:tc>
      </w:tr>
      <w:tr>
        <w:trPr>
          <w:trHeight w:val="239"/>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37,024,389</w:t>
            </w:r>
          </w:p>
        </w:tc>
        <w:tc>
          <w:tcPr>
            <w:tcW w:w="60" w:type="dxa"/>
            <w:vAlign w:val="bottom"/>
          </w:tcPr>
          <w:p>
            <w:pPr>
              <w:spacing w:after="0"/>
              <w:rPr>
                <w:sz w:val="20"/>
                <w:szCs w:val="20"/>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360"/>
        <w:spacing w:after="0" w:line="277" w:lineRule="auto"/>
        <w:rPr>
          <w:sz w:val="20"/>
          <w:szCs w:val="20"/>
          <w:color w:val="auto"/>
        </w:rPr>
      </w:pPr>
      <w:r>
        <w:rPr>
          <w:rFonts w:ascii="Times New Roman" w:cs="Times New Roman" w:eastAsia="Times New Roman" w:hAnsi="Times New Roman"/>
          <w:sz w:val="20"/>
          <w:szCs w:val="20"/>
          <w:color w:val="auto"/>
        </w:rPr>
        <w:t>There were 1,550,000 pre-funded warrants exercised during the twelve months ended December 31, 2025 resulting in the Company issuing 1,549,860 shares of common stock due to net exercise of the pre-funded warrants.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ATM Offering Agreement with Piper Sandler &amp; Co.</w:t>
      </w:r>
    </w:p>
    <w:p>
      <w:pPr>
        <w:spacing w:after="0" w:line="12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On November 25, 2022, the Company entered into an equity distribution agreement (the 2022 ATM Agreement) with Piper Sandler &amp; Co. (Piper Sandler), as sales agent, with respect to an ATM offering program (the 2022 ATM Offering Program). Pursuant to the prospectus supplement relating to the Offering (as defined below), dated as of November 25, 2022 (the Prospectus Supplement), the Company may offer and sell, from time to time in its sole discretion, shares of its common stock, par value $0.0001 per share (the Common Stock), having an aggregate offering price of up to $100 million (the Shares) through Piper Sandler (the Offering).</w:t>
      </w:r>
    </w:p>
    <w:p>
      <w:pPr>
        <w:spacing w:after="0" w:line="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Offering was registered under the Securities Act of 1933, as amended (the Securities Act), pursuant to our shelf registration statement on Form S-3 (Registration Statement No. 333-267884), as previously filed with the SEC and declared effective on October 14, 2022 (the 2022 Registration Statement). The Company filed a prospectus supplement, dated November 25, 2022, with the SEC that provided for the sale of shares of common stock having an aggregate offering price of up to $100 million in connection with the 2022 ATM Offering Program.</w:t>
      </w:r>
    </w:p>
    <w:p>
      <w:pPr>
        <w:spacing w:after="0" w:line="7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On August 5, 2025, the Company filed a new shelf registration statement on Form S-3 (Registration Statement No. 333-267884), which was declared effective on August 15, 2025 (the 2025 Registration Statement), which replaced the previously filed 2022 Registration Statement. The 2025 Registration Statement included a prospectus, dated August 5, 2025, that provides for the sale of shares of common stock having an aggregate offering price of up to $100 million in connection with the 2022 ATM Offering Program.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2022 ATM Agreement contains customary representations, warranties and agreements by us, and customary</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080"/>
          </w:cols>
          <w:pgMar w:left="1080" w:top="1060" w:right="1080" w:bottom="175" w:gutter="0" w:footer="0" w:header="0"/>
          <w:type w:val="continuous"/>
        </w:sectPr>
      </w:pPr>
    </w:p>
    <w:bookmarkStart w:id="111" w:name="page112"/>
    <w:bookmarkEnd w:id="111"/>
    <w:p>
      <w:pPr>
        <w:ind w:right="60"/>
        <w:spacing w:after="0" w:line="258" w:lineRule="auto"/>
        <w:rPr>
          <w:sz w:val="20"/>
          <w:szCs w:val="20"/>
          <w:color w:val="auto"/>
        </w:rPr>
      </w:pPr>
      <w:r>
        <w:rPr>
          <w:rFonts w:ascii="Times New Roman" w:cs="Times New Roman" w:eastAsia="Times New Roman" w:hAnsi="Times New Roman"/>
          <w:sz w:val="20"/>
          <w:szCs w:val="20"/>
          <w:color w:val="auto"/>
        </w:rPr>
        <w:t>indemnification and contribution rights and obligations of the parties. The Company agreed to pay Piper Sandler a placement fee of up to 3.0% of the aggregate gross proceeds from the sale. The Company also agreed to reimburse Piper Sandler for certain specified expenses in connection with entering into the 2022 ATM Agreement.</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During the twelve months ended December 31, 2025, the Company has received aggregate proceeds from its 2022 ATM Offering Program of $4.9 million, net of commissions and offering costs, pursuant to the issuance of 2,271,122 shares of its common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Stock-Based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24"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color w:val="auto"/>
        </w:rPr>
        <w:t>The Company adopted the 2020 Equity Incentive Plan (the “2020 Plan”) on December 18, 2020. The 2020 Plan reserved 4,327,799 shares of common stock to grant stock-based compensation awards, including stock options and restricted stock awards, to employees and non-employees. As of April 9, 2021, the Company ceased granting awards under the 2020 Plan. However, 2020 Plan awards will remain subject to the terms of the 2020 Plan.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12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In April 2021, the Company adopted the 2021 Equity Incentive Plan (the “2021 Plan”). Options granted under the 2021 Plan expire no later than 10 years from the date of grant. The exercise price of options granted under the 2021 Plan must at least be equal to the fair market value of the Company’s common stock on the date of grant. With respect to any participant who owns more than 10% of the voting power of all classes of the Company’s outstanding stock, the term of an incentive stock option granted to such participant must not exceed five years and the exercise price must equal at least 110% of the fair market value on the grant date. Employee stock options generally vest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quarterly over four years subject to continued service to the Company.</w:t>
      </w:r>
    </w:p>
    <w:p>
      <w:pPr>
        <w:spacing w:after="0" w:line="8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Subject to adjustment in the case of certain capitalization events as provided in the 2021 Plan, the Company initially reserved 3,370,000 shares of the Company’s common stock for issuance pursuant to awards under the 2021 Plan. The 2021 Plan is administered by the Compensation Committee of the Company’s Board of Directors. The number of shares of the Company’s common stock available for issuance under the 2021 Plan will also include an annual increase on the first day of each fiscal year beginning in 2022 and ending in 2031, equal to the lesser of (i) 5% of the Company’s common stock outstanding at December 31 of the immediately preceding year, or (ii) such number of shares as determined by the Company’s Board of Directors. As of December 31, 2025, 2,672,434 shares of common stock remained available for issuance under the 2021 Plan. Effective January 1, 2026, the number of shares of common stock available under the 2021 Plan increased by 3,614,972 shares pursuant to the evergreen provision of the 2021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2023 Inducement Plan</w:t>
      </w:r>
    </w:p>
    <w:p>
      <w:pPr>
        <w:spacing w:after="0" w:line="12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On November 17, 2023, the Company's board of directors adopted the 2023 Inducement Equity Plan (Inducement Plan) pursuant to which the Company reserved 2,000,000 shares of common stock, to be used exclusively for grants of equity-based awards to individuals who were not previously employees or directors of the Company, as an inducement material to the individual’s entry into employment with the Company within the meaning of Rule 5635(c)(4) of the Nasdaq Listing Rules. The Inducement Plan provides for the grant of equity-based awards in the form of non-qualified stock options, stock appreciation rights, restricted stock awards, restricted stock unit awards, performance stock unit awards, unrestricted stock awards, dividend equivalent rights or Other Stock Based Awards (as defined in the Inducement Plan). The Inducement Plan was adopted by the board of directors without stockholder approval pursuant to Rule 5635(c)(4) of the Nasdaq Listing Rules. As of December 31, 2025, 1,845,000 shares of common stock remained available for issuance under the Inducement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2021 Employee Stock Purchase Plan</w:t>
      </w:r>
    </w:p>
    <w:p>
      <w:pPr>
        <w:spacing w:after="0" w:line="12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Company adopted a 2021 Employee Stock Purchase Plan (ESPP) in April 2021. The ESPP enables eligible employees of the Company and designated affiliates to purchase shares of common stock at a discount of 15%. Subject to adjustment in the case of certain capitalization events, a total of 306,000 common shares of the Company were available for purchase at adoption of the ESPP. Pursuant to the ESPP, the annual share increase pursuant to the evergreen provision is determined based on the lesser of (i) 1% of the Company’s common stock outstanding at December 31 of the immediately preceding year, or (ii) such number of shares as determined by the Company’s Board of Directors. As of December 31, 2025, 805,008 shares of common stock remained available for issuance under the ESPP. Effective January 1, 2026, the number of shares of common stock available under the ESPP increased by 722,994 shares pursuant to the evergreen provision of the ESPP.</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080"/>
          </w:cols>
          <w:pgMar w:left="1080" w:top="1060" w:right="1080" w:bottom="175"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color w:val="auto"/>
        </w:rPr>
        <w:t>Repricing</w:t>
      </w:r>
    </w:p>
    <w:p>
      <w:pPr>
        <w:spacing w:after="0" w:line="12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On August 11, 2025 (the Repricing Effective Date), the Company's Board approved a repricing of certain outstanding vested and unvested stock option awards under the 2021 Plan for eligible non-executive employees and certain other service providers (the Repricing Participants). The per share exercise price of eligible stock option awards was reduced to $ 4.50. To receive the benefit of the repricing, Repricing Participants were required to remain an employee or service provider through the period (the Retention Period) that began on the Repricing Effective Date and ended on September 12, 2025 (the Retention Date). No other changes were made to the terms and conditions of the eligible stock option awards. The stock option repricing impacted approximately 2.6 million shares of common stock subject to stock option awards and affected 48 employees and service providers.</w:t>
      </w:r>
    </w:p>
    <w:p>
      <w:pPr>
        <w:spacing w:after="0" w:line="8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The repricing resulted in a total incremental stock-based compensation expense of $0.4 million, which was calculated using the Black-Scholes option pricing model, of which $0.3 million is associated with vested repriced options as of the Retention Date and was recognized on a straight-line basis over the Retention Period. The remaining $0.1 million of the incremental stock-based compensation expense is associated with unvested repriced options beyond the Retention Period and will be recognized on a straight-line basis over the remaining original vesting periods. For the twelve months ended December 31, 2025, the Company recognized $0.3 million of incremental stock-based compensation expense.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Expense</w:t>
      </w:r>
    </w:p>
    <w:p>
      <w:pPr>
        <w:spacing w:after="0" w:line="12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color w:val="auto"/>
        </w:rPr>
        <w:t>Total stock-based compensation expense related to the Company's equity incentive plans and ESPP was recorded in the statements of operations and allocated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20" w:type="dxa"/>
            <w:vAlign w:val="bottom"/>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4"/>
        </w:trPr>
        <w:tc>
          <w:tcPr>
            <w:tcW w:w="5840" w:type="dxa"/>
            <w:vAlign w:val="bottom"/>
            <w:tcBorders>
              <w:bottom w:val="single" w:sz="8" w:color="EAEAEA"/>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EAEAEA"/>
            </w:tcBorders>
          </w:tcPr>
          <w:p>
            <w:pPr>
              <w:spacing w:after="0"/>
              <w:rPr>
                <w:sz w:val="22"/>
                <w:szCs w:val="22"/>
                <w:color w:val="auto"/>
              </w:rPr>
            </w:pPr>
          </w:p>
        </w:tc>
        <w:tc>
          <w:tcPr>
            <w:tcW w:w="140" w:type="dxa"/>
            <w:vAlign w:val="bottom"/>
            <w:tcBorders>
              <w:bottom w:val="single" w:sz="8" w:color="EAEAEA"/>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Borders>
              <w:bottom w:val="single" w:sz="8" w:color="EAEAEA"/>
            </w:tcBorders>
          </w:tcPr>
          <w:p>
            <w:pPr>
              <w:spacing w:after="0"/>
              <w:rPr>
                <w:sz w:val="22"/>
                <w:szCs w:val="22"/>
                <w:color w:val="auto"/>
              </w:rPr>
            </w:pPr>
          </w:p>
        </w:tc>
        <w:tc>
          <w:tcPr>
            <w:tcW w:w="140" w:type="dxa"/>
            <w:vAlign w:val="bottom"/>
            <w:tcBorders>
              <w:bottom w:val="single" w:sz="8" w:color="EAEAEA"/>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AEAEA"/>
            </w:tcBorders>
          </w:tcPr>
          <w:p>
            <w:pPr>
              <w:spacing w:after="0"/>
              <w:rPr>
                <w:sz w:val="22"/>
                <w:szCs w:val="22"/>
                <w:color w:val="auto"/>
              </w:rPr>
            </w:pPr>
          </w:p>
        </w:tc>
      </w:tr>
      <w:tr>
        <w:trPr>
          <w:trHeight w:val="225"/>
        </w:trPr>
        <w:tc>
          <w:tcPr>
            <w:tcW w:w="584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shd w:val="clear" w:color="auto" w:fill="EAEAEA"/>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5,465</w:t>
            </w:r>
          </w:p>
        </w:tc>
        <w:tc>
          <w:tcPr>
            <w:tcW w:w="8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260" w:type="dxa"/>
            <w:vAlign w:val="bottom"/>
            <w:shd w:val="clear" w:color="auto" w:fill="EAEAEA"/>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9,816</w:t>
            </w:r>
          </w:p>
        </w:tc>
        <w:tc>
          <w:tcPr>
            <w:tcW w:w="10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340" w:type="dxa"/>
            <w:vAlign w:val="bottom"/>
            <w:shd w:val="clear" w:color="auto" w:fill="EAEAEA"/>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6,933</w:t>
            </w:r>
          </w:p>
        </w:tc>
        <w:tc>
          <w:tcPr>
            <w:tcW w:w="60" w:type="dxa"/>
            <w:vAlign w:val="bottom"/>
            <w:shd w:val="clear" w:color="auto" w:fill="EAEAEA"/>
          </w:tcPr>
          <w:p>
            <w:pPr>
              <w:spacing w:after="0"/>
              <w:rPr>
                <w:sz w:val="19"/>
                <w:szCs w:val="19"/>
                <w:color w:val="auto"/>
              </w:rPr>
            </w:pPr>
          </w:p>
        </w:tc>
      </w:tr>
      <w:tr>
        <w:trPr>
          <w:trHeight w:val="230"/>
        </w:trPr>
        <w:tc>
          <w:tcPr>
            <w:tcW w:w="584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4,055</w:t>
            </w:r>
          </w:p>
        </w:tc>
        <w:tc>
          <w:tcPr>
            <w:tcW w:w="80" w:type="dxa"/>
            <w:vAlign w:val="bottom"/>
            <w:tcBorders>
              <w:bottom w:val="single" w:sz="8" w:color="EAEAEA"/>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9,278</w:t>
            </w:r>
          </w:p>
        </w:tc>
        <w:tc>
          <w:tcPr>
            <w:tcW w:w="100" w:type="dxa"/>
            <w:vAlign w:val="bottom"/>
            <w:tcBorders>
              <w:bottom w:val="single" w:sz="8" w:color="EAEAEA"/>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7,198</w:t>
            </w:r>
          </w:p>
        </w:tc>
        <w:tc>
          <w:tcPr>
            <w:tcW w:w="60" w:type="dxa"/>
            <w:vAlign w:val="bottom"/>
            <w:tcBorders>
              <w:bottom w:val="single" w:sz="8" w:color="EAEAEA"/>
            </w:tcBorders>
          </w:tcPr>
          <w:p>
            <w:pPr>
              <w:spacing w:after="0"/>
              <w:rPr>
                <w:sz w:val="20"/>
                <w:szCs w:val="20"/>
                <w:color w:val="auto"/>
              </w:rPr>
            </w:pPr>
          </w:p>
        </w:tc>
      </w:tr>
      <w:tr>
        <w:trPr>
          <w:trHeight w:val="245"/>
        </w:trPr>
        <w:tc>
          <w:tcPr>
            <w:tcW w:w="5840" w:type="dxa"/>
            <w:vAlign w:val="bottom"/>
            <w:tcBorders>
              <w:bottom w:val="single" w:sz="8" w:color="EAEAEA"/>
            </w:tcBorders>
            <w:shd w:val="clear" w:color="auto" w:fill="EAEAEA"/>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stock-based compensation expense</w:t>
            </w:r>
          </w:p>
        </w:tc>
        <w:tc>
          <w:tcPr>
            <w:tcW w:w="260" w:type="dxa"/>
            <w:vAlign w:val="bottom"/>
            <w:tcBorders>
              <w:bottom w:val="single" w:sz="8" w:color="auto"/>
            </w:tcBorders>
            <w:shd w:val="clear" w:color="auto" w:fill="EAEAEA"/>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9,520</w:t>
            </w:r>
          </w:p>
        </w:tc>
        <w:tc>
          <w:tcPr>
            <w:tcW w:w="80" w:type="dxa"/>
            <w:vAlign w:val="bottom"/>
            <w:tcBorders>
              <w:bottom w:val="single" w:sz="8" w:color="EAEAEA"/>
            </w:tcBorders>
            <w:shd w:val="clear" w:color="auto" w:fill="EAEAEA"/>
          </w:tcPr>
          <w:p>
            <w:pPr>
              <w:spacing w:after="0"/>
              <w:rPr>
                <w:sz w:val="21"/>
                <w:szCs w:val="21"/>
                <w:color w:val="auto"/>
              </w:rPr>
            </w:pPr>
          </w:p>
        </w:tc>
        <w:tc>
          <w:tcPr>
            <w:tcW w:w="400" w:type="dxa"/>
            <w:vAlign w:val="bottom"/>
            <w:tcBorders>
              <w:bottom w:val="single" w:sz="8" w:color="auto"/>
            </w:tcBorders>
            <w:gridSpan w:val="2"/>
            <w:shd w:val="clear" w:color="auto" w:fill="EAEAEA"/>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19,094</w:t>
            </w:r>
          </w:p>
        </w:tc>
        <w:tc>
          <w:tcPr>
            <w:tcW w:w="100" w:type="dxa"/>
            <w:vAlign w:val="bottom"/>
            <w:tcBorders>
              <w:bottom w:val="single" w:sz="8" w:color="EAEAEA"/>
            </w:tcBorders>
            <w:shd w:val="clear" w:color="auto" w:fill="EAEAEA"/>
          </w:tcPr>
          <w:p>
            <w:pPr>
              <w:spacing w:after="0"/>
              <w:rPr>
                <w:sz w:val="21"/>
                <w:szCs w:val="21"/>
                <w:color w:val="auto"/>
              </w:rPr>
            </w:pPr>
          </w:p>
        </w:tc>
        <w:tc>
          <w:tcPr>
            <w:tcW w:w="140" w:type="dxa"/>
            <w:vAlign w:val="bottom"/>
            <w:tcBorders>
              <w:bottom w:val="single" w:sz="8" w:color="auto"/>
            </w:tcBorders>
            <w:shd w:val="clear" w:color="auto" w:fill="EAEAEA"/>
          </w:tcPr>
          <w:p>
            <w:pPr>
              <w:spacing w:after="0"/>
              <w:rPr>
                <w:sz w:val="21"/>
                <w:szCs w:val="21"/>
                <w:color w:val="auto"/>
              </w:rPr>
            </w:pPr>
          </w:p>
        </w:tc>
        <w:tc>
          <w:tcPr>
            <w:tcW w:w="340" w:type="dxa"/>
            <w:vAlign w:val="bottom"/>
            <w:tcBorders>
              <w:bottom w:val="single" w:sz="8" w:color="auto"/>
            </w:tcBorders>
            <w:shd w:val="clear" w:color="auto" w:fill="EAEAEA"/>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14,131</w:t>
            </w:r>
          </w:p>
        </w:tc>
        <w:tc>
          <w:tcPr>
            <w:tcW w:w="60" w:type="dxa"/>
            <w:vAlign w:val="bottom"/>
            <w:tcBorders>
              <w:bottom w:val="single" w:sz="8" w:color="EAEAEA"/>
            </w:tcBorders>
            <w:shd w:val="clear" w:color="auto" w:fill="EAEAEA"/>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-654685</wp:posOffset>
            </wp:positionV>
            <wp:extent cx="26930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1">
                      <a:extLst>
                        <a:ext uri="{28A0092B-C50C-407E-A947-70E740481C1C}"/>
                      </a:extLst>
                    </a:blip>
                    <a:srcRect/>
                    <a:stretch>
                      <a:fillRect/>
                    </a:stretch>
                  </pic:blipFill>
                  <pic:spPr bwMode="auto">
                    <a:xfrm>
                      <a:off x="0" y="0"/>
                      <a:ext cx="2693035" cy="38100"/>
                    </a:xfrm>
                    <a:prstGeom prst="rect">
                      <a:avLst/>
                    </a:prstGeom>
                    <a:noFill/>
                  </pic:spPr>
                </pic:pic>
              </a:graphicData>
            </a:graphic>
          </wp:anchor>
        </w:drawing>
      </w:r>
    </w:p>
    <w:p>
      <w:pPr>
        <w:spacing w:after="0" w:line="81" w:lineRule="exact"/>
        <w:rPr>
          <w:sz w:val="20"/>
          <w:szCs w:val="20"/>
          <w:color w:val="auto"/>
        </w:rPr>
      </w:pPr>
    </w:p>
    <w:p>
      <w:pPr>
        <w:jc w:val="both"/>
        <w:ind w:right="780"/>
        <w:spacing w:after="0" w:line="258" w:lineRule="auto"/>
        <w:rPr>
          <w:sz w:val="20"/>
          <w:szCs w:val="20"/>
          <w:color w:val="auto"/>
        </w:rPr>
      </w:pPr>
      <w:r>
        <w:rPr>
          <w:rFonts w:ascii="Times New Roman" w:cs="Times New Roman" w:eastAsia="Times New Roman" w:hAnsi="Times New Roman"/>
          <w:sz w:val="20"/>
          <w:szCs w:val="20"/>
          <w:color w:val="auto"/>
        </w:rPr>
        <w:t>As of December 31, 2025, there was $ 10.8 million of total unrecognized compensation cost related to stock options, restricted stock units, and ESPP under the Plans. The unrecognized stock-based compensation cost is expected to be recognized over a weighted-average period of 2.8 years.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Stock Options</w:t>
            </w: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summarizes stock option activity:</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Weighted-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Weighted-</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Contractual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Term</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(in</w:t>
            </w:r>
          </w:p>
        </w:tc>
        <w:tc>
          <w:tcPr>
            <w:tcW w:w="0" w:type="dxa"/>
            <w:vAlign w:val="bottom"/>
          </w:tcPr>
          <w:p>
            <w:pPr>
              <w:spacing w:after="0"/>
              <w:rPr>
                <w:sz w:val="1"/>
                <w:szCs w:val="1"/>
                <w:color w:val="auto"/>
              </w:rPr>
            </w:pPr>
          </w:p>
        </w:tc>
      </w:tr>
      <w:tr>
        <w:trPr>
          <w:trHeight w:val="254"/>
        </w:trPr>
        <w:tc>
          <w:tcPr>
            <w:tcW w:w="4800" w:type="dxa"/>
            <w:vAlign w:val="bottom"/>
          </w:tcPr>
          <w:p>
            <w:pPr>
              <w:spacing w:after="0"/>
              <w:rPr>
                <w:sz w:val="22"/>
                <w:szCs w:val="22"/>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Price</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(Years)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8"/>
              </w:rPr>
              <w:t>thousands)</w:t>
            </w:r>
          </w:p>
        </w:tc>
        <w:tc>
          <w:tcPr>
            <w:tcW w:w="0" w:type="dxa"/>
            <w:vAlign w:val="bottom"/>
          </w:tcPr>
          <w:p>
            <w:pPr>
              <w:spacing w:after="0"/>
              <w:rPr>
                <w:sz w:val="1"/>
                <w:szCs w:val="1"/>
                <w:color w:val="auto"/>
              </w:rPr>
            </w:pPr>
          </w:p>
        </w:tc>
      </w:tr>
      <w:tr>
        <w:trPr>
          <w:trHeight w:val="225"/>
        </w:trPr>
        <w:tc>
          <w:tcPr>
            <w:tcW w:w="480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Balance as of December 31, 2024</w:t>
            </w:r>
          </w:p>
        </w:tc>
        <w:tc>
          <w:tcPr>
            <w:tcW w:w="114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9,168,745</w:t>
            </w:r>
          </w:p>
        </w:tc>
        <w:tc>
          <w:tcPr>
            <w:tcW w:w="140" w:type="dxa"/>
            <w:vAlign w:val="bottom"/>
            <w:tcBorders>
              <w:top w:val="single" w:sz="8" w:color="EAEAEA"/>
            </w:tcBorders>
            <w:shd w:val="clear" w:color="auto" w:fill="EAEAEA"/>
          </w:tcPr>
          <w:p>
            <w:pPr>
              <w:spacing w:after="0"/>
              <w:rPr>
                <w:sz w:val="19"/>
                <w:szCs w:val="19"/>
                <w:color w:val="auto"/>
              </w:rPr>
            </w:pPr>
          </w:p>
        </w:tc>
        <w:tc>
          <w:tcPr>
            <w:tcW w:w="80" w:type="dxa"/>
            <w:vAlign w:val="bottom"/>
            <w:tcBorders>
              <w:top w:val="single" w:sz="8" w:color="EAEAEA"/>
            </w:tcBorders>
            <w:shd w:val="clear" w:color="auto" w:fill="EAEAEA"/>
          </w:tcPr>
          <w:p>
            <w:pPr>
              <w:spacing w:after="0"/>
              <w:rPr>
                <w:sz w:val="19"/>
                <w:szCs w:val="19"/>
                <w:color w:val="auto"/>
              </w:rPr>
            </w:pPr>
          </w:p>
        </w:tc>
        <w:tc>
          <w:tcPr>
            <w:tcW w:w="12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10.19</w:t>
            </w:r>
          </w:p>
        </w:tc>
        <w:tc>
          <w:tcPr>
            <w:tcW w:w="220" w:type="dxa"/>
            <w:vAlign w:val="bottom"/>
            <w:tcBorders>
              <w:top w:val="single" w:sz="8" w:color="EAEAEA"/>
            </w:tcBorders>
            <w:shd w:val="clear" w:color="auto" w:fill="EAEAEA"/>
          </w:tcPr>
          <w:p>
            <w:pPr>
              <w:spacing w:after="0"/>
              <w:rPr>
                <w:sz w:val="19"/>
                <w:szCs w:val="19"/>
                <w:color w:val="auto"/>
              </w:rPr>
            </w:pPr>
          </w:p>
        </w:tc>
        <w:tc>
          <w:tcPr>
            <w:tcW w:w="106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7.6</w:t>
            </w:r>
          </w:p>
        </w:tc>
        <w:tc>
          <w:tcPr>
            <w:tcW w:w="24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119</w:t>
            </w:r>
          </w:p>
        </w:tc>
        <w:tc>
          <w:tcPr>
            <w:tcW w:w="60" w:type="dxa"/>
            <w:vAlign w:val="bottom"/>
            <w:tcBorders>
              <w:top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3,854,981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28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280" w:type="dxa"/>
            <w:vAlign w:val="bottom"/>
            <w:gridSpan w:val="2"/>
            <w:shd w:val="clear" w:color="auto" w:fill="EAEAEA"/>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06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Cancelled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(4,768,446)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9.82</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00" w:type="dxa"/>
            <w:vAlign w:val="bottom"/>
            <w:tcBorders>
              <w:top w:val="single" w:sz="8" w:color="EAEAEA"/>
              <w:bottom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Balance as of December 31, 2025</w:t>
            </w:r>
          </w:p>
        </w:tc>
        <w:tc>
          <w:tcPr>
            <w:tcW w:w="114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8,255,280</w:t>
            </w:r>
          </w:p>
        </w:tc>
        <w:tc>
          <w:tcPr>
            <w:tcW w:w="140" w:type="dxa"/>
            <w:vAlign w:val="bottom"/>
            <w:tcBorders>
              <w:top w:val="single" w:sz="8" w:color="EAEAEA"/>
              <w:bottom w:val="single" w:sz="8" w:color="EAEAEA"/>
            </w:tcBorders>
            <w:shd w:val="clear" w:color="auto" w:fill="EAEAEA"/>
          </w:tcPr>
          <w:p>
            <w:pPr>
              <w:spacing w:after="0"/>
              <w:rPr>
                <w:sz w:val="21"/>
                <w:szCs w:val="21"/>
                <w:color w:val="auto"/>
              </w:rPr>
            </w:pPr>
          </w:p>
        </w:tc>
        <w:tc>
          <w:tcPr>
            <w:tcW w:w="200" w:type="dxa"/>
            <w:vAlign w:val="bottom"/>
            <w:tcBorders>
              <w:top w:val="single" w:sz="8" w:color="EAEAEA"/>
              <w:bottom w:val="single" w:sz="8" w:color="EAEAEA"/>
            </w:tcBorders>
            <w:gridSpan w:val="2"/>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top w:val="single" w:sz="8" w:color="EAEAEA"/>
              <w:bottom w:val="single" w:sz="8" w:color="EAEAEA"/>
            </w:tcBorders>
            <w:gridSpan w:val="2"/>
            <w:shd w:val="clear" w:color="auto" w:fill="EAEAEA"/>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4.11</w:t>
            </w:r>
          </w:p>
        </w:tc>
        <w:tc>
          <w:tcPr>
            <w:tcW w:w="1060" w:type="dxa"/>
            <w:vAlign w:val="bottom"/>
            <w:tcBorders>
              <w:top w:val="single" w:sz="8" w:color="EAEAEA"/>
              <w:bottom w:val="single" w:sz="8" w:color="EAEAEA"/>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8.0</w:t>
            </w:r>
          </w:p>
        </w:tc>
        <w:tc>
          <w:tcPr>
            <w:tcW w:w="340" w:type="dxa"/>
            <w:vAlign w:val="bottom"/>
            <w:tcBorders>
              <w:top w:val="single" w:sz="8" w:color="EAEAEA"/>
              <w:bottom w:val="single" w:sz="8" w:color="EAEAEA"/>
            </w:tcBorders>
            <w:gridSpan w:val="2"/>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EAEAEA"/>
              <w:bottom w:val="single" w:sz="8" w:color="EAEAEA"/>
            </w:tcBorders>
            <w:gridSpan w:val="2"/>
            <w:shd w:val="clear" w:color="auto" w:fill="EAEAEA"/>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1.73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Options exercisable as of December 31, 2025</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5.72</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line="20" w:lineRule="exact"/>
              <w:rPr>
                <w:sz w:val="1"/>
                <w:szCs w:val="1"/>
                <w:color w:val="auto"/>
              </w:rPr>
            </w:pPr>
          </w:p>
        </w:tc>
      </w:tr>
      <w:tr>
        <w:trPr>
          <w:trHeight w:val="231"/>
        </w:trPr>
        <w:tc>
          <w:tcPr>
            <w:tcW w:w="480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4,129,149</w:t>
            </w:r>
          </w:p>
        </w:tc>
        <w:tc>
          <w:tcPr>
            <w:tcW w:w="14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stock options was estimated using the following weighted-average assumptions: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gridSpan w:val="8"/>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3"/>
        </w:trPr>
        <w:tc>
          <w:tcPr>
            <w:tcW w:w="5840" w:type="dxa"/>
            <w:vAlign w:val="bottom"/>
            <w:tcBorders>
              <w:bottom w:val="single" w:sz="8" w:color="EAEAEA"/>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EAEAEA"/>
            </w:tcBorders>
          </w:tcPr>
          <w:p>
            <w:pPr>
              <w:spacing w:after="0"/>
              <w:rPr>
                <w:sz w:val="22"/>
                <w:szCs w:val="22"/>
                <w:color w:val="auto"/>
              </w:rPr>
            </w:pPr>
          </w:p>
        </w:tc>
        <w:tc>
          <w:tcPr>
            <w:tcW w:w="80" w:type="dxa"/>
            <w:vAlign w:val="bottom"/>
            <w:tcBorders>
              <w:bottom w:val="single" w:sz="8" w:color="EAEAEA"/>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EAEAEA"/>
            </w:tcBorders>
          </w:tcPr>
          <w:p>
            <w:pPr>
              <w:spacing w:after="0"/>
              <w:rPr>
                <w:sz w:val="22"/>
                <w:szCs w:val="22"/>
                <w:color w:val="auto"/>
              </w:rPr>
            </w:pPr>
          </w:p>
        </w:tc>
        <w:tc>
          <w:tcPr>
            <w:tcW w:w="80" w:type="dxa"/>
            <w:vAlign w:val="bottom"/>
            <w:tcBorders>
              <w:bottom w:val="single" w:sz="8" w:color="EAEAEA"/>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20" w:type="dxa"/>
            <w:vAlign w:val="bottom"/>
            <w:tcBorders>
              <w:bottom w:val="single" w:sz="8" w:color="EAEAEA"/>
            </w:tcBorders>
          </w:tcPr>
          <w:p>
            <w:pPr>
              <w:spacing w:after="0"/>
              <w:rPr>
                <w:sz w:val="22"/>
                <w:szCs w:val="22"/>
                <w:color w:val="auto"/>
              </w:rPr>
            </w:pPr>
          </w:p>
        </w:tc>
      </w:tr>
      <w:tr>
        <w:trPr>
          <w:trHeight w:val="225"/>
        </w:trPr>
        <w:tc>
          <w:tcPr>
            <w:tcW w:w="584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Expected term in years</w:t>
            </w: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5.9</w:t>
            </w:r>
          </w:p>
        </w:tc>
        <w:tc>
          <w:tcPr>
            <w:tcW w:w="2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6.0</w:t>
            </w:r>
          </w:p>
        </w:tc>
        <w:tc>
          <w:tcPr>
            <w:tcW w:w="2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82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6.0</w:t>
            </w:r>
          </w:p>
        </w:tc>
        <w:tc>
          <w:tcPr>
            <w:tcW w:w="220" w:type="dxa"/>
            <w:vAlign w:val="bottom"/>
            <w:shd w:val="clear" w:color="auto" w:fill="EAEAEA"/>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104.7%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91.0%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79.9%</w:t>
            </w:r>
          </w:p>
        </w:tc>
      </w:tr>
      <w:tr>
        <w:trPr>
          <w:trHeight w:val="230"/>
        </w:trPr>
        <w:tc>
          <w:tcPr>
            <w:tcW w:w="58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40" w:type="dxa"/>
            <w:vAlign w:val="bottom"/>
            <w:shd w:val="clear" w:color="auto" w:fill="EAEAEA"/>
          </w:tcPr>
          <w:p>
            <w:pPr>
              <w:spacing w:after="0"/>
              <w:rPr>
                <w:sz w:val="20"/>
                <w:szCs w:val="20"/>
                <w:color w:val="auto"/>
              </w:rPr>
            </w:pPr>
          </w:p>
        </w:tc>
        <w:tc>
          <w:tcPr>
            <w:tcW w:w="114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4.0%</w:t>
            </w:r>
          </w:p>
        </w:tc>
        <w:tc>
          <w:tcPr>
            <w:tcW w:w="8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114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04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3.8%</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8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Weighted average fair value of options granted</w:t>
            </w:r>
          </w:p>
        </w:tc>
        <w:tc>
          <w:tcPr>
            <w:tcW w:w="240" w:type="dxa"/>
            <w:vAlign w:val="bottom"/>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60" w:type="dxa"/>
            <w:vAlign w:val="bottom"/>
            <w:shd w:val="clear" w:color="auto" w:fill="EAEAEA"/>
          </w:tcPr>
          <w:p>
            <w:pPr>
              <w:spacing w:after="0"/>
              <w:rPr>
                <w:sz w:val="20"/>
                <w:szCs w:val="20"/>
                <w:color w:val="auto"/>
              </w:rPr>
            </w:pPr>
          </w:p>
        </w:tc>
        <w:tc>
          <w:tcPr>
            <w:tcW w:w="32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shd w:val="clear" w:color="auto" w:fill="EAEAEA"/>
          </w:tcPr>
          <w:p>
            <w:pPr>
              <w:jc w:val="right"/>
              <w:ind w:right="260"/>
              <w:spacing w:after="0"/>
              <w:rPr>
                <w:sz w:val="20"/>
                <w:szCs w:val="20"/>
                <w:color w:val="auto"/>
              </w:rPr>
            </w:pPr>
            <w:r>
              <w:rPr>
                <w:rFonts w:ascii="Times New Roman" w:cs="Times New Roman" w:eastAsia="Times New Roman" w:hAnsi="Times New Roman"/>
                <w:sz w:val="20"/>
                <w:szCs w:val="20"/>
                <w:color w:val="auto"/>
              </w:rPr>
              <w:t>10.04</w:t>
            </w:r>
          </w:p>
        </w:tc>
        <w:tc>
          <w:tcPr>
            <w:tcW w:w="36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EAEAEA"/>
          </w:tcPr>
          <w:p>
            <w:pPr>
              <w:jc w:val="right"/>
              <w:ind w:right="200"/>
              <w:spacing w:after="0"/>
              <w:rPr>
                <w:sz w:val="20"/>
                <w:szCs w:val="20"/>
                <w:color w:val="auto"/>
              </w:rPr>
            </w:pPr>
            <w:r>
              <w:rPr>
                <w:rFonts w:ascii="Times New Roman" w:cs="Times New Roman" w:eastAsia="Times New Roman" w:hAnsi="Times New Roman"/>
                <w:sz w:val="20"/>
                <w:szCs w:val="20"/>
                <w:color w:val="auto"/>
              </w:rPr>
              <w:t>7.57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-908685</wp:posOffset>
            </wp:positionV>
            <wp:extent cx="259461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2">
                      <a:extLst>
                        <a:ext uri="{28A0092B-C50C-407E-A947-70E740481C1C}"/>
                      </a:extLst>
                    </a:blip>
                    <a:srcRect/>
                    <a:stretch>
                      <a:fillRect/>
                    </a:stretch>
                  </pic:blipFill>
                  <pic:spPr bwMode="auto">
                    <a:xfrm>
                      <a:off x="0" y="0"/>
                      <a:ext cx="2594610" cy="38100"/>
                    </a:xfrm>
                    <a:prstGeom prst="rect">
                      <a:avLst/>
                    </a:prstGeom>
                    <a:noFill/>
                  </pic:spPr>
                </pic:pic>
              </a:graphicData>
            </a:graphic>
          </wp:anchor>
        </w:drawing>
      </w:r>
    </w:p>
    <w:p>
      <w:pPr>
        <w:spacing w:after="0" w:line="8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The aggregate intrinsic value of options exercised for the years ended December 31, 2025, 2024 and 2023 was $0.0 million, $0.8 million, and $ 1.7 million, respectively. Intrinsic values are calculated as the difference between the exercise price of the underlying options and the fair value of the common stock on the date of exercise.</w:t>
      </w:r>
    </w:p>
    <w:p>
      <w:pPr>
        <w:sectPr>
          <w:pgSz w:w="12240" w:h="15840" w:orient="portrait"/>
          <w:cols w:equalWidth="0" w:num="1">
            <w:col w:w="10080"/>
          </w:cols>
          <w:pgMar w:left="1080" w:top="1056" w:right="1080" w:bottom="175"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080"/>
          </w:cols>
          <w:pgMar w:left="1080" w:top="1056" w:right="1080" w:bottom="175"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74"/>
        </w:trPr>
        <w:tc>
          <w:tcPr>
            <w:tcW w:w="5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46"/>
        </w:trPr>
        <w:tc>
          <w:tcPr>
            <w:tcW w:w="7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The fair value of ESPP was estimated using the following weighted-average assumptions: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5"/>
        </w:trPr>
        <w:tc>
          <w:tcPr>
            <w:tcW w:w="5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40" w:type="dxa"/>
            <w:vAlign w:val="bottom"/>
            <w:gridSpan w:val="11"/>
          </w:tcPr>
          <w:p>
            <w:pPr>
              <w:jc w:val="right"/>
              <w:ind w:right="1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53"/>
        </w:trPr>
        <w:tc>
          <w:tcPr>
            <w:tcW w:w="580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5"/>
        </w:trPr>
        <w:tc>
          <w:tcPr>
            <w:tcW w:w="580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Expected term in years</w:t>
            </w:r>
          </w:p>
        </w:tc>
        <w:tc>
          <w:tcPr>
            <w:tcW w:w="1120" w:type="dxa"/>
            <w:vAlign w:val="bottom"/>
            <w:tcBorders>
              <w:top w:val="single" w:sz="8" w:color="auto"/>
            </w:tcBorders>
            <w:gridSpan w:val="2"/>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360" w:type="dxa"/>
            <w:vAlign w:val="bottom"/>
            <w:tcBorders>
              <w:top w:val="single" w:sz="8" w:color="EAEAEA"/>
            </w:tcBorders>
            <w:shd w:val="clear" w:color="auto" w:fill="EAEAEA"/>
          </w:tcPr>
          <w:p>
            <w:pPr>
              <w:spacing w:after="0"/>
              <w:rPr>
                <w:sz w:val="19"/>
                <w:szCs w:val="19"/>
                <w:color w:val="auto"/>
              </w:rPr>
            </w:pPr>
          </w:p>
        </w:tc>
        <w:tc>
          <w:tcPr>
            <w:tcW w:w="660" w:type="dxa"/>
            <w:vAlign w:val="bottom"/>
            <w:tcBorders>
              <w:top w:val="single" w:sz="8" w:color="auto"/>
            </w:tcBorders>
            <w:shd w:val="clear" w:color="auto" w:fill="EAEAEA"/>
          </w:tcPr>
          <w:p>
            <w:pPr>
              <w:spacing w:after="0"/>
              <w:rPr>
                <w:sz w:val="19"/>
                <w:szCs w:val="19"/>
                <w:color w:val="auto"/>
              </w:rPr>
            </w:pPr>
          </w:p>
        </w:tc>
        <w:tc>
          <w:tcPr>
            <w:tcW w:w="160" w:type="dxa"/>
            <w:vAlign w:val="bottom"/>
            <w:tcBorders>
              <w:top w:val="single" w:sz="8" w:color="auto"/>
            </w:tcBorders>
            <w:shd w:val="clear" w:color="auto" w:fill="EAEAEA"/>
          </w:tcPr>
          <w:p>
            <w:pPr>
              <w:spacing w:after="0"/>
              <w:rPr>
                <w:sz w:val="19"/>
                <w:szCs w:val="19"/>
                <w:color w:val="auto"/>
              </w:rPr>
            </w:pPr>
          </w:p>
        </w:tc>
        <w:tc>
          <w:tcPr>
            <w:tcW w:w="300" w:type="dxa"/>
            <w:vAlign w:val="bottom"/>
            <w:tcBorders>
              <w:top w:val="single" w:sz="8" w:color="auto"/>
            </w:tcBorders>
            <w:gridSpan w:val="2"/>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200" w:type="dxa"/>
            <w:vAlign w:val="bottom"/>
            <w:tcBorders>
              <w:top w:val="single" w:sz="8" w:color="EAEAEA"/>
            </w:tcBorders>
            <w:shd w:val="clear" w:color="auto" w:fill="EAEAEA"/>
          </w:tcPr>
          <w:p>
            <w:pPr>
              <w:spacing w:after="0"/>
              <w:rPr>
                <w:sz w:val="19"/>
                <w:szCs w:val="19"/>
                <w:color w:val="auto"/>
              </w:rPr>
            </w:pPr>
          </w:p>
        </w:tc>
        <w:tc>
          <w:tcPr>
            <w:tcW w:w="140" w:type="dxa"/>
            <w:vAlign w:val="bottom"/>
            <w:tcBorders>
              <w:top w:val="single" w:sz="8" w:color="EAEAEA"/>
            </w:tcBorders>
            <w:shd w:val="clear" w:color="auto" w:fill="EAEAEA"/>
          </w:tcPr>
          <w:p>
            <w:pPr>
              <w:spacing w:after="0"/>
              <w:rPr>
                <w:sz w:val="19"/>
                <w:szCs w:val="19"/>
                <w:color w:val="auto"/>
              </w:rPr>
            </w:pPr>
          </w:p>
        </w:tc>
        <w:tc>
          <w:tcPr>
            <w:tcW w:w="112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160" w:type="dxa"/>
            <w:vAlign w:val="bottom"/>
            <w:tcBorders>
              <w:top w:val="single" w:sz="8" w:color="EAEAEA"/>
            </w:tcBorders>
            <w:shd w:val="clear" w:color="auto" w:fill="EAEAEA"/>
          </w:tcPr>
          <w:p>
            <w:pPr>
              <w:spacing w:after="0"/>
              <w:rPr>
                <w:sz w:val="19"/>
                <w:szCs w:val="19"/>
                <w:color w:val="auto"/>
              </w:rPr>
            </w:pPr>
          </w:p>
        </w:tc>
        <w:tc>
          <w:tcPr>
            <w:tcW w:w="60" w:type="dxa"/>
            <w:vAlign w:val="bottom"/>
            <w:tcBorders>
              <w:top w:val="single" w:sz="8" w:color="EAEAEA"/>
            </w:tcBorders>
            <w:shd w:val="clear" w:color="auto" w:fill="EAEAEA"/>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116.3%</w:t>
            </w:r>
          </w:p>
        </w:tc>
        <w:tc>
          <w:tcPr>
            <w:tcW w:w="132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136.5%</w:t>
            </w:r>
          </w:p>
        </w:tc>
        <w:tc>
          <w:tcPr>
            <w:tcW w:w="140" w:type="dxa"/>
            <w:vAlign w:val="bottom"/>
          </w:tcPr>
          <w:p>
            <w:pPr>
              <w:spacing w:after="0"/>
              <w:rPr>
                <w:sz w:val="20"/>
                <w:szCs w:val="20"/>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80.9%</w:t>
            </w:r>
          </w:p>
        </w:tc>
      </w:tr>
      <w:tr>
        <w:trPr>
          <w:trHeight w:val="230"/>
        </w:trPr>
        <w:tc>
          <w:tcPr>
            <w:tcW w:w="58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480" w:type="dxa"/>
            <w:vAlign w:val="bottom"/>
            <w:gridSpan w:val="3"/>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3.7%</w:t>
            </w:r>
          </w:p>
        </w:tc>
        <w:tc>
          <w:tcPr>
            <w:tcW w:w="66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500" w:type="dxa"/>
            <w:vAlign w:val="bottom"/>
            <w:gridSpan w:val="3"/>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4.6%</w:t>
            </w:r>
          </w:p>
        </w:tc>
        <w:tc>
          <w:tcPr>
            <w:tcW w:w="1480" w:type="dxa"/>
            <w:vAlign w:val="bottom"/>
            <w:gridSpan w:val="4"/>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4.9%</w:t>
            </w:r>
          </w:p>
        </w:tc>
      </w:tr>
      <w:tr>
        <w:trPr>
          <w:trHeight w:val="266"/>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74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Pr>
          <w:p>
            <w:pPr>
              <w:spacing w:after="0"/>
              <w:rPr>
                <w:sz w:val="23"/>
                <w:szCs w:val="23"/>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335"/>
        </w:trPr>
        <w:tc>
          <w:tcPr>
            <w:tcW w:w="5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6"/>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summarizes the restricted stock activity:</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5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6"/>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Weighted-Average</w:t>
            </w:r>
          </w:p>
        </w:tc>
      </w:tr>
      <w:tr>
        <w:trPr>
          <w:trHeight w:val="230"/>
        </w:trPr>
        <w:tc>
          <w:tcPr>
            <w:tcW w:w="5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4"/>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w w:val="98"/>
              </w:rPr>
              <w:t>Grant Date</w:t>
            </w:r>
          </w:p>
        </w:tc>
      </w:tr>
      <w:tr>
        <w:trPr>
          <w:trHeight w:val="253"/>
        </w:trPr>
        <w:tc>
          <w:tcPr>
            <w:tcW w:w="5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gridSpan w:val="3"/>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4"/>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225"/>
        </w:trPr>
        <w:tc>
          <w:tcPr>
            <w:tcW w:w="580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Balance, December 31, 2024</w:t>
            </w:r>
          </w:p>
        </w:tc>
        <w:tc>
          <w:tcPr>
            <w:tcW w:w="740" w:type="dxa"/>
            <w:vAlign w:val="bottom"/>
            <w:tcBorders>
              <w:top w:val="single" w:sz="8" w:color="EAEAEA"/>
            </w:tcBorders>
            <w:shd w:val="clear" w:color="auto" w:fill="EAEAEA"/>
          </w:tcPr>
          <w:p>
            <w:pPr>
              <w:spacing w:after="0"/>
              <w:rPr>
                <w:sz w:val="19"/>
                <w:szCs w:val="19"/>
                <w:color w:val="auto"/>
              </w:rPr>
            </w:pPr>
          </w:p>
        </w:tc>
        <w:tc>
          <w:tcPr>
            <w:tcW w:w="380" w:type="dxa"/>
            <w:vAlign w:val="bottom"/>
            <w:tcBorders>
              <w:top w:val="single" w:sz="8" w:color="auto"/>
            </w:tcBorders>
            <w:shd w:val="clear" w:color="auto" w:fill="EAEAEA"/>
          </w:tcPr>
          <w:p>
            <w:pPr>
              <w:spacing w:after="0"/>
              <w:rPr>
                <w:sz w:val="19"/>
                <w:szCs w:val="19"/>
                <w:color w:val="auto"/>
              </w:rPr>
            </w:pPr>
          </w:p>
        </w:tc>
        <w:tc>
          <w:tcPr>
            <w:tcW w:w="360" w:type="dxa"/>
            <w:vAlign w:val="bottom"/>
            <w:tcBorders>
              <w:top w:val="single" w:sz="8" w:color="auto"/>
            </w:tcBorders>
            <w:shd w:val="clear" w:color="auto" w:fill="EAEAEA"/>
          </w:tcPr>
          <w:p>
            <w:pPr>
              <w:spacing w:after="0"/>
              <w:rPr>
                <w:sz w:val="19"/>
                <w:szCs w:val="19"/>
                <w:color w:val="auto"/>
              </w:rPr>
            </w:pPr>
          </w:p>
        </w:tc>
        <w:tc>
          <w:tcPr>
            <w:tcW w:w="66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EAEAEA"/>
            </w:tcBorders>
            <w:shd w:val="clear" w:color="auto" w:fill="EAEAEA"/>
          </w:tcPr>
          <w:p>
            <w:pPr>
              <w:spacing w:after="0"/>
              <w:rPr>
                <w:sz w:val="19"/>
                <w:szCs w:val="19"/>
                <w:color w:val="auto"/>
              </w:rPr>
            </w:pPr>
          </w:p>
        </w:tc>
        <w:tc>
          <w:tcPr>
            <w:tcW w:w="80" w:type="dxa"/>
            <w:vAlign w:val="bottom"/>
            <w:tcBorders>
              <w:top w:val="single" w:sz="8" w:color="EAEAEA"/>
            </w:tcBorders>
            <w:shd w:val="clear" w:color="auto" w:fill="EAEAEA"/>
          </w:tcPr>
          <w:p>
            <w:pPr>
              <w:spacing w:after="0"/>
              <w:rPr>
                <w:sz w:val="19"/>
                <w:szCs w:val="19"/>
                <w:color w:val="auto"/>
              </w:rPr>
            </w:pPr>
          </w:p>
        </w:tc>
        <w:tc>
          <w:tcPr>
            <w:tcW w:w="220" w:type="dxa"/>
            <w:vAlign w:val="bottom"/>
            <w:tcBorders>
              <w:top w:val="single" w:sz="8" w:color="auto"/>
            </w:tcBorders>
            <w:shd w:val="clear" w:color="auto" w:fill="EAEAEA"/>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top w:val="single" w:sz="8" w:color="auto"/>
            </w:tcBorders>
            <w:shd w:val="clear" w:color="auto" w:fill="EAEAEA"/>
          </w:tcPr>
          <w:p>
            <w:pPr>
              <w:spacing w:after="0"/>
              <w:rPr>
                <w:sz w:val="19"/>
                <w:szCs w:val="19"/>
                <w:color w:val="auto"/>
              </w:rPr>
            </w:pPr>
          </w:p>
        </w:tc>
        <w:tc>
          <w:tcPr>
            <w:tcW w:w="140" w:type="dxa"/>
            <w:vAlign w:val="bottom"/>
            <w:tcBorders>
              <w:top w:val="single" w:sz="8" w:color="auto"/>
            </w:tcBorders>
            <w:shd w:val="clear" w:color="auto" w:fill="EAEAEA"/>
          </w:tcPr>
          <w:p>
            <w:pPr>
              <w:spacing w:after="0"/>
              <w:rPr>
                <w:sz w:val="19"/>
                <w:szCs w:val="19"/>
                <w:color w:val="auto"/>
              </w:rPr>
            </w:pPr>
          </w:p>
        </w:tc>
        <w:tc>
          <w:tcPr>
            <w:tcW w:w="1280" w:type="dxa"/>
            <w:vAlign w:val="bottom"/>
            <w:tcBorders>
              <w:top w:val="single" w:sz="8" w:color="auto"/>
            </w:tcBorders>
            <w:gridSpan w:val="2"/>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EAEAEA"/>
            </w:tcBorders>
            <w:shd w:val="clear" w:color="auto" w:fill="EAEAEA"/>
          </w:tcPr>
          <w:p>
            <w:pPr>
              <w:spacing w:after="0"/>
              <w:rPr>
                <w:sz w:val="19"/>
                <w:szCs w:val="19"/>
                <w:color w:val="auto"/>
              </w:rPr>
            </w:pPr>
          </w:p>
        </w:tc>
      </w:tr>
      <w:tr>
        <w:trPr>
          <w:trHeight w:val="230"/>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954,000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60" w:type="dxa"/>
            <w:vAlign w:val="bottom"/>
          </w:tcPr>
          <w:p>
            <w:pPr>
              <w:spacing w:after="0"/>
              <w:rPr>
                <w:sz w:val="20"/>
                <w:szCs w:val="20"/>
                <w:color w:val="auto"/>
              </w:rPr>
            </w:pPr>
          </w:p>
        </w:tc>
      </w:tr>
      <w:tr>
        <w:trPr>
          <w:trHeight w:val="230"/>
        </w:trPr>
        <w:tc>
          <w:tcPr>
            <w:tcW w:w="58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740" w:type="dxa"/>
            <w:vAlign w:val="bottom"/>
            <w:shd w:val="clear" w:color="auto" w:fill="EAEAEA"/>
          </w:tcPr>
          <w:p>
            <w:pPr>
              <w:spacing w:after="0"/>
              <w:rPr>
                <w:sz w:val="20"/>
                <w:szCs w:val="20"/>
                <w:color w:val="auto"/>
              </w:rPr>
            </w:pPr>
          </w:p>
        </w:tc>
        <w:tc>
          <w:tcPr>
            <w:tcW w:w="38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820" w:type="dxa"/>
            <w:vAlign w:val="bottom"/>
            <w:gridSpan w:val="2"/>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340" w:type="dxa"/>
            <w:vAlign w:val="bottom"/>
            <w:gridSpan w:val="3"/>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Canceled/Forfeited</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(61,500)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4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1.53</w:t>
            </w:r>
          </w:p>
        </w:tc>
      </w:tr>
      <w:tr>
        <w:trPr>
          <w:trHeight w:val="245"/>
        </w:trPr>
        <w:tc>
          <w:tcPr>
            <w:tcW w:w="5800" w:type="dxa"/>
            <w:vAlign w:val="bottom"/>
            <w:tcBorders>
              <w:top w:val="single" w:sz="8" w:color="EAEAEA"/>
              <w:bottom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Balance, December 31, 2025</w:t>
            </w:r>
          </w:p>
        </w:tc>
        <w:tc>
          <w:tcPr>
            <w:tcW w:w="740" w:type="dxa"/>
            <w:vAlign w:val="bottom"/>
            <w:tcBorders>
              <w:top w:val="single" w:sz="8" w:color="EAEAEA"/>
              <w:bottom w:val="single" w:sz="8" w:color="EAEAEA"/>
            </w:tcBorders>
            <w:shd w:val="clear" w:color="auto" w:fill="EAEAEA"/>
          </w:tcPr>
          <w:p>
            <w:pPr>
              <w:spacing w:after="0"/>
              <w:rPr>
                <w:sz w:val="21"/>
                <w:szCs w:val="21"/>
                <w:color w:val="auto"/>
              </w:rPr>
            </w:pPr>
          </w:p>
        </w:tc>
        <w:tc>
          <w:tcPr>
            <w:tcW w:w="380" w:type="dxa"/>
            <w:vAlign w:val="bottom"/>
            <w:tcBorders>
              <w:top w:val="single" w:sz="8" w:color="auto"/>
              <w:bottom w:val="single" w:sz="8" w:color="auto"/>
            </w:tcBorders>
            <w:shd w:val="clear" w:color="auto" w:fill="EAEAEA"/>
          </w:tcPr>
          <w:p>
            <w:pPr>
              <w:spacing w:after="0"/>
              <w:rPr>
                <w:sz w:val="21"/>
                <w:szCs w:val="21"/>
                <w:color w:val="auto"/>
              </w:rPr>
            </w:pPr>
          </w:p>
        </w:tc>
        <w:tc>
          <w:tcPr>
            <w:tcW w:w="360" w:type="dxa"/>
            <w:vAlign w:val="bottom"/>
            <w:tcBorders>
              <w:top w:val="single" w:sz="8" w:color="auto"/>
              <w:bottom w:val="single" w:sz="8" w:color="auto"/>
            </w:tcBorders>
            <w:shd w:val="clear" w:color="auto" w:fill="EAEAEA"/>
          </w:tcPr>
          <w:p>
            <w:pPr>
              <w:spacing w:after="0"/>
              <w:rPr>
                <w:sz w:val="21"/>
                <w:szCs w:val="21"/>
                <w:color w:val="auto"/>
              </w:rPr>
            </w:pPr>
          </w:p>
        </w:tc>
        <w:tc>
          <w:tcPr>
            <w:tcW w:w="66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w w:val="98"/>
              </w:rPr>
              <w:t>892,500</w:t>
            </w:r>
          </w:p>
        </w:tc>
        <w:tc>
          <w:tcPr>
            <w:tcW w:w="160" w:type="dxa"/>
            <w:vAlign w:val="bottom"/>
            <w:tcBorders>
              <w:top w:val="single" w:sz="8" w:color="EAEAEA"/>
              <w:bottom w:val="single" w:sz="8" w:color="EAEAEA"/>
            </w:tcBorders>
            <w:shd w:val="clear" w:color="auto" w:fill="EAEAEA"/>
          </w:tcPr>
          <w:p>
            <w:pPr>
              <w:spacing w:after="0"/>
              <w:rPr>
                <w:sz w:val="21"/>
                <w:szCs w:val="21"/>
                <w:color w:val="auto"/>
              </w:rPr>
            </w:pPr>
          </w:p>
        </w:tc>
        <w:tc>
          <w:tcPr>
            <w:tcW w:w="80" w:type="dxa"/>
            <w:vAlign w:val="bottom"/>
            <w:tcBorders>
              <w:top w:val="single" w:sz="8" w:color="EAEAEA"/>
              <w:bottom w:val="single" w:sz="8" w:color="EAEAEA"/>
            </w:tcBorders>
            <w:shd w:val="clear" w:color="auto" w:fill="EAEAEA"/>
          </w:tcPr>
          <w:p>
            <w:pPr>
              <w:spacing w:after="0"/>
              <w:rPr>
                <w:sz w:val="21"/>
                <w:szCs w:val="21"/>
                <w:color w:val="auto"/>
              </w:rPr>
            </w:pPr>
          </w:p>
        </w:tc>
        <w:tc>
          <w:tcPr>
            <w:tcW w:w="220" w:type="dxa"/>
            <w:vAlign w:val="bottom"/>
            <w:tcBorders>
              <w:top w:val="single" w:sz="8" w:color="auto"/>
              <w:bottom w:val="single" w:sz="8" w:color="auto"/>
            </w:tcBorders>
            <w:shd w:val="clear" w:color="auto" w:fill="EAEAEA"/>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top w:val="single" w:sz="8" w:color="auto"/>
              <w:bottom w:val="single" w:sz="8" w:color="auto"/>
            </w:tcBorders>
            <w:shd w:val="clear" w:color="auto" w:fill="EAEAEA"/>
          </w:tcPr>
          <w:p>
            <w:pPr>
              <w:spacing w:after="0"/>
              <w:rPr>
                <w:sz w:val="21"/>
                <w:szCs w:val="21"/>
                <w:color w:val="auto"/>
              </w:rPr>
            </w:pPr>
          </w:p>
        </w:tc>
        <w:tc>
          <w:tcPr>
            <w:tcW w:w="1420" w:type="dxa"/>
            <w:vAlign w:val="bottom"/>
            <w:tcBorders>
              <w:top w:val="single" w:sz="8" w:color="auto"/>
              <w:bottom w:val="single" w:sz="8" w:color="auto"/>
            </w:tcBorders>
            <w:gridSpan w:val="3"/>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1.53</w:t>
            </w:r>
          </w:p>
        </w:tc>
        <w:tc>
          <w:tcPr>
            <w:tcW w:w="60" w:type="dxa"/>
            <w:vAlign w:val="bottom"/>
            <w:tcBorders>
              <w:top w:val="single" w:sz="8" w:color="EAEAEA"/>
              <w:bottom w:val="single" w:sz="8" w:color="EAEAEA"/>
            </w:tcBorders>
            <w:shd w:val="clear" w:color="auto" w:fill="EAEAEA"/>
          </w:tcPr>
          <w:p>
            <w:pPr>
              <w:spacing w:after="0"/>
              <w:rPr>
                <w:sz w:val="21"/>
                <w:szCs w:val="21"/>
                <w:color w:val="auto"/>
              </w:rPr>
            </w:pPr>
          </w:p>
        </w:tc>
      </w:tr>
      <w:tr>
        <w:trPr>
          <w:trHeight w:val="20"/>
        </w:trPr>
        <w:tc>
          <w:tcPr>
            <w:tcW w:w="5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-2499360</wp:posOffset>
            </wp:positionV>
            <wp:extent cx="262509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3">
                      <a:extLst>
                        <a:ext uri="{28A0092B-C50C-407E-A947-70E740481C1C}"/>
                      </a:extLst>
                    </a:blip>
                    <a:srcRect/>
                    <a:stretch>
                      <a:fillRect/>
                    </a:stretch>
                  </pic:blipFill>
                  <pic:spPr bwMode="auto">
                    <a:xfrm>
                      <a:off x="0" y="0"/>
                      <a:ext cx="2625090" cy="3810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Taxes</w:t>
      </w:r>
    </w:p>
    <w:p>
      <w:pPr>
        <w:spacing w:after="0" w:line="1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Biomea Fusion is subject to U.S. federal and state income taxes as a corporation. The Company had zero U.S. federal, state and foreign income taxes paid, net of refunds for the year ended December 31, 2025. There was zero income tax expense for the years ended December 31, 2025, 2024 and 2023.</w:t>
      </w:r>
    </w:p>
    <w:p>
      <w:pPr>
        <w:spacing w:after="0" w:line="68"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20"/>
          <w:szCs w:val="20"/>
          <w:color w:val="auto"/>
        </w:rPr>
        <w:t>The following is a reconciliation of the statutory federal income tax rate to the Company’s effective tax rate after the adoption of ASU 2023-09: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60" w:type="dxa"/>
            <w:vAlign w:val="bottom"/>
            <w:gridSpan w:val="4"/>
          </w:tcPr>
          <w:p>
            <w:pPr>
              <w:jc w:val="right"/>
              <w:ind w:right="1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9"/>
        </w:trPr>
        <w:tc>
          <w:tcPr>
            <w:tcW w:w="5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9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80" w:type="dxa"/>
            <w:vAlign w:val="bottom"/>
            <w:tcBorders>
              <w:top w:val="single" w:sz="8" w:color="auto"/>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tcBorders>
              <w:bottom w:val="single" w:sz="8" w:color="EA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440" w:type="dxa"/>
            <w:vAlign w:val="bottom"/>
            <w:tcBorders>
              <w:bottom w:val="single" w:sz="8" w:color="EAEAEA"/>
            </w:tcBorders>
          </w:tcPr>
          <w:p>
            <w:pPr>
              <w:spacing w:after="0"/>
              <w:rPr>
                <w:sz w:val="20"/>
                <w:szCs w:val="20"/>
                <w:color w:val="auto"/>
              </w:rPr>
            </w:pPr>
          </w:p>
        </w:tc>
        <w:tc>
          <w:tcPr>
            <w:tcW w:w="16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Expected provision (benefit) at statutory federal income tax rate</w:t>
            </w:r>
          </w:p>
        </w:tc>
        <w:tc>
          <w:tcPr>
            <w:tcW w:w="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(12,978)</w:t>
            </w:r>
          </w:p>
        </w:tc>
        <w:tc>
          <w:tcPr>
            <w:tcW w:w="440" w:type="dxa"/>
            <w:vAlign w:val="bottom"/>
            <w:shd w:val="clear" w:color="auto" w:fill="EAEAEA"/>
          </w:tcPr>
          <w:p>
            <w:pPr>
              <w:spacing w:after="0"/>
              <w:rPr>
                <w:sz w:val="20"/>
                <w:szCs w:val="20"/>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 net of federal (national) income tax effect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440" w:type="dxa"/>
            <w:vAlign w:val="bottom"/>
          </w:tcPr>
          <w:p>
            <w:pPr>
              <w:spacing w:after="0"/>
              <w:rPr>
                <w:sz w:val="21"/>
                <w:szCs w:val="21"/>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44"/>
        </w:trPr>
        <w:tc>
          <w:tcPr>
            <w:tcW w:w="59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80" w:type="dxa"/>
            <w:vAlign w:val="bottom"/>
            <w:shd w:val="clear" w:color="auto" w:fill="EAEAEA"/>
          </w:tcPr>
          <w:p>
            <w:pPr>
              <w:spacing w:after="0"/>
              <w:rPr>
                <w:sz w:val="21"/>
                <w:szCs w:val="21"/>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14,578</w:t>
            </w:r>
          </w:p>
        </w:tc>
        <w:tc>
          <w:tcPr>
            <w:tcW w:w="440" w:type="dxa"/>
            <w:vAlign w:val="bottom"/>
            <w:shd w:val="clear" w:color="auto" w:fill="EAEAEA"/>
          </w:tcPr>
          <w:p>
            <w:pPr>
              <w:spacing w:after="0"/>
              <w:rPr>
                <w:sz w:val="21"/>
                <w:szCs w:val="21"/>
                <w:color w:val="auto"/>
              </w:rPr>
            </w:pPr>
          </w:p>
        </w:tc>
        <w:tc>
          <w:tcPr>
            <w:tcW w:w="198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(23.6)%</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Nontaxable and nondeductible items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80" w:type="dxa"/>
            <w:vAlign w:val="bottom"/>
            <w:shd w:val="clear" w:color="auto" w:fill="EAEAEA"/>
          </w:tcPr>
          <w:p>
            <w:pPr>
              <w:spacing w:after="0"/>
              <w:rPr>
                <w:sz w:val="21"/>
                <w:szCs w:val="21"/>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440" w:type="dxa"/>
            <w:vAlign w:val="bottom"/>
            <w:shd w:val="clear" w:color="auto" w:fill="EAEAEA"/>
          </w:tcPr>
          <w:p>
            <w:pPr>
              <w:spacing w:after="0"/>
              <w:rPr>
                <w:sz w:val="21"/>
                <w:szCs w:val="21"/>
                <w:color w:val="auto"/>
              </w:rPr>
            </w:pPr>
          </w:p>
        </w:tc>
        <w:tc>
          <w:tcPr>
            <w:tcW w:w="198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44"/>
        </w:trPr>
        <w:tc>
          <w:tcPr>
            <w:tcW w:w="5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common warrants</w:t>
            </w:r>
          </w:p>
        </w:tc>
        <w:tc>
          <w:tcPr>
            <w:tcW w:w="180" w:type="dxa"/>
            <w:vAlign w:val="bottom"/>
          </w:tcPr>
          <w:p>
            <w:pPr>
              <w:spacing w:after="0"/>
              <w:rPr>
                <w:sz w:val="21"/>
                <w:szCs w:val="21"/>
                <w:color w:val="auto"/>
              </w:rPr>
            </w:pPr>
          </w:p>
        </w:tc>
        <w:tc>
          <w:tcPr>
            <w:tcW w:w="19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(4,170)</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44"/>
        </w:trPr>
        <w:tc>
          <w:tcPr>
            <w:tcW w:w="59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Other nontaxable and nondeductible items</w:t>
            </w:r>
          </w:p>
        </w:tc>
        <w:tc>
          <w:tcPr>
            <w:tcW w:w="180" w:type="dxa"/>
            <w:vAlign w:val="bottom"/>
            <w:shd w:val="clear" w:color="auto" w:fill="EAEAEA"/>
          </w:tcPr>
          <w:p>
            <w:pPr>
              <w:spacing w:after="0"/>
              <w:rPr>
                <w:sz w:val="21"/>
                <w:szCs w:val="21"/>
                <w:color w:val="auto"/>
              </w:rPr>
            </w:pPr>
          </w:p>
        </w:tc>
        <w:tc>
          <w:tcPr>
            <w:tcW w:w="1980" w:type="dxa"/>
            <w:vAlign w:val="bottom"/>
            <w:gridSpan w:val="2"/>
            <w:shd w:val="clear" w:color="auto" w:fill="EAEAEA"/>
          </w:tcPr>
          <w:p>
            <w:pPr>
              <w:jc w:val="right"/>
              <w:ind w:right="360"/>
              <w:spacing w:after="0"/>
              <w:rPr>
                <w:sz w:val="20"/>
                <w:szCs w:val="20"/>
                <w:color w:val="auto"/>
              </w:rPr>
            </w:pPr>
            <w:r>
              <w:rPr>
                <w:rFonts w:ascii="Times New Roman" w:cs="Times New Roman" w:eastAsia="Times New Roman" w:hAnsi="Times New Roman"/>
                <w:sz w:val="20"/>
                <w:szCs w:val="20"/>
                <w:color w:val="auto"/>
              </w:rPr>
              <w:t>(9)</w:t>
            </w:r>
          </w:p>
        </w:tc>
        <w:tc>
          <w:tcPr>
            <w:tcW w:w="198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180" w:type="dxa"/>
            <w:vAlign w:val="bottom"/>
          </w:tcPr>
          <w:p>
            <w:pPr>
              <w:spacing w:after="0"/>
              <w:rPr>
                <w:sz w:val="21"/>
                <w:szCs w:val="21"/>
                <w:color w:val="auto"/>
              </w:rPr>
            </w:pPr>
          </w:p>
        </w:tc>
        <w:tc>
          <w:tcPr>
            <w:tcW w:w="19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(1,572)</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44"/>
        </w:trPr>
        <w:tc>
          <w:tcPr>
            <w:tcW w:w="59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180" w:type="dxa"/>
            <w:vAlign w:val="bottom"/>
            <w:shd w:val="clear" w:color="auto" w:fill="EAEAEA"/>
          </w:tcPr>
          <w:p>
            <w:pPr>
              <w:spacing w:after="0"/>
              <w:rPr>
                <w:sz w:val="21"/>
                <w:szCs w:val="21"/>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440" w:type="dxa"/>
            <w:vAlign w:val="bottom"/>
            <w:shd w:val="clear" w:color="auto" w:fill="EAEAEA"/>
          </w:tcPr>
          <w:p>
            <w:pPr>
              <w:spacing w:after="0"/>
              <w:rPr>
                <w:sz w:val="21"/>
                <w:szCs w:val="21"/>
                <w:color w:val="auto"/>
              </w:rPr>
            </w:pPr>
          </w:p>
        </w:tc>
        <w:tc>
          <w:tcPr>
            <w:tcW w:w="198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True up to deferred tax asset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3,053</w:t>
            </w:r>
          </w:p>
        </w:tc>
        <w:tc>
          <w:tcPr>
            <w:tcW w:w="440" w:type="dxa"/>
            <w:vAlign w:val="bottom"/>
          </w:tcPr>
          <w:p>
            <w:pPr>
              <w:spacing w:after="0"/>
              <w:rPr>
                <w:sz w:val="21"/>
                <w:szCs w:val="21"/>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44"/>
        </w:trPr>
        <w:tc>
          <w:tcPr>
            <w:tcW w:w="59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shd w:val="clear" w:color="auto" w:fill="EAEAEA"/>
          </w:tcPr>
          <w:p>
            <w:pPr>
              <w:spacing w:after="0"/>
              <w:rPr>
                <w:sz w:val="21"/>
                <w:szCs w:val="21"/>
                <w:color w:val="auto"/>
              </w:rPr>
            </w:pPr>
          </w:p>
        </w:tc>
        <w:tc>
          <w:tcPr>
            <w:tcW w:w="15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440" w:type="dxa"/>
            <w:vAlign w:val="bottom"/>
            <w:shd w:val="clear" w:color="auto" w:fill="EAEAEA"/>
          </w:tcPr>
          <w:p>
            <w:pPr>
              <w:spacing w:after="0"/>
              <w:rPr>
                <w:sz w:val="21"/>
                <w:szCs w:val="21"/>
                <w:color w:val="auto"/>
              </w:rPr>
            </w:pPr>
          </w:p>
        </w:tc>
        <w:tc>
          <w:tcPr>
            <w:tcW w:w="198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0"/>
        </w:trPr>
        <w:tc>
          <w:tcPr>
            <w:tcW w:w="5940" w:type="dxa"/>
            <w:vAlign w:val="bottom"/>
            <w:tcBorders>
              <w:top w:val="single" w:sz="8" w:color="EAEAEA"/>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AEAEA"/>
            </w:tcBorders>
            <w:vMerge w:val="restart"/>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40" w:type="dxa"/>
            <w:vAlign w:val="bottom"/>
            <w:vMerge w:val="continue"/>
          </w:tcPr>
          <w:p>
            <w:pPr>
              <w:spacing w:after="0"/>
              <w:rPr>
                <w:sz w:val="19"/>
                <w:szCs w:val="19"/>
                <w:color w:val="auto"/>
              </w:rPr>
            </w:pPr>
          </w:p>
        </w:tc>
        <w:tc>
          <w:tcPr>
            <w:tcW w:w="1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vMerge w:val="continue"/>
          </w:tcPr>
          <w:p>
            <w:pPr>
              <w:spacing w:after="0"/>
              <w:rPr>
                <w:sz w:val="19"/>
                <w:szCs w:val="19"/>
                <w:color w:val="auto"/>
              </w:rPr>
            </w:pPr>
          </w:p>
        </w:tc>
        <w:tc>
          <w:tcPr>
            <w:tcW w:w="198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5142865</wp:posOffset>
                </wp:positionH>
                <wp:positionV relativeFrom="paragraph">
                  <wp:posOffset>-1896745</wp:posOffset>
                </wp:positionV>
                <wp:extent cx="1068705" cy="15494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8705" cy="154940"/>
                        </a:xfrm>
                        <a:prstGeom prst="rect">
                          <a:avLst/>
                        </a:prstGeom>
                        <a:solidFill>
                          <a:srgbClr val="EAEAEA"/>
                        </a:solidFill>
                      </wps:spPr>
                      <wps:bodyPr/>
                    </wps:wsp>
                  </a:graphicData>
                </a:graphic>
              </wp:anchor>
            </w:drawing>
          </mc:Choice>
          <mc:Fallback>
            <w:pict>
              <v:rect id="Shape 60" o:spid="_x0000_s1085" style="position:absolute;margin-left:404.95pt;margin-top:-149.3499pt;width:84.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6211570</wp:posOffset>
                </wp:positionH>
                <wp:positionV relativeFrom="paragraph">
                  <wp:posOffset>-1906270</wp:posOffset>
                </wp:positionV>
                <wp:extent cx="189230" cy="16446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230" cy="164465"/>
                        </a:xfrm>
                        <a:prstGeom prst="rect">
                          <a:avLst/>
                        </a:prstGeom>
                        <a:solidFill>
                          <a:srgbClr val="EAEAEA"/>
                        </a:solidFill>
                      </wps:spPr>
                      <wps:bodyPr/>
                    </wps:wsp>
                  </a:graphicData>
                </a:graphic>
              </wp:anchor>
            </w:drawing>
          </mc:Choice>
          <mc:Fallback>
            <w:pict>
              <v:rect id="Shape 61" o:spid="_x0000_s1086" style="position:absolute;margin-left:489.1pt;margin-top:-150.0999pt;width:14.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8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For the year ended December 31, 2025, state and local income taxes in California comprise the majority of the state and local income tax, net of federal (national) income tax effect category.</w:t>
      </w:r>
    </w:p>
    <w:p>
      <w:pPr>
        <w:spacing w:after="0" w:line="49"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color w:val="auto"/>
        </w:rPr>
        <w:t>The following is a reconciliation of the statutory federal income tax rate to the Company’s effective tax rate for the years prior to the adoption of ASU 2023-09:</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080"/>
          </w:cols>
          <w:pgMar w:left="1080" w:top="1056" w:right="1080" w:bottom="175"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53"/>
        </w:trPr>
        <w:tc>
          <w:tcPr>
            <w:tcW w:w="5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0" w:type="dxa"/>
            <w:vAlign w:val="bottom"/>
            <w:gridSpan w:val="7"/>
          </w:tcPr>
          <w:p>
            <w:pPr>
              <w:jc w:val="right"/>
              <w:ind w:right="1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9"/>
        </w:trPr>
        <w:tc>
          <w:tcPr>
            <w:tcW w:w="5920" w:type="dxa"/>
            <w:vAlign w:val="bottom"/>
            <w:tcBorders>
              <w:bottom w:val="single" w:sz="8" w:color="EAEAEA"/>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Federal statutory income tax rate</w:t>
            </w:r>
          </w:p>
        </w:tc>
        <w:tc>
          <w:tcPr>
            <w:tcW w:w="3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 rate</w:t>
            </w:r>
          </w:p>
        </w:tc>
        <w:tc>
          <w:tcPr>
            <w:tcW w:w="3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Tax credits</w:t>
            </w:r>
          </w:p>
        </w:tc>
        <w:tc>
          <w:tcPr>
            <w:tcW w:w="360" w:type="dxa"/>
            <w:vAlign w:val="bottom"/>
            <w:tcBorders>
              <w:left w:val="single" w:sz="8" w:color="EAEAEA"/>
            </w:tcBorders>
            <w:shd w:val="clear" w:color="auto" w:fill="EAEAEA"/>
          </w:tcPr>
          <w:p>
            <w:pPr>
              <w:spacing w:after="0"/>
              <w:rPr>
                <w:sz w:val="21"/>
                <w:szCs w:val="21"/>
                <w:color w:val="auto"/>
              </w:rPr>
            </w:pPr>
          </w:p>
        </w:tc>
        <w:tc>
          <w:tcPr>
            <w:tcW w:w="144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420" w:type="dxa"/>
            <w:vAlign w:val="bottom"/>
            <w:tcBorders>
              <w:right w:val="single" w:sz="8" w:color="EAEAEA"/>
            </w:tcBorders>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50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3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44"/>
        </w:trPr>
        <w:tc>
          <w:tcPr>
            <w:tcW w:w="59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360" w:type="dxa"/>
            <w:vAlign w:val="bottom"/>
            <w:tcBorders>
              <w:left w:val="single" w:sz="8" w:color="EAEAEA"/>
            </w:tcBorders>
            <w:shd w:val="clear" w:color="auto" w:fill="EAEAEA"/>
          </w:tcPr>
          <w:p>
            <w:pPr>
              <w:spacing w:after="0"/>
              <w:rPr>
                <w:sz w:val="21"/>
                <w:szCs w:val="21"/>
                <w:color w:val="auto"/>
              </w:rPr>
            </w:pPr>
          </w:p>
        </w:tc>
        <w:tc>
          <w:tcPr>
            <w:tcW w:w="144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420" w:type="dxa"/>
            <w:vAlign w:val="bottom"/>
            <w:tcBorders>
              <w:right w:val="single" w:sz="8" w:color="EAEAEA"/>
            </w:tcBorders>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580" w:type="dxa"/>
            <w:vAlign w:val="bottom"/>
            <w:gridSpan w:val="3"/>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(34.6)%</w:t>
            </w: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0"/>
        </w:trPr>
        <w:tc>
          <w:tcPr>
            <w:tcW w:w="5920" w:type="dxa"/>
            <w:vAlign w:val="bottom"/>
            <w:vMerge w:val="restart"/>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Effective income tax rate</w:t>
            </w: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920" w:type="dxa"/>
            <w:vAlign w:val="bottom"/>
            <w:vMerge w:val="continue"/>
            <w:shd w:val="clear" w:color="auto" w:fill="EAEAEA"/>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 and liabilities consist of the following (in thousands):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0" w:type="dxa"/>
            <w:vAlign w:val="bottom"/>
            <w:gridSpan w:val="7"/>
          </w:tcPr>
          <w:p>
            <w:pPr>
              <w:jc w:val="right"/>
              <w:ind w:right="9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9"/>
        </w:trPr>
        <w:tc>
          <w:tcPr>
            <w:tcW w:w="5920" w:type="dxa"/>
            <w:vAlign w:val="bottom"/>
            <w:tcBorders>
              <w:bottom w:val="single" w:sz="8" w:color="EAEAEA"/>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EAEAEA"/>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60" w:type="dxa"/>
            <w:vAlign w:val="bottom"/>
            <w:tcBorders>
              <w:left w:val="single" w:sz="8" w:color="EAEAEA"/>
            </w:tcBorders>
            <w:shd w:val="clear" w:color="auto" w:fill="EAEAEA"/>
          </w:tcPr>
          <w:p>
            <w:pPr>
              <w:spacing w:after="0"/>
              <w:rPr>
                <w:sz w:val="20"/>
                <w:szCs w:val="20"/>
                <w:color w:val="auto"/>
              </w:rPr>
            </w:pPr>
          </w:p>
        </w:tc>
        <w:tc>
          <w:tcPr>
            <w:tcW w:w="120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420" w:type="dxa"/>
            <w:vAlign w:val="bottom"/>
            <w:tcBorders>
              <w:right w:val="single" w:sz="8" w:color="EAEAEA"/>
            </w:tcBorders>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1280" w:type="dxa"/>
            <w:vAlign w:val="bottom"/>
            <w:shd w:val="clear" w:color="auto" w:fill="EAEAEA"/>
          </w:tcPr>
          <w:p>
            <w:pPr>
              <w:spacing w:after="0"/>
              <w:rPr>
                <w:sz w:val="20"/>
                <w:szCs w:val="20"/>
                <w:color w:val="auto"/>
              </w:rPr>
            </w:pPr>
          </w:p>
        </w:tc>
        <w:tc>
          <w:tcPr>
            <w:tcW w:w="22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66,433</w:t>
            </w:r>
          </w:p>
        </w:tc>
        <w:tc>
          <w:tcPr>
            <w:tcW w:w="42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48,853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360" w:type="dxa"/>
            <w:vAlign w:val="bottom"/>
            <w:tcBorders>
              <w:left w:val="single" w:sz="8" w:color="EAEAEA"/>
            </w:tcBorders>
            <w:shd w:val="clear" w:color="auto" w:fill="EAEAEA"/>
          </w:tcPr>
          <w:p>
            <w:pPr>
              <w:spacing w:after="0"/>
              <w:rPr>
                <w:sz w:val="21"/>
                <w:szCs w:val="21"/>
                <w:color w:val="auto"/>
              </w:rPr>
            </w:pPr>
          </w:p>
        </w:tc>
        <w:tc>
          <w:tcPr>
            <w:tcW w:w="144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43,088</w:t>
            </w:r>
          </w:p>
        </w:tc>
        <w:tc>
          <w:tcPr>
            <w:tcW w:w="420" w:type="dxa"/>
            <w:vAlign w:val="bottom"/>
            <w:tcBorders>
              <w:right w:val="single" w:sz="8" w:color="EAEAEA"/>
            </w:tcBorders>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50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41,642</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and equipment</w:t>
            </w:r>
          </w:p>
        </w:tc>
        <w:tc>
          <w:tcPr>
            <w:tcW w:w="3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Accrued liabilities and reserves</w:t>
            </w:r>
          </w:p>
        </w:tc>
        <w:tc>
          <w:tcPr>
            <w:tcW w:w="360" w:type="dxa"/>
            <w:vAlign w:val="bottom"/>
            <w:tcBorders>
              <w:left w:val="single" w:sz="8" w:color="EAEAEA"/>
            </w:tcBorders>
            <w:shd w:val="clear" w:color="auto" w:fill="EAEAEA"/>
          </w:tcPr>
          <w:p>
            <w:pPr>
              <w:spacing w:after="0"/>
              <w:rPr>
                <w:sz w:val="21"/>
                <w:szCs w:val="21"/>
                <w:color w:val="auto"/>
              </w:rPr>
            </w:pPr>
          </w:p>
        </w:tc>
        <w:tc>
          <w:tcPr>
            <w:tcW w:w="144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420" w:type="dxa"/>
            <w:vAlign w:val="bottom"/>
            <w:tcBorders>
              <w:right w:val="single" w:sz="8" w:color="EAEAEA"/>
            </w:tcBorders>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580" w:type="dxa"/>
            <w:vAlign w:val="bottom"/>
            <w:gridSpan w:val="3"/>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3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5,423</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7,830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Intangible assets</w:t>
            </w:r>
          </w:p>
        </w:tc>
        <w:tc>
          <w:tcPr>
            <w:tcW w:w="360" w:type="dxa"/>
            <w:vAlign w:val="bottom"/>
            <w:tcBorders>
              <w:left w:val="single" w:sz="8" w:color="EAEAEA"/>
            </w:tcBorders>
            <w:shd w:val="clear" w:color="auto" w:fill="EAEAEA"/>
          </w:tcPr>
          <w:p>
            <w:pPr>
              <w:spacing w:after="0"/>
              <w:rPr>
                <w:sz w:val="21"/>
                <w:szCs w:val="21"/>
                <w:color w:val="auto"/>
              </w:rPr>
            </w:pPr>
          </w:p>
        </w:tc>
        <w:tc>
          <w:tcPr>
            <w:tcW w:w="144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1,973</w:t>
            </w:r>
          </w:p>
        </w:tc>
        <w:tc>
          <w:tcPr>
            <w:tcW w:w="420" w:type="dxa"/>
            <w:vAlign w:val="bottom"/>
            <w:tcBorders>
              <w:right w:val="single" w:sz="8" w:color="EAEAEA"/>
            </w:tcBorders>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50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1,927</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2,431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92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360" w:type="dxa"/>
            <w:vAlign w:val="bottom"/>
            <w:tcBorders>
              <w:left w:val="single" w:sz="8" w:color="EAEAEA"/>
              <w:bottom w:val="single" w:sz="8" w:color="auto"/>
            </w:tcBorders>
            <w:shd w:val="clear" w:color="auto" w:fill="EAEAEA"/>
          </w:tcPr>
          <w:p>
            <w:pPr>
              <w:spacing w:after="0"/>
              <w:rPr>
                <w:sz w:val="22"/>
                <w:szCs w:val="22"/>
                <w:color w:val="auto"/>
              </w:rPr>
            </w:pPr>
          </w:p>
        </w:tc>
        <w:tc>
          <w:tcPr>
            <w:tcW w:w="1440" w:type="dxa"/>
            <w:vAlign w:val="bottom"/>
            <w:tcBorders>
              <w:bottom w:val="single" w:sz="8" w:color="auto"/>
            </w:tcBorders>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15,055</w:t>
            </w:r>
          </w:p>
        </w:tc>
        <w:tc>
          <w:tcPr>
            <w:tcW w:w="420" w:type="dxa"/>
            <w:vAlign w:val="bottom"/>
            <w:tcBorders>
              <w:bottom w:val="single" w:sz="8" w:color="EAEAEA"/>
              <w:right w:val="single" w:sz="8" w:color="EAEAEA"/>
            </w:tcBorders>
            <w:shd w:val="clear" w:color="auto" w:fill="EAEAEA"/>
          </w:tcPr>
          <w:p>
            <w:pPr>
              <w:spacing w:after="0"/>
              <w:rPr>
                <w:sz w:val="22"/>
                <w:szCs w:val="22"/>
                <w:color w:val="auto"/>
              </w:rPr>
            </w:pPr>
          </w:p>
        </w:tc>
        <w:tc>
          <w:tcPr>
            <w:tcW w:w="360" w:type="dxa"/>
            <w:vAlign w:val="bottom"/>
            <w:tcBorders>
              <w:bottom w:val="single" w:sz="8" w:color="auto"/>
            </w:tcBorders>
            <w:shd w:val="clear" w:color="auto" w:fill="EAEAEA"/>
          </w:tcPr>
          <w:p>
            <w:pPr>
              <w:spacing w:after="0"/>
              <w:rPr>
                <w:sz w:val="22"/>
                <w:szCs w:val="22"/>
                <w:color w:val="auto"/>
              </w:rPr>
            </w:pPr>
          </w:p>
        </w:tc>
        <w:tc>
          <w:tcPr>
            <w:tcW w:w="1500" w:type="dxa"/>
            <w:vAlign w:val="bottom"/>
            <w:tcBorders>
              <w:bottom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13,222</w:t>
            </w:r>
          </w:p>
        </w:tc>
        <w:tc>
          <w:tcPr>
            <w:tcW w:w="8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92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Gross deferred tax assets</w:t>
            </w:r>
          </w:p>
        </w:tc>
        <w:tc>
          <w:tcPr>
            <w:tcW w:w="360" w:type="dxa"/>
            <w:vAlign w:val="bottom"/>
          </w:tcPr>
          <w:p>
            <w:pPr>
              <w:spacing w:after="0"/>
              <w:rPr>
                <w:sz w:val="19"/>
                <w:szCs w:val="19"/>
                <w:color w:val="auto"/>
              </w:rPr>
            </w:pPr>
          </w:p>
        </w:tc>
        <w:tc>
          <w:tcPr>
            <w:tcW w:w="144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133,236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115,905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9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Valuation allowance</w:t>
            </w:r>
          </w:p>
        </w:tc>
        <w:tc>
          <w:tcPr>
            <w:tcW w:w="360" w:type="dxa"/>
            <w:vAlign w:val="bottom"/>
            <w:tcBorders>
              <w:left w:val="single" w:sz="8" w:color="EAEAEA"/>
            </w:tcBorders>
            <w:shd w:val="clear" w:color="auto" w:fill="EAEAEA"/>
          </w:tcPr>
          <w:p>
            <w:pPr>
              <w:spacing w:after="0"/>
              <w:rPr>
                <w:sz w:val="22"/>
                <w:szCs w:val="22"/>
                <w:color w:val="auto"/>
              </w:rPr>
            </w:pPr>
          </w:p>
        </w:tc>
        <w:tc>
          <w:tcPr>
            <w:tcW w:w="1860" w:type="dxa"/>
            <w:vAlign w:val="bottom"/>
            <w:tcBorders>
              <w:right w:val="single" w:sz="8" w:color="EAEAEA"/>
            </w:tcBorders>
            <w:gridSpan w:val="3"/>
            <w:shd w:val="clear" w:color="auto" w:fill="EAEAEA"/>
          </w:tcPr>
          <w:p>
            <w:pPr>
              <w:jc w:val="right"/>
              <w:ind w:right="360"/>
              <w:spacing w:after="0"/>
              <w:rPr>
                <w:sz w:val="20"/>
                <w:szCs w:val="20"/>
                <w:color w:val="auto"/>
              </w:rPr>
            </w:pPr>
            <w:r>
              <w:rPr>
                <w:rFonts w:ascii="Times New Roman" w:cs="Times New Roman" w:eastAsia="Times New Roman" w:hAnsi="Times New Roman"/>
                <w:sz w:val="20"/>
                <w:szCs w:val="20"/>
                <w:color w:val="auto"/>
              </w:rPr>
              <w:t>(133,236)</w:t>
            </w:r>
          </w:p>
        </w:tc>
        <w:tc>
          <w:tcPr>
            <w:tcW w:w="360" w:type="dxa"/>
            <w:vAlign w:val="bottom"/>
            <w:shd w:val="clear" w:color="auto" w:fill="EAEAEA"/>
          </w:tcPr>
          <w:p>
            <w:pPr>
              <w:spacing w:after="0"/>
              <w:rPr>
                <w:sz w:val="22"/>
                <w:szCs w:val="22"/>
                <w:color w:val="auto"/>
              </w:rPr>
            </w:pPr>
          </w:p>
        </w:tc>
        <w:tc>
          <w:tcPr>
            <w:tcW w:w="1580" w:type="dxa"/>
            <w:vAlign w:val="bottom"/>
            <w:gridSpan w:val="3"/>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(113,866)</w:t>
            </w:r>
          </w:p>
        </w:tc>
        <w:tc>
          <w:tcPr>
            <w:tcW w:w="0" w:type="dxa"/>
            <w:vAlign w:val="bottom"/>
          </w:tcPr>
          <w:p>
            <w:pPr>
              <w:spacing w:after="0"/>
              <w:rPr>
                <w:sz w:val="1"/>
                <w:szCs w:val="1"/>
                <w:color w:val="auto"/>
              </w:rPr>
            </w:pPr>
          </w:p>
        </w:tc>
      </w:tr>
      <w:tr>
        <w:trPr>
          <w:trHeight w:val="219"/>
        </w:trPr>
        <w:tc>
          <w:tcPr>
            <w:tcW w:w="5920" w:type="dxa"/>
            <w:vAlign w:val="bottom"/>
            <w:tcBorders>
              <w:top w:val="single" w:sz="8" w:color="EAEAEA"/>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deferred tax assets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420" w:type="dxa"/>
            <w:vAlign w:val="bottom"/>
            <w:tcBorders>
              <w:top w:val="single" w:sz="8" w:color="EAEAEA"/>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2,039</w:t>
            </w:r>
          </w:p>
        </w:tc>
        <w:tc>
          <w:tcPr>
            <w:tcW w:w="80" w:type="dxa"/>
            <w:vAlign w:val="bottom"/>
            <w:tcBorders>
              <w:top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60" w:type="dxa"/>
            <w:vAlign w:val="bottom"/>
            <w:tcBorders>
              <w:left w:val="single" w:sz="8" w:color="EAEAEA"/>
            </w:tcBorders>
            <w:shd w:val="clear" w:color="auto" w:fill="EAEAEA"/>
          </w:tcPr>
          <w:p>
            <w:pPr>
              <w:spacing w:after="0"/>
              <w:rPr>
                <w:sz w:val="21"/>
                <w:szCs w:val="21"/>
                <w:color w:val="auto"/>
              </w:rPr>
            </w:pPr>
          </w:p>
        </w:tc>
        <w:tc>
          <w:tcPr>
            <w:tcW w:w="120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420" w:type="dxa"/>
            <w:vAlign w:val="bottom"/>
            <w:tcBorders>
              <w:right w:val="single" w:sz="8" w:color="EAEAEA"/>
            </w:tcBorders>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28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and equipment</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tcPr>
          <w:p>
            <w:pPr>
              <w:spacing w:after="0"/>
              <w:rPr>
                <w:sz w:val="21"/>
                <w:szCs w:val="21"/>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64"/>
        </w:trPr>
        <w:tc>
          <w:tcPr>
            <w:tcW w:w="59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60" w:type="dxa"/>
            <w:vAlign w:val="bottom"/>
            <w:tcBorders>
              <w:left w:val="single" w:sz="8" w:color="EAEAEA"/>
            </w:tcBorders>
            <w:shd w:val="clear" w:color="auto" w:fill="EAEAEA"/>
          </w:tcPr>
          <w:p>
            <w:pPr>
              <w:spacing w:after="0"/>
              <w:rPr>
                <w:sz w:val="22"/>
                <w:szCs w:val="22"/>
                <w:color w:val="auto"/>
              </w:rPr>
            </w:pPr>
          </w:p>
        </w:tc>
        <w:tc>
          <w:tcPr>
            <w:tcW w:w="1200" w:type="dxa"/>
            <w:vAlign w:val="bottom"/>
            <w:shd w:val="clear" w:color="auto" w:fill="EAEAEA"/>
          </w:tcPr>
          <w:p>
            <w:pPr>
              <w:spacing w:after="0"/>
              <w:rPr>
                <w:sz w:val="22"/>
                <w:szCs w:val="22"/>
                <w:color w:val="auto"/>
              </w:rPr>
            </w:pPr>
          </w:p>
        </w:tc>
        <w:tc>
          <w:tcPr>
            <w:tcW w:w="660" w:type="dxa"/>
            <w:vAlign w:val="bottom"/>
            <w:tcBorders>
              <w:right w:val="single" w:sz="8" w:color="EAEAEA"/>
            </w:tcBorders>
            <w:gridSpan w:val="2"/>
            <w:shd w:val="clear" w:color="auto" w:fill="EAEAEA"/>
          </w:tcPr>
          <w:p>
            <w:pPr>
              <w:jc w:val="right"/>
              <w:ind w:right="44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shd w:val="clear" w:color="auto" w:fill="EAEAEA"/>
          </w:tcPr>
          <w:p>
            <w:pPr>
              <w:spacing w:after="0"/>
              <w:rPr>
                <w:sz w:val="22"/>
                <w:szCs w:val="22"/>
                <w:color w:val="auto"/>
              </w:rPr>
            </w:pPr>
          </w:p>
        </w:tc>
        <w:tc>
          <w:tcPr>
            <w:tcW w:w="1580" w:type="dxa"/>
            <w:vAlign w:val="bottom"/>
            <w:gridSpan w:val="3"/>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(1,900)</w:t>
            </w:r>
          </w:p>
        </w:tc>
        <w:tc>
          <w:tcPr>
            <w:tcW w:w="0" w:type="dxa"/>
            <w:vAlign w:val="bottom"/>
          </w:tcPr>
          <w:p>
            <w:pPr>
              <w:spacing w:after="0"/>
              <w:rPr>
                <w:sz w:val="1"/>
                <w:szCs w:val="1"/>
                <w:color w:val="auto"/>
              </w:rPr>
            </w:pPr>
          </w:p>
        </w:tc>
      </w:tr>
      <w:tr>
        <w:trPr>
          <w:trHeight w:val="219"/>
        </w:trPr>
        <w:tc>
          <w:tcPr>
            <w:tcW w:w="5920" w:type="dxa"/>
            <w:vAlign w:val="bottom"/>
            <w:tcBorders>
              <w:top w:val="single" w:sz="8" w:color="EAEAEA"/>
              <w:bottom w:val="single" w:sz="8" w:color="EAEAEA"/>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420" w:type="dxa"/>
            <w:vAlign w:val="bottom"/>
            <w:tcBorders>
              <w:top w:val="single" w:sz="8" w:color="EAEAEA"/>
              <w:bottom w:val="single" w:sz="8" w:color="EAEAEA"/>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(2,039)</w:t>
            </w:r>
          </w:p>
        </w:tc>
        <w:tc>
          <w:tcPr>
            <w:tcW w:w="80" w:type="dxa"/>
            <w:vAlign w:val="bottom"/>
            <w:tcBorders>
              <w:top w:val="single" w:sz="8" w:color="EAEAEA"/>
              <w:bottom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360" w:type="dxa"/>
            <w:vAlign w:val="bottom"/>
            <w:tcBorders>
              <w:left w:val="single" w:sz="8" w:color="EAEAEA"/>
              <w:bottom w:val="single" w:sz="8" w:color="auto"/>
            </w:tcBorders>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Borders>
              <w:bottom w:val="single" w:sz="8" w:color="auto"/>
            </w:tcBorders>
            <w:shd w:val="clear" w:color="auto" w:fill="EAEAEA"/>
          </w:tcPr>
          <w:p>
            <w:pPr>
              <w:spacing w:after="0"/>
              <w:rPr>
                <w:sz w:val="20"/>
                <w:szCs w:val="20"/>
                <w:color w:val="auto"/>
              </w:rPr>
            </w:pPr>
          </w:p>
        </w:tc>
        <w:tc>
          <w:tcPr>
            <w:tcW w:w="2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420" w:type="dxa"/>
            <w:vAlign w:val="bottom"/>
            <w:tcBorders>
              <w:right w:val="single" w:sz="8" w:color="EAEAEA"/>
            </w:tcBorders>
            <w:shd w:val="clear" w:color="auto" w:fill="EAEAEA"/>
          </w:tcPr>
          <w:p>
            <w:pPr>
              <w:spacing w:after="0"/>
              <w:rPr>
                <w:sz w:val="20"/>
                <w:szCs w:val="20"/>
                <w:color w:val="auto"/>
              </w:rPr>
            </w:pPr>
          </w:p>
        </w:tc>
        <w:tc>
          <w:tcPr>
            <w:tcW w:w="360" w:type="dxa"/>
            <w:vAlign w:val="bottom"/>
            <w:tcBorders>
              <w:bottom w:val="single" w:sz="8" w:color="auto"/>
            </w:tcBorders>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00" w:type="dxa"/>
            <w:vAlign w:val="bottom"/>
            <w:tcBorders>
              <w:bottom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3758565</wp:posOffset>
                </wp:positionH>
                <wp:positionV relativeFrom="paragraph">
                  <wp:posOffset>-4450080</wp:posOffset>
                </wp:positionV>
                <wp:extent cx="989965" cy="15494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965" cy="154940"/>
                        </a:xfrm>
                        <a:prstGeom prst="rect">
                          <a:avLst/>
                        </a:prstGeom>
                        <a:solidFill>
                          <a:srgbClr val="EAEAEA"/>
                        </a:solidFill>
                      </wps:spPr>
                      <wps:bodyPr/>
                    </wps:wsp>
                  </a:graphicData>
                </a:graphic>
              </wp:anchor>
            </w:drawing>
          </mc:Choice>
          <mc:Fallback>
            <w:pict>
              <v:rect id="Shape 62" o:spid="_x0000_s1087" style="position:absolute;margin-left:295.95pt;margin-top:-350.3999pt;width:77.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4748530</wp:posOffset>
                </wp:positionH>
                <wp:positionV relativeFrom="paragraph">
                  <wp:posOffset>-4459605</wp:posOffset>
                </wp:positionV>
                <wp:extent cx="399415" cy="16446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164465"/>
                        </a:xfrm>
                        <a:prstGeom prst="rect">
                          <a:avLst/>
                        </a:prstGeom>
                        <a:solidFill>
                          <a:srgbClr val="EAEAEA"/>
                        </a:solidFill>
                      </wps:spPr>
                      <wps:bodyPr/>
                    </wps:wsp>
                  </a:graphicData>
                </a:graphic>
              </wp:anchor>
            </w:drawing>
          </mc:Choice>
          <mc:Fallback>
            <w:pict>
              <v:rect id="Shape 63" o:spid="_x0000_s1088" style="position:absolute;margin-left:373.9pt;margin-top:-351.1499pt;width:31.4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5147945</wp:posOffset>
                </wp:positionH>
                <wp:positionV relativeFrom="paragraph">
                  <wp:posOffset>-4450080</wp:posOffset>
                </wp:positionV>
                <wp:extent cx="1063625" cy="15494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3625" cy="154940"/>
                        </a:xfrm>
                        <a:prstGeom prst="rect">
                          <a:avLst/>
                        </a:prstGeom>
                        <a:solidFill>
                          <a:srgbClr val="EAEAEA"/>
                        </a:solidFill>
                      </wps:spPr>
                      <wps:bodyPr/>
                    </wps:wsp>
                  </a:graphicData>
                </a:graphic>
              </wp:anchor>
            </w:drawing>
          </mc:Choice>
          <mc:Fallback>
            <w:pict>
              <v:rect id="Shape 64" o:spid="_x0000_s1089" style="position:absolute;margin-left:405.35pt;margin-top:-350.3999pt;width:83.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6211570</wp:posOffset>
                </wp:positionH>
                <wp:positionV relativeFrom="paragraph">
                  <wp:posOffset>-4459605</wp:posOffset>
                </wp:positionV>
                <wp:extent cx="189230" cy="16446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230" cy="164465"/>
                        </a:xfrm>
                        <a:prstGeom prst="rect">
                          <a:avLst/>
                        </a:prstGeom>
                        <a:solidFill>
                          <a:srgbClr val="EAEAEA"/>
                        </a:solidFill>
                      </wps:spPr>
                      <wps:bodyPr/>
                    </wps:wsp>
                  </a:graphicData>
                </a:graphic>
              </wp:anchor>
            </w:drawing>
          </mc:Choice>
          <mc:Fallback>
            <w:pict>
              <v:rect id="Shape 65" o:spid="_x0000_s1090" style="position:absolute;margin-left:489.1pt;margin-top:-351.1499pt;width:14.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3758565</wp:posOffset>
                </wp:positionH>
                <wp:positionV relativeFrom="paragraph">
                  <wp:posOffset>-3510915</wp:posOffset>
                </wp:positionV>
                <wp:extent cx="989965" cy="15494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965" cy="154940"/>
                        </a:xfrm>
                        <a:prstGeom prst="rect">
                          <a:avLst/>
                        </a:prstGeom>
                        <a:solidFill>
                          <a:srgbClr val="EAEAEA"/>
                        </a:solidFill>
                      </wps:spPr>
                      <wps:bodyPr/>
                    </wps:wsp>
                  </a:graphicData>
                </a:graphic>
              </wp:anchor>
            </w:drawing>
          </mc:Choice>
          <mc:Fallback>
            <w:pict>
              <v:rect id="Shape 66" o:spid="_x0000_s1091" style="position:absolute;margin-left:295.95pt;margin-top:-276.4499pt;width:77.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4748530</wp:posOffset>
                </wp:positionH>
                <wp:positionV relativeFrom="paragraph">
                  <wp:posOffset>-3520440</wp:posOffset>
                </wp:positionV>
                <wp:extent cx="399415" cy="16446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164465"/>
                        </a:xfrm>
                        <a:prstGeom prst="rect">
                          <a:avLst/>
                        </a:prstGeom>
                        <a:solidFill>
                          <a:srgbClr val="EAEAEA"/>
                        </a:solidFill>
                      </wps:spPr>
                      <wps:bodyPr/>
                    </wps:wsp>
                  </a:graphicData>
                </a:graphic>
              </wp:anchor>
            </w:drawing>
          </mc:Choice>
          <mc:Fallback>
            <w:pict>
              <v:rect id="Shape 67" o:spid="_x0000_s1092" style="position:absolute;margin-left:373.9pt;margin-top:-277.1999pt;width:31.4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5147945</wp:posOffset>
                </wp:positionH>
                <wp:positionV relativeFrom="paragraph">
                  <wp:posOffset>-3510915</wp:posOffset>
                </wp:positionV>
                <wp:extent cx="1063625" cy="15494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3625" cy="154940"/>
                        </a:xfrm>
                        <a:prstGeom prst="rect">
                          <a:avLst/>
                        </a:prstGeom>
                        <a:solidFill>
                          <a:srgbClr val="EAEAEA"/>
                        </a:solidFill>
                      </wps:spPr>
                      <wps:bodyPr/>
                    </wps:wsp>
                  </a:graphicData>
                </a:graphic>
              </wp:anchor>
            </w:drawing>
          </mc:Choice>
          <mc:Fallback>
            <w:pict>
              <v:rect id="Shape 68" o:spid="_x0000_s1093" style="position:absolute;margin-left:405.35pt;margin-top:-276.4499pt;width:83.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6211570</wp:posOffset>
                </wp:positionH>
                <wp:positionV relativeFrom="paragraph">
                  <wp:posOffset>-3520440</wp:posOffset>
                </wp:positionV>
                <wp:extent cx="189230" cy="16446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230" cy="164465"/>
                        </a:xfrm>
                        <a:prstGeom prst="rect">
                          <a:avLst/>
                        </a:prstGeom>
                        <a:solidFill>
                          <a:srgbClr val="EAEAEA"/>
                        </a:solidFill>
                      </wps:spPr>
                      <wps:bodyPr/>
                    </wps:wsp>
                  </a:graphicData>
                </a:graphic>
              </wp:anchor>
            </w:drawing>
          </mc:Choice>
          <mc:Fallback>
            <w:pict>
              <v:rect id="Shape 69" o:spid="_x0000_s1094" style="position:absolute;margin-left:489.1pt;margin-top:-277.1999pt;width:14.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The provisions of ASC Topic 740, </w:t>
      </w:r>
      <w:r>
        <w:rPr>
          <w:rFonts w:ascii="Times New Roman" w:cs="Times New Roman" w:eastAsia="Times New Roman" w:hAnsi="Times New Roman"/>
          <w:sz w:val="20"/>
          <w:szCs w:val="20"/>
          <w:i w:val="1"/>
          <w:iCs w:val="1"/>
          <w:color w:val="auto"/>
        </w:rPr>
        <w:t>Accounting for Income Taxes</w:t>
      </w:r>
      <w:r>
        <w:rPr>
          <w:rFonts w:ascii="Times New Roman" w:cs="Times New Roman" w:eastAsia="Times New Roman" w:hAnsi="Times New Roman"/>
          <w:sz w:val="20"/>
          <w:szCs w:val="20"/>
          <w:color w:val="auto"/>
        </w:rPr>
        <w:t xml:space="preserve"> (ASC 740), require an assessment of both positive and negative evidence when determining whether it is more likely than not that deferred tax assets are recoverable. For the years ended December 31, 2025 and 2024, based on all available objective evidence, including the existence of cumulative losses, the Company determined that it was not more likely than not that the net deferred tax assets were fully realizable. Accordingly, the Company established a full valuation allowance against its deferred tax assets. The Company intends to maintain a full valuation allowance on net deferred tax assets until sufficient positive evidence exists to support reversal of the valuation allowance. The Company’s valuation allowance increased by $19.4 million during the year ended December 31, 2025, primarily because of an increase to the Company's net operating losses, credits and capitalization of research and experimental expenses. The Company’s valuation allowance increased by $42.4 million during the year ended December 31, 2024, primarily because of an increase to the Company's net operating losses, credits, stock compensation and the capitalization of research and development expenses.</w:t>
      </w:r>
    </w:p>
    <w:p>
      <w:pPr>
        <w:spacing w:after="0" w:line="8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At December 31, 2025, the Company had net operating loss carryforwards available to reduce future taxable income, if any, for federal and state income tax purposes of approximately $190.7 million and $378.7 million, respectively. The federal net operating loss carryforwards at December 31, 2025 can be carried forward indefinitely, subject to an annual limitation of 80% of taxable income. The state net operating loss carryforward are subject to expiration in various tax years.</w:t>
      </w:r>
    </w:p>
    <w:p>
      <w:pPr>
        <w:spacing w:after="0" w:line="74"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color w:val="auto"/>
        </w:rPr>
        <w:t>At December 31, 2025, the Company also had federal and California research and development tax credit carryforwards of $14.0 million and $6.6 million, respectively, available to offset future income tax, if any. The federal credit carryforwards begins expiring in 2040, and the California credits can be carried forward indefinitely.</w:t>
      </w:r>
    </w:p>
    <w:p>
      <w:pPr>
        <w:sectPr>
          <w:pgSz w:w="12240" w:h="15840" w:orient="portrait"/>
          <w:cols w:equalWidth="0" w:num="1">
            <w:col w:w="10080"/>
          </w:cols>
          <w:pgMar w:left="1080" w:top="107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080"/>
          </w:cols>
          <w:pgMar w:left="1080" w:top="1070" w:right="1080" w:bottom="175" w:gutter="0" w:footer="0" w:header="0"/>
          <w:type w:val="continuous"/>
        </w:sectPr>
      </w:pPr>
    </w:p>
    <w:bookmarkStart w:id="115" w:name="page116"/>
    <w:bookmarkEnd w:id="115"/>
    <w:p>
      <w:pPr>
        <w:ind w:right="60"/>
        <w:spacing w:after="0" w:line="244" w:lineRule="auto"/>
        <w:rPr>
          <w:sz w:val="20"/>
          <w:szCs w:val="20"/>
          <w:color w:val="auto"/>
        </w:rPr>
      </w:pPr>
      <w:r>
        <w:rPr>
          <w:rFonts w:ascii="Times New Roman" w:cs="Times New Roman" w:eastAsia="Times New Roman" w:hAnsi="Times New Roman"/>
          <w:sz w:val="20"/>
          <w:szCs w:val="20"/>
          <w:color w:val="auto"/>
        </w:rPr>
        <w:t>Under Section 382 and 383 of the Internal Revenue Code of 1986, as amended,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the Company's ownership by “5-percent shareholders” that exceeds 50 percentage points over a rolling three-year period. Similar rules may apply under state tax laws. Therefore, certain of the Company's carryforward tax attributes may be subject to an annual limitation regarding their utilization against taxable income in future periods. The Company has performed a Section 382 study and has concluded that ownership changes have occurred. As a result, the federal and state NOL carryforwards and tax credit carryforwards may be subject to annual limitations before being applied to reduce future income tax liabilities.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Uncertain Tax Positions</w:t>
      </w:r>
    </w:p>
    <w:p>
      <w:pPr>
        <w:spacing w:after="0" w:line="12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Company adopted the provisions of ASC 740, which requires companies to determine whether it is “more likely than not” that a tax position will be sustained upon examination by the appropriate taxing authorities before any tax benefit can be recorded in the financial statements. It also provides guidance on the recognition, measurement, classification and interest and penalties related to uncertain tax positions.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activity related to the Company’s gross unrecognized tax benefits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780" w:type="dxa"/>
            <w:vAlign w:val="bottom"/>
            <w:gridSpan w:val="6"/>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4"/>
        </w:trPr>
        <w:tc>
          <w:tcPr>
            <w:tcW w:w="5000" w:type="dxa"/>
            <w:vAlign w:val="bottom"/>
            <w:tcBorders>
              <w:bottom w:val="single" w:sz="8" w:color="EAEAEA"/>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EAEAEA"/>
            </w:tcBorders>
          </w:tcPr>
          <w:p>
            <w:pPr>
              <w:spacing w:after="0"/>
              <w:rPr>
                <w:sz w:val="22"/>
                <w:szCs w:val="22"/>
                <w:color w:val="auto"/>
              </w:rPr>
            </w:pPr>
          </w:p>
        </w:tc>
        <w:tc>
          <w:tcPr>
            <w:tcW w:w="160" w:type="dxa"/>
            <w:vAlign w:val="bottom"/>
            <w:tcBorders>
              <w:bottom w:val="single" w:sz="8" w:color="EAEAEA"/>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320" w:type="dxa"/>
            <w:vAlign w:val="bottom"/>
            <w:tcBorders>
              <w:bottom w:val="single" w:sz="8" w:color="EAEAEA"/>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AEAEA"/>
            </w:tcBorders>
          </w:tcPr>
          <w:p>
            <w:pPr>
              <w:spacing w:after="0"/>
              <w:rPr>
                <w:sz w:val="22"/>
                <w:szCs w:val="22"/>
                <w:color w:val="auto"/>
              </w:rPr>
            </w:pPr>
          </w:p>
        </w:tc>
      </w:tr>
      <w:tr>
        <w:trPr>
          <w:trHeight w:val="239"/>
        </w:trPr>
        <w:tc>
          <w:tcPr>
            <w:tcW w:w="50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940" w:type="dxa"/>
            <w:vAlign w:val="bottom"/>
            <w:shd w:val="clear" w:color="auto" w:fill="EAEAEA"/>
          </w:tcPr>
          <w:p>
            <w:pPr>
              <w:jc w:val="right"/>
              <w:ind w:right="74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3,914</w:t>
            </w:r>
          </w:p>
        </w:tc>
        <w:tc>
          <w:tcPr>
            <w:tcW w:w="22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40" w:type="dxa"/>
            <w:vAlign w:val="bottom"/>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2,216</w:t>
            </w:r>
          </w:p>
        </w:tc>
        <w:tc>
          <w:tcPr>
            <w:tcW w:w="320" w:type="dxa"/>
            <w:vAlign w:val="bottom"/>
            <w:shd w:val="clear" w:color="auto" w:fill="EAEAEA"/>
          </w:tcPr>
          <w:p>
            <w:pPr>
              <w:spacing w:after="0"/>
              <w:rPr>
                <w:sz w:val="20"/>
                <w:szCs w:val="20"/>
                <w:color w:val="auto"/>
              </w:rPr>
            </w:pPr>
          </w:p>
        </w:tc>
        <w:tc>
          <w:tcPr>
            <w:tcW w:w="260" w:type="dxa"/>
            <w:vAlign w:val="bottom"/>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60" w:type="dxa"/>
            <w:vAlign w:val="bottom"/>
            <w:shd w:val="clear" w:color="auto" w:fill="EAEAEA"/>
          </w:tcPr>
          <w:p>
            <w:pPr>
              <w:spacing w:after="0"/>
              <w:rPr>
                <w:sz w:val="20"/>
                <w:szCs w:val="20"/>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Increases for tax provisions related to prior year</w:t>
            </w:r>
          </w:p>
        </w:tc>
        <w:tc>
          <w:tcPr>
            <w:tcW w:w="94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60" w:type="dxa"/>
            <w:vAlign w:val="bottom"/>
          </w:tcPr>
          <w:p>
            <w:pPr>
              <w:spacing w:after="0"/>
              <w:rPr>
                <w:sz w:val="21"/>
                <w:szCs w:val="21"/>
                <w:color w:val="auto"/>
              </w:rPr>
            </w:pPr>
          </w:p>
        </w:tc>
      </w:tr>
      <w:tr>
        <w:trPr>
          <w:trHeight w:val="244"/>
        </w:trPr>
        <w:tc>
          <w:tcPr>
            <w:tcW w:w="50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Decreases for tax provision related to prior year</w:t>
            </w:r>
          </w:p>
        </w:tc>
        <w:tc>
          <w:tcPr>
            <w:tcW w:w="940" w:type="dxa"/>
            <w:vAlign w:val="bottom"/>
            <w:shd w:val="clear" w:color="auto" w:fill="EAEAEA"/>
          </w:tcPr>
          <w:p>
            <w:pPr>
              <w:spacing w:after="0"/>
              <w:rPr>
                <w:sz w:val="21"/>
                <w:szCs w:val="21"/>
                <w:color w:val="auto"/>
              </w:rPr>
            </w:pPr>
          </w:p>
        </w:tc>
        <w:tc>
          <w:tcPr>
            <w:tcW w:w="720" w:type="dxa"/>
            <w:vAlign w:val="bottom"/>
            <w:gridSpan w:val="2"/>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rPr>
              <w:t>(60)</w:t>
            </w:r>
          </w:p>
        </w:tc>
        <w:tc>
          <w:tcPr>
            <w:tcW w:w="160" w:type="dxa"/>
            <w:vAlign w:val="bottom"/>
            <w:shd w:val="clear" w:color="auto" w:fill="EAEAEA"/>
          </w:tcPr>
          <w:p>
            <w:pPr>
              <w:spacing w:after="0"/>
              <w:rPr>
                <w:sz w:val="21"/>
                <w:szCs w:val="21"/>
                <w:color w:val="auto"/>
              </w:rPr>
            </w:pPr>
          </w:p>
        </w:tc>
        <w:tc>
          <w:tcPr>
            <w:tcW w:w="340" w:type="dxa"/>
            <w:vAlign w:val="bottom"/>
            <w:shd w:val="clear" w:color="auto" w:fill="EAEAEA"/>
          </w:tcPr>
          <w:p>
            <w:pPr>
              <w:spacing w:after="0"/>
              <w:rPr>
                <w:sz w:val="21"/>
                <w:szCs w:val="21"/>
                <w:color w:val="auto"/>
              </w:rPr>
            </w:pPr>
          </w:p>
        </w:tc>
        <w:tc>
          <w:tcPr>
            <w:tcW w:w="1560" w:type="dxa"/>
            <w:vAlign w:val="bottom"/>
            <w:gridSpan w:val="2"/>
            <w:shd w:val="clear" w:color="auto" w:fill="EAEAEA"/>
          </w:tcPr>
          <w:p>
            <w:pPr>
              <w:jc w:val="right"/>
              <w:ind w:right="260"/>
              <w:spacing w:after="0"/>
              <w:rPr>
                <w:sz w:val="20"/>
                <w:szCs w:val="20"/>
                <w:color w:val="auto"/>
              </w:rPr>
            </w:pPr>
            <w:r>
              <w:rPr>
                <w:rFonts w:ascii="Times New Roman" w:cs="Times New Roman" w:eastAsia="Times New Roman" w:hAnsi="Times New Roman"/>
                <w:sz w:val="20"/>
                <w:szCs w:val="20"/>
                <w:color w:val="auto"/>
              </w:rPr>
              <w:t>(104)</w:t>
            </w:r>
          </w:p>
        </w:tc>
        <w:tc>
          <w:tcPr>
            <w:tcW w:w="260" w:type="dxa"/>
            <w:vAlign w:val="bottom"/>
            <w:shd w:val="clear" w:color="auto" w:fill="EAEAEA"/>
          </w:tcPr>
          <w:p>
            <w:pPr>
              <w:spacing w:after="0"/>
              <w:rPr>
                <w:sz w:val="21"/>
                <w:szCs w:val="21"/>
                <w:color w:val="auto"/>
              </w:rPr>
            </w:pPr>
          </w:p>
        </w:tc>
        <w:tc>
          <w:tcPr>
            <w:tcW w:w="10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AEAEA"/>
          </w:tcPr>
          <w:p>
            <w:pPr>
              <w:spacing w:after="0"/>
              <w:rPr>
                <w:sz w:val="21"/>
                <w:szCs w:val="21"/>
                <w:color w:val="auto"/>
              </w:rPr>
            </w:pPr>
          </w:p>
        </w:tc>
      </w:tr>
      <w:tr>
        <w:trPr>
          <w:trHeight w:val="244"/>
        </w:trPr>
        <w:tc>
          <w:tcPr>
            <w:tcW w:w="500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Increases for tax provisions related to current year</w:t>
            </w:r>
          </w:p>
        </w:tc>
        <w:tc>
          <w:tcPr>
            <w:tcW w:w="9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w:t>
            </w:r>
          </w:p>
        </w:tc>
        <w:tc>
          <w:tcPr>
            <w:tcW w:w="220" w:type="dxa"/>
            <w:vAlign w:val="bottom"/>
            <w:tcBorders>
              <w:bottom w:val="single" w:sz="8" w:color="EAEAEA"/>
            </w:tcBorders>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1,718</w:t>
            </w:r>
          </w:p>
        </w:tc>
        <w:tc>
          <w:tcPr>
            <w:tcW w:w="320" w:type="dxa"/>
            <w:vAlign w:val="bottom"/>
            <w:tcBorders>
              <w:bottom w:val="single" w:sz="8" w:color="EAEAEA"/>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1,365</w:t>
            </w:r>
          </w:p>
        </w:tc>
        <w:tc>
          <w:tcPr>
            <w:tcW w:w="60" w:type="dxa"/>
            <w:vAlign w:val="bottom"/>
            <w:tcBorders>
              <w:bottom w:val="single" w:sz="8" w:color="EAEAEA"/>
            </w:tcBorders>
          </w:tcPr>
          <w:p>
            <w:pPr>
              <w:spacing w:after="0"/>
              <w:rPr>
                <w:sz w:val="21"/>
                <w:szCs w:val="21"/>
                <w:color w:val="auto"/>
              </w:rPr>
            </w:pPr>
          </w:p>
        </w:tc>
      </w:tr>
      <w:tr>
        <w:trPr>
          <w:trHeight w:val="239"/>
        </w:trPr>
        <w:tc>
          <w:tcPr>
            <w:tcW w:w="50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940" w:type="dxa"/>
            <w:vAlign w:val="bottom"/>
            <w:tcBorders>
              <w:bottom w:val="single" w:sz="8" w:color="auto"/>
            </w:tcBorders>
            <w:shd w:val="clear" w:color="auto" w:fill="EAEAEA"/>
          </w:tcPr>
          <w:p>
            <w:pPr>
              <w:jc w:val="right"/>
              <w:ind w:right="74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4,456</w:t>
            </w:r>
          </w:p>
        </w:tc>
        <w:tc>
          <w:tcPr>
            <w:tcW w:w="22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40" w:type="dxa"/>
            <w:vAlign w:val="bottom"/>
            <w:tcBorders>
              <w:bottom w:val="single" w:sz="8" w:color="auto"/>
            </w:tcBorders>
            <w:shd w:val="clear" w:color="auto" w:fill="EAEAEA"/>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3,914</w:t>
            </w:r>
          </w:p>
        </w:tc>
        <w:tc>
          <w:tcPr>
            <w:tcW w:w="320" w:type="dxa"/>
            <w:vAlign w:val="bottom"/>
            <w:shd w:val="clear" w:color="auto" w:fill="EAEAEA"/>
          </w:tcPr>
          <w:p>
            <w:pPr>
              <w:spacing w:after="0"/>
              <w:rPr>
                <w:sz w:val="20"/>
                <w:szCs w:val="20"/>
                <w:color w:val="auto"/>
              </w:rPr>
            </w:pPr>
          </w:p>
        </w:tc>
        <w:tc>
          <w:tcPr>
            <w:tcW w:w="260" w:type="dxa"/>
            <w:vAlign w:val="bottom"/>
            <w:tcBorders>
              <w:bottom w:val="single" w:sz="8" w:color="auto"/>
            </w:tcBorders>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2,216</w:t>
            </w:r>
          </w:p>
        </w:tc>
        <w:tc>
          <w:tcPr>
            <w:tcW w:w="60" w:type="dxa"/>
            <w:vAlign w:val="bottom"/>
            <w:shd w:val="clear" w:color="auto" w:fill="EAEAEA"/>
          </w:tcPr>
          <w:p>
            <w:pPr>
              <w:spacing w:after="0"/>
              <w:rPr>
                <w:sz w:val="20"/>
                <w:szCs w:val="20"/>
                <w:color w:val="auto"/>
              </w:rPr>
            </w:pPr>
          </w:p>
        </w:tc>
      </w:tr>
      <w:tr>
        <w:trPr>
          <w:trHeight w:val="20"/>
        </w:trPr>
        <w:tc>
          <w:tcPr>
            <w:tcW w:w="5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-1000760</wp:posOffset>
            </wp:positionV>
            <wp:extent cx="321945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4">
                      <a:extLst>
                        <a:ext uri="{28A0092B-C50C-407E-A947-70E740481C1C}"/>
                      </a:extLst>
                    </a:blip>
                    <a:srcRect/>
                    <a:stretch>
                      <a:fillRect/>
                    </a:stretch>
                  </pic:blipFill>
                  <pic:spPr bwMode="auto">
                    <a:xfrm>
                      <a:off x="0" y="0"/>
                      <a:ext cx="3219450" cy="38100"/>
                    </a:xfrm>
                    <a:prstGeom prst="rect">
                      <a:avLst/>
                    </a:prstGeom>
                    <a:noFill/>
                  </pic:spPr>
                </pic:pic>
              </a:graphicData>
            </a:graphic>
          </wp:anchor>
        </w:drawing>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unrecognized tax benefits, if recognized, would not affect the effective income tax rate due to the valuation allowance that currently offsets deferred tax assets. Interest and penalties were zero. The Company does not expect the unrecognized tax benefits to change significantly over the next twelve months.</w:t>
      </w:r>
    </w:p>
    <w:p>
      <w:pPr>
        <w:spacing w:after="0" w:line="6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The Company files federal and state income tax returns. All periods since inception are subject to examination by federal and state authorities, where applicable. There are currently no pending income tax examinations.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Commitments and Contingencies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Leases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leases its headquarters with its main office in San Carlos, California.</w:t>
      </w:r>
    </w:p>
    <w:p>
      <w:pPr>
        <w:spacing w:after="0" w:line="12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In September 2022, the Company entered into a thirty-month sub-lease agreement for office space located at 900 Middlefield Road, 4th Floor, Redwood City, California, which commenced in January 2023 and expired in July 2025. In connection with the sub-lease expiration, the security deposit of $2.1 million was returned to the Company and recorded as part of cash and cash equivalents at December 31, 2025.</w:t>
      </w:r>
    </w:p>
    <w:p>
      <w:pPr>
        <w:spacing w:after="0" w:line="7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In November 2021, the Company entered into a four-year lease for additional lab space located at 1585 Industrial Road, San Carlos, California which commenced in January 2023 and expires in January 2027. Under the provisions of the agreement, upon the commencement date, the term of the lab space located at 1599 Industrial Road, San Carlos, California (1599 lease), was also extended from April 2026 to January 2027. The lease included a renewal option for an additional five years until January 2032, which had initially been included in the determination of the right-of-use asset at inception. As the term of the 1599 lease was extended, this did not result in a separate contract, accordingly, the Company re-measured the right-of-use asset and lease liability totaling to $7.8 million under one lease, discounted at 11.4%, the Company’s estimated incremental borrowing rate. In addition, the lease included a lease incentive in the form of a tenant improvement allowance of up to $1.5 million.</w:t>
      </w:r>
    </w:p>
    <w:p>
      <w:pPr>
        <w:spacing w:after="0" w:line="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In November 2023, the Company submitted a claim of approximately $1.5 million against tenant improvement allowance reimbursement in connection with its operating lease for lab space located at 1585 Industrial Road, San Carlos, California which was received in January 2024. Of the total reimbursement, approximately $0.4 million constitutes a loan required to be repaid in the form of additional lease payments over the remaining original lease term at an annual interest rate of 7%.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Company has determined that impact of the remeasurement to be immaterial</w:t>
      </w:r>
      <w:r>
        <w:rPr>
          <w:rFonts w:ascii="Times New Roman" w:cs="Times New Roman" w:eastAsia="Times New Roman" w:hAnsi="Times New Roman"/>
          <w:sz w:val="20"/>
          <w:szCs w:val="20"/>
          <w:color w:val="auto"/>
        </w:rPr>
        <w:t>.</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080"/>
          </w:cols>
          <w:pgMar w:left="1080" w:top="1060" w:right="1080" w:bottom="175" w:gutter="0" w:footer="0" w:header="0"/>
          <w:type w:val="continuous"/>
        </w:sectPr>
      </w:pPr>
    </w:p>
    <w:bookmarkStart w:id="116" w:name="page117"/>
    <w:bookmarkEnd w:id="116"/>
    <w:p>
      <w:pPr>
        <w:ind w:right="120"/>
        <w:spacing w:after="0" w:line="249" w:lineRule="auto"/>
        <w:rPr>
          <w:sz w:val="20"/>
          <w:szCs w:val="20"/>
          <w:color w:val="auto"/>
        </w:rPr>
      </w:pPr>
      <w:r>
        <w:rPr>
          <w:rFonts w:ascii="Times New Roman" w:cs="Times New Roman" w:eastAsia="Times New Roman" w:hAnsi="Times New Roman"/>
          <w:sz w:val="20"/>
          <w:szCs w:val="20"/>
          <w:color w:val="auto"/>
        </w:rPr>
        <w:t>During 2025, the Company identified a significant change in circumstances within its control related to the permanent shutdown of laboratory operations (see Note 4). The shutdown was limited to laboratory activities, and the facility continues to be used for administrative and other operational purposes. As a result of this change in circumstances, the Company reassessed whether it was reasonably certain to exercise a renewal option associated with its laboratory facility lease and concluded that it was no longer reasonably certain to exercise the option.</w:t>
      </w:r>
    </w:p>
    <w:p>
      <w:pPr>
        <w:spacing w:after="0" w:line="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Accordingly, the Company reassessed the lease term and incremental borrowing rate, and re-measured the related operating lease right-of-use asset and lease liability in accordance with ASC 842. The remeasurement resulted in a reduction of the operating lease liability of $5.1 million and a corresponding reduction of the right-of-use asset of approximately $5.0 million. The lease liability was re-measured using an updated incremental borrowing rate of approximately 8.1%, determined as of the modification date based on the remaining lease term and prevailing U.S. Treasury yields adjusted for a market-based credit spread reflective of the Company’s credit risk.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lease costs and cash paid for the Company’s leases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Cash paid for operating lease liabilities</w:t>
            </w:r>
          </w:p>
        </w:tc>
        <w:tc>
          <w:tcPr>
            <w:tcW w:w="300" w:type="dxa"/>
            <w:vAlign w:val="bottom"/>
            <w:gridSpan w:val="2"/>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3"/>
            <w:shd w:val="clear" w:color="auto" w:fill="EAEAEA"/>
          </w:tcPr>
          <w:p>
            <w:pPr>
              <w:jc w:val="right"/>
              <w:ind w:right="340"/>
              <w:spacing w:after="0"/>
              <w:rPr>
                <w:sz w:val="20"/>
                <w:szCs w:val="20"/>
                <w:color w:val="auto"/>
              </w:rPr>
            </w:pPr>
            <w:r>
              <w:rPr>
                <w:rFonts w:ascii="Times New Roman" w:cs="Times New Roman" w:eastAsia="Times New Roman" w:hAnsi="Times New Roman"/>
                <w:sz w:val="20"/>
                <w:szCs w:val="20"/>
                <w:color w:val="auto"/>
              </w:rPr>
              <w:t>2,903</w:t>
            </w:r>
          </w:p>
        </w:tc>
        <w:tc>
          <w:tcPr>
            <w:tcW w:w="1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3,794</w:t>
            </w:r>
          </w:p>
        </w:tc>
        <w:tc>
          <w:tcPr>
            <w:tcW w:w="40" w:type="dxa"/>
            <w:vAlign w:val="bottom"/>
            <w:shd w:val="clear" w:color="auto" w:fill="EAEAEA"/>
          </w:tcPr>
          <w:p>
            <w:pPr>
              <w:spacing w:after="0"/>
              <w:rPr>
                <w:sz w:val="20"/>
                <w:szCs w:val="20"/>
                <w:color w:val="auto"/>
              </w:rPr>
            </w:pPr>
          </w:p>
        </w:tc>
        <w:tc>
          <w:tcPr>
            <w:tcW w:w="600" w:type="dxa"/>
            <w:vAlign w:val="bottom"/>
            <w:gridSpan w:val="4"/>
            <w:shd w:val="clear" w:color="auto" w:fill="EAEAEA"/>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4"/>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2,469</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2,623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3,993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4,099</w:t>
            </w:r>
          </w:p>
        </w:tc>
        <w:tc>
          <w:tcPr>
            <w:tcW w:w="0" w:type="dxa"/>
            <w:vAlign w:val="bottom"/>
          </w:tcPr>
          <w:p>
            <w:pPr>
              <w:spacing w:after="0"/>
              <w:rPr>
                <w:sz w:val="1"/>
                <w:szCs w:val="1"/>
                <w:color w:val="auto"/>
              </w:rPr>
            </w:pPr>
          </w:p>
        </w:tc>
      </w:tr>
      <w:tr>
        <w:trPr>
          <w:trHeight w:val="230"/>
        </w:trPr>
        <w:tc>
          <w:tcPr>
            <w:tcW w:w="48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Short-term lease costs</w:t>
            </w:r>
          </w:p>
        </w:tc>
        <w:tc>
          <w:tcPr>
            <w:tcW w:w="4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1480" w:type="dxa"/>
            <w:vAlign w:val="bottom"/>
            <w:gridSpan w:val="3"/>
            <w:shd w:val="clear" w:color="auto" w:fill="EAEAEA"/>
          </w:tcPr>
          <w:p>
            <w:pPr>
              <w:jc w:val="right"/>
              <w:ind w:right="340"/>
              <w:spacing w:after="0"/>
              <w:rPr>
                <w:sz w:val="20"/>
                <w:szCs w:val="20"/>
                <w:color w:val="auto"/>
              </w:rPr>
            </w:pPr>
            <w:r>
              <w:rPr>
                <w:rFonts w:ascii="Times New Roman" w:cs="Times New Roman" w:eastAsia="Times New Roman" w:hAnsi="Times New Roman"/>
                <w:sz w:val="20"/>
                <w:szCs w:val="20"/>
                <w:color w:val="auto"/>
              </w:rPr>
              <w:t>28</w:t>
            </w:r>
          </w:p>
        </w:tc>
        <w:tc>
          <w:tcPr>
            <w:tcW w:w="4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440" w:type="dxa"/>
            <w:vAlign w:val="bottom"/>
            <w:gridSpan w:val="3"/>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300" w:type="dxa"/>
            <w:vAlign w:val="bottom"/>
            <w:gridSpan w:val="4"/>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costs</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1,057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1,326</w:t>
            </w:r>
          </w:p>
        </w:tc>
        <w:tc>
          <w:tcPr>
            <w:tcW w:w="0" w:type="dxa"/>
            <w:vAlign w:val="bottom"/>
          </w:tcPr>
          <w:p>
            <w:pPr>
              <w:spacing w:after="0"/>
              <w:rPr>
                <w:sz w:val="1"/>
                <w:szCs w:val="1"/>
                <w:color w:val="auto"/>
              </w:rPr>
            </w:pPr>
          </w:p>
        </w:tc>
      </w:tr>
      <w:tr>
        <w:trPr>
          <w:trHeight w:val="330"/>
        </w:trPr>
        <w:tc>
          <w:tcPr>
            <w:tcW w:w="6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operating leases is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800" w:type="dxa"/>
            <w:vAlign w:val="bottom"/>
            <w:tcBorders>
              <w:bottom w:val="single" w:sz="8" w:color="EAEAEA"/>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40" w:type="dxa"/>
            <w:vAlign w:val="bottom"/>
            <w:tcBorders>
              <w:bottom w:val="single" w:sz="8" w:color="EAEAEA"/>
            </w:tcBorders>
          </w:tcPr>
          <w:p>
            <w:pPr>
              <w:spacing w:after="0"/>
              <w:rPr>
                <w:sz w:val="22"/>
                <w:szCs w:val="22"/>
                <w:color w:val="auto"/>
              </w:rPr>
            </w:pPr>
          </w:p>
        </w:tc>
        <w:tc>
          <w:tcPr>
            <w:tcW w:w="340" w:type="dxa"/>
            <w:vAlign w:val="bottom"/>
            <w:tcBorders>
              <w:bottom w:val="single" w:sz="8" w:color="EAEAEA"/>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Borders>
              <w:bottom w:val="single" w:sz="8" w:color="EAEAEA"/>
            </w:tcBorders>
          </w:tcPr>
          <w:p>
            <w:pPr>
              <w:spacing w:after="0"/>
              <w:rPr>
                <w:sz w:val="22"/>
                <w:szCs w:val="22"/>
                <w:color w:val="auto"/>
              </w:rPr>
            </w:pPr>
          </w:p>
        </w:tc>
        <w:tc>
          <w:tcPr>
            <w:tcW w:w="40" w:type="dxa"/>
            <w:vAlign w:val="bottom"/>
            <w:tcBorders>
              <w:bottom w:val="single" w:sz="8" w:color="EAEAEA"/>
            </w:tcBorders>
          </w:tcPr>
          <w:p>
            <w:pPr>
              <w:spacing w:after="0"/>
              <w:rPr>
                <w:sz w:val="22"/>
                <w:szCs w:val="22"/>
                <w:color w:val="auto"/>
              </w:rPr>
            </w:pPr>
          </w:p>
        </w:tc>
        <w:tc>
          <w:tcPr>
            <w:tcW w:w="20" w:type="dxa"/>
            <w:vAlign w:val="bottom"/>
            <w:tcBorders>
              <w:bottom w:val="single" w:sz="8" w:color="EAEAEA"/>
            </w:tcBorders>
          </w:tcPr>
          <w:p>
            <w:pPr>
              <w:spacing w:after="0"/>
              <w:rPr>
                <w:sz w:val="22"/>
                <w:szCs w:val="22"/>
                <w:color w:val="auto"/>
              </w:rPr>
            </w:pPr>
          </w:p>
        </w:tc>
        <w:tc>
          <w:tcPr>
            <w:tcW w:w="260" w:type="dxa"/>
            <w:vAlign w:val="bottom"/>
            <w:tcBorders>
              <w:bottom w:val="single" w:sz="8" w:color="EAEAEA"/>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40" w:type="dxa"/>
            <w:vAlign w:val="bottom"/>
            <w:tcBorders>
              <w:bottom w:val="single" w:sz="8" w:color="EAEAEA"/>
            </w:tcBorders>
          </w:tcPr>
          <w:p>
            <w:pPr>
              <w:spacing w:after="0"/>
              <w:rPr>
                <w:sz w:val="22"/>
                <w:szCs w:val="22"/>
                <w:color w:val="auto"/>
              </w:rPr>
            </w:pPr>
          </w:p>
        </w:tc>
        <w:tc>
          <w:tcPr>
            <w:tcW w:w="20" w:type="dxa"/>
            <w:vAlign w:val="bottom"/>
            <w:tcBorders>
              <w:bottom w:val="single" w:sz="8" w:color="EAEAEA"/>
            </w:tcBorders>
          </w:tcPr>
          <w:p>
            <w:pPr>
              <w:spacing w:after="0"/>
              <w:rPr>
                <w:sz w:val="22"/>
                <w:szCs w:val="22"/>
                <w:color w:val="auto"/>
              </w:rPr>
            </w:pPr>
          </w:p>
        </w:tc>
        <w:tc>
          <w:tcPr>
            <w:tcW w:w="60" w:type="dxa"/>
            <w:vAlign w:val="bottom"/>
            <w:tcBorders>
              <w:bottom w:val="single" w:sz="8" w:color="EAEAEA"/>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Weighted average remaining lease term</w:t>
            </w:r>
          </w:p>
        </w:tc>
        <w:tc>
          <w:tcPr>
            <w:tcW w:w="4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1000" w:type="dxa"/>
            <w:vAlign w:val="bottom"/>
            <w:shd w:val="clear" w:color="auto" w:fill="EAEAEA"/>
          </w:tcPr>
          <w:p>
            <w:pPr>
              <w:ind w:left="740"/>
              <w:spacing w:after="0" w:line="225" w:lineRule="exact"/>
              <w:rPr>
                <w:sz w:val="20"/>
                <w:szCs w:val="20"/>
                <w:color w:val="auto"/>
              </w:rPr>
            </w:pPr>
            <w:r>
              <w:rPr>
                <w:rFonts w:ascii="Times New Roman" w:cs="Times New Roman" w:eastAsia="Times New Roman" w:hAnsi="Times New Roman"/>
                <w:sz w:val="20"/>
                <w:szCs w:val="20"/>
                <w:color w:val="auto"/>
                <w:w w:val="95"/>
              </w:rPr>
              <w:t>1.1</w:t>
            </w:r>
          </w:p>
        </w:tc>
        <w:tc>
          <w:tcPr>
            <w:tcW w:w="14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124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6.0</w:t>
            </w:r>
          </w:p>
        </w:tc>
        <w:tc>
          <w:tcPr>
            <w:tcW w:w="16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108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5.6</w:t>
            </w:r>
          </w:p>
        </w:tc>
        <w:tc>
          <w:tcPr>
            <w:tcW w:w="14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auto"/>
              </w:rPr>
              <w:t>7.8%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11.4%</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330"/>
        </w:trPr>
        <w:tc>
          <w:tcPr>
            <w:tcW w:w="81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Maturities of lease liabilities as of December 31, 2025 were as follows (in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7"/>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Operating Lease</w:t>
            </w:r>
          </w:p>
        </w:tc>
        <w:tc>
          <w:tcPr>
            <w:tcW w:w="0" w:type="dxa"/>
            <w:vAlign w:val="bottom"/>
          </w:tcPr>
          <w:p>
            <w:pPr>
              <w:spacing w:after="0"/>
              <w:rPr>
                <w:sz w:val="1"/>
                <w:szCs w:val="1"/>
                <w:color w:val="auto"/>
              </w:rPr>
            </w:pPr>
          </w:p>
        </w:tc>
      </w:tr>
      <w:tr>
        <w:trPr>
          <w:trHeight w:val="253"/>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Year Ending December 31,</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6"/>
          </w:tcPr>
          <w:p>
            <w:pPr>
              <w:ind w:left="20"/>
              <w:spacing w:after="0"/>
              <w:rPr>
                <w:sz w:val="20"/>
                <w:szCs w:val="20"/>
                <w:color w:val="auto"/>
              </w:rPr>
            </w:pPr>
            <w:r>
              <w:rPr>
                <w:rFonts w:ascii="Times New Roman" w:cs="Times New Roman" w:eastAsia="Times New Roman" w:hAnsi="Times New Roman"/>
                <w:sz w:val="20"/>
                <w:szCs w:val="20"/>
                <w:b w:val="1"/>
                <w:bCs w:val="1"/>
                <w:color w:val="auto"/>
              </w:rPr>
              <w:t>Commitments</w:t>
            </w:r>
          </w:p>
        </w:tc>
        <w:tc>
          <w:tcPr>
            <w:tcW w:w="0" w:type="dxa"/>
            <w:vAlign w:val="bottom"/>
          </w:tcPr>
          <w:p>
            <w:pPr>
              <w:spacing w:after="0"/>
              <w:rPr>
                <w:sz w:val="1"/>
                <w:szCs w:val="1"/>
                <w:color w:val="auto"/>
              </w:rPr>
            </w:pPr>
          </w:p>
        </w:tc>
      </w:tr>
      <w:tr>
        <w:trPr>
          <w:trHeight w:val="239"/>
        </w:trPr>
        <w:tc>
          <w:tcPr>
            <w:tcW w:w="4800" w:type="dxa"/>
            <w:vAlign w:val="bottom"/>
            <w:tcBorders>
              <w:top w:val="single" w:sz="8" w:color="auto"/>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2026</w:t>
            </w:r>
          </w:p>
        </w:tc>
        <w:tc>
          <w:tcPr>
            <w:tcW w:w="40" w:type="dxa"/>
            <w:vAlign w:val="bottom"/>
            <w:tcBorders>
              <w:top w:val="single" w:sz="8" w:color="auto"/>
            </w:tcBorders>
            <w:shd w:val="clear" w:color="auto" w:fill="EAEAEA"/>
          </w:tcPr>
          <w:p>
            <w:pPr>
              <w:spacing w:after="0"/>
              <w:rPr>
                <w:sz w:val="20"/>
                <w:szCs w:val="20"/>
                <w:color w:val="auto"/>
              </w:rPr>
            </w:pPr>
          </w:p>
        </w:tc>
        <w:tc>
          <w:tcPr>
            <w:tcW w:w="260" w:type="dxa"/>
            <w:vAlign w:val="bottom"/>
            <w:tcBorders>
              <w:top w:val="single" w:sz="8" w:color="auto"/>
            </w:tcBorders>
            <w:shd w:val="clear" w:color="auto" w:fill="EAEAEA"/>
          </w:tcPr>
          <w:p>
            <w:pPr>
              <w:spacing w:after="0"/>
              <w:rPr>
                <w:sz w:val="20"/>
                <w:szCs w:val="20"/>
                <w:color w:val="auto"/>
              </w:rPr>
            </w:pPr>
          </w:p>
        </w:tc>
        <w:tc>
          <w:tcPr>
            <w:tcW w:w="1000" w:type="dxa"/>
            <w:vAlign w:val="bottom"/>
            <w:tcBorders>
              <w:top w:val="single" w:sz="8" w:color="auto"/>
            </w:tcBorders>
            <w:shd w:val="clear" w:color="auto" w:fill="EAEAEA"/>
          </w:tcPr>
          <w:p>
            <w:pPr>
              <w:spacing w:after="0"/>
              <w:rPr>
                <w:sz w:val="20"/>
                <w:szCs w:val="20"/>
                <w:color w:val="auto"/>
              </w:rPr>
            </w:pPr>
          </w:p>
        </w:tc>
        <w:tc>
          <w:tcPr>
            <w:tcW w:w="140" w:type="dxa"/>
            <w:vAlign w:val="bottom"/>
            <w:tcBorders>
              <w:top w:val="single" w:sz="8" w:color="auto"/>
            </w:tcBorders>
            <w:shd w:val="clear" w:color="auto" w:fill="EAEAEA"/>
          </w:tcPr>
          <w:p>
            <w:pPr>
              <w:spacing w:after="0"/>
              <w:rPr>
                <w:sz w:val="20"/>
                <w:szCs w:val="20"/>
                <w:color w:val="auto"/>
              </w:rPr>
            </w:pPr>
          </w:p>
        </w:tc>
        <w:tc>
          <w:tcPr>
            <w:tcW w:w="340" w:type="dxa"/>
            <w:vAlign w:val="bottom"/>
            <w:tcBorders>
              <w:top w:val="single" w:sz="8" w:color="auto"/>
            </w:tcBorders>
            <w:shd w:val="clear" w:color="auto" w:fill="EAEAEA"/>
          </w:tcPr>
          <w:p>
            <w:pPr>
              <w:spacing w:after="0"/>
              <w:rPr>
                <w:sz w:val="20"/>
                <w:szCs w:val="20"/>
                <w:color w:val="auto"/>
              </w:rPr>
            </w:pPr>
          </w:p>
        </w:tc>
        <w:tc>
          <w:tcPr>
            <w:tcW w:w="40" w:type="dxa"/>
            <w:vAlign w:val="bottom"/>
            <w:tcBorders>
              <w:top w:val="single" w:sz="8" w:color="auto"/>
            </w:tcBorders>
            <w:shd w:val="clear" w:color="auto" w:fill="EAEAEA"/>
          </w:tcPr>
          <w:p>
            <w:pPr>
              <w:spacing w:after="0"/>
              <w:rPr>
                <w:sz w:val="20"/>
                <w:szCs w:val="20"/>
                <w:color w:val="auto"/>
              </w:rPr>
            </w:pPr>
          </w:p>
        </w:tc>
        <w:tc>
          <w:tcPr>
            <w:tcW w:w="120" w:type="dxa"/>
            <w:vAlign w:val="bottom"/>
            <w:tcBorders>
              <w:top w:val="single" w:sz="8" w:color="auto"/>
            </w:tcBorders>
            <w:shd w:val="clear" w:color="auto" w:fill="EAEAEA"/>
          </w:tcPr>
          <w:p>
            <w:pPr>
              <w:spacing w:after="0"/>
              <w:rPr>
                <w:sz w:val="20"/>
                <w:szCs w:val="20"/>
                <w:color w:val="auto"/>
              </w:rPr>
            </w:pPr>
          </w:p>
        </w:tc>
        <w:tc>
          <w:tcPr>
            <w:tcW w:w="1240" w:type="dxa"/>
            <w:vAlign w:val="bottom"/>
            <w:tcBorders>
              <w:top w:val="single" w:sz="8" w:color="auto"/>
            </w:tcBorders>
            <w:shd w:val="clear" w:color="auto" w:fill="EAEAEA"/>
          </w:tcPr>
          <w:p>
            <w:pPr>
              <w:spacing w:after="0"/>
              <w:rPr>
                <w:sz w:val="20"/>
                <w:szCs w:val="20"/>
                <w:color w:val="auto"/>
              </w:rPr>
            </w:pPr>
          </w:p>
        </w:tc>
        <w:tc>
          <w:tcPr>
            <w:tcW w:w="160" w:type="dxa"/>
            <w:vAlign w:val="bottom"/>
            <w:tcBorders>
              <w:top w:val="single" w:sz="8" w:color="auto"/>
            </w:tcBorders>
            <w:shd w:val="clear" w:color="auto" w:fill="EAEAEA"/>
          </w:tcPr>
          <w:p>
            <w:pPr>
              <w:spacing w:after="0"/>
              <w:rPr>
                <w:sz w:val="20"/>
                <w:szCs w:val="20"/>
                <w:color w:val="auto"/>
              </w:rPr>
            </w:pPr>
          </w:p>
        </w:tc>
        <w:tc>
          <w:tcPr>
            <w:tcW w:w="40" w:type="dxa"/>
            <w:vAlign w:val="bottom"/>
            <w:tcBorders>
              <w:top w:val="single" w:sz="8" w:color="auto"/>
            </w:tcBorders>
            <w:shd w:val="clear" w:color="auto" w:fill="EAEAEA"/>
          </w:tcPr>
          <w:p>
            <w:pPr>
              <w:spacing w:after="0"/>
              <w:rPr>
                <w:sz w:val="20"/>
                <w:szCs w:val="20"/>
                <w:color w:val="auto"/>
              </w:rPr>
            </w:pPr>
          </w:p>
        </w:tc>
        <w:tc>
          <w:tcPr>
            <w:tcW w:w="20" w:type="dxa"/>
            <w:vAlign w:val="bottom"/>
            <w:tcBorders>
              <w:top w:val="single" w:sz="8" w:color="auto"/>
            </w:tcBorders>
            <w:shd w:val="clear" w:color="auto" w:fill="EAEAEA"/>
          </w:tcPr>
          <w:p>
            <w:pPr>
              <w:spacing w:after="0"/>
              <w:rPr>
                <w:sz w:val="20"/>
                <w:szCs w:val="20"/>
                <w:color w:val="auto"/>
              </w:rPr>
            </w:pPr>
          </w:p>
        </w:tc>
        <w:tc>
          <w:tcPr>
            <w:tcW w:w="260" w:type="dxa"/>
            <w:vAlign w:val="bottom"/>
            <w:tcBorders>
              <w:top w:val="single" w:sz="8" w:color="auto"/>
            </w:tcBorders>
            <w:shd w:val="clear" w:color="auto" w:fill="EAEAEA"/>
          </w:tcPr>
          <w:p>
            <w:pPr>
              <w:spacing w:after="0"/>
              <w:rPr>
                <w:sz w:val="20"/>
                <w:szCs w:val="20"/>
                <w:color w:val="auto"/>
              </w:rPr>
            </w:pPr>
          </w:p>
        </w:tc>
        <w:tc>
          <w:tcPr>
            <w:tcW w:w="40" w:type="dxa"/>
            <w:vAlign w:val="bottom"/>
            <w:tcBorders>
              <w:top w:val="single" w:sz="8" w:color="auto"/>
            </w:tcBorders>
            <w:shd w:val="clear" w:color="auto" w:fill="EAEAEA"/>
          </w:tcPr>
          <w:p>
            <w:pPr>
              <w:spacing w:after="0"/>
              <w:rPr>
                <w:sz w:val="20"/>
                <w:szCs w:val="20"/>
                <w:color w:val="auto"/>
              </w:rPr>
            </w:pPr>
          </w:p>
        </w:tc>
        <w:tc>
          <w:tcPr>
            <w:tcW w:w="280" w:type="dxa"/>
            <w:vAlign w:val="bottom"/>
            <w:tcBorders>
              <w:top w:val="single" w:sz="8" w:color="auto"/>
            </w:tcBorders>
            <w:shd w:val="clear" w:color="auto" w:fill="EAEAEA"/>
          </w:tcPr>
          <w:p>
            <w:pPr>
              <w:spacing w:after="0"/>
              <w:rPr>
                <w:sz w:val="20"/>
                <w:szCs w:val="20"/>
                <w:color w:val="auto"/>
              </w:rPr>
            </w:pPr>
          </w:p>
        </w:tc>
        <w:tc>
          <w:tcPr>
            <w:tcW w:w="1220" w:type="dxa"/>
            <w:vAlign w:val="bottom"/>
            <w:tcBorders>
              <w:top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1,526</w:t>
            </w:r>
          </w:p>
        </w:tc>
        <w:tc>
          <w:tcPr>
            <w:tcW w:w="20" w:type="dxa"/>
            <w:vAlign w:val="bottom"/>
            <w:tcBorders>
              <w:top w:val="single" w:sz="8" w:color="EAEAEA"/>
            </w:tcBorders>
            <w:shd w:val="clear" w:color="auto" w:fill="EAEAEA"/>
          </w:tcPr>
          <w:p>
            <w:pPr>
              <w:spacing w:after="0"/>
              <w:rPr>
                <w:sz w:val="20"/>
                <w:szCs w:val="20"/>
                <w:color w:val="auto"/>
              </w:rPr>
            </w:pPr>
          </w:p>
        </w:tc>
        <w:tc>
          <w:tcPr>
            <w:tcW w:w="60" w:type="dxa"/>
            <w:vAlign w:val="bottom"/>
            <w:tcBorders>
              <w:top w:val="single" w:sz="8" w:color="EAEAEA"/>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40" w:type="dxa"/>
            <w:vAlign w:val="bottom"/>
            <w:tcBorders>
              <w:bottom w:val="single" w:sz="8" w:color="EAEAEA"/>
            </w:tcBorders>
          </w:tcPr>
          <w:p>
            <w:pPr>
              <w:spacing w:after="0"/>
              <w:rPr>
                <w:sz w:val="21"/>
                <w:szCs w:val="21"/>
                <w:color w:val="auto"/>
              </w:rPr>
            </w:pPr>
          </w:p>
        </w:tc>
        <w:tc>
          <w:tcPr>
            <w:tcW w:w="260" w:type="dxa"/>
            <w:vAlign w:val="bottom"/>
            <w:tcBorders>
              <w:bottom w:val="single" w:sz="8" w:color="EAEAEA"/>
            </w:tcBorders>
          </w:tcPr>
          <w:p>
            <w:pPr>
              <w:spacing w:after="0"/>
              <w:rPr>
                <w:sz w:val="21"/>
                <w:szCs w:val="21"/>
                <w:color w:val="auto"/>
              </w:rPr>
            </w:pPr>
          </w:p>
        </w:tc>
        <w:tc>
          <w:tcPr>
            <w:tcW w:w="1000" w:type="dxa"/>
            <w:vAlign w:val="bottom"/>
            <w:tcBorders>
              <w:bottom w:val="single" w:sz="8" w:color="EAEAEA"/>
            </w:tcBorders>
          </w:tcPr>
          <w:p>
            <w:pPr>
              <w:spacing w:after="0"/>
              <w:rPr>
                <w:sz w:val="21"/>
                <w:szCs w:val="21"/>
                <w:color w:val="auto"/>
              </w:rPr>
            </w:pPr>
          </w:p>
        </w:tc>
        <w:tc>
          <w:tcPr>
            <w:tcW w:w="140" w:type="dxa"/>
            <w:vAlign w:val="bottom"/>
            <w:tcBorders>
              <w:bottom w:val="single" w:sz="8" w:color="EAEAEA"/>
            </w:tcBorders>
          </w:tcPr>
          <w:p>
            <w:pPr>
              <w:spacing w:after="0"/>
              <w:rPr>
                <w:sz w:val="21"/>
                <w:szCs w:val="21"/>
                <w:color w:val="auto"/>
              </w:rPr>
            </w:pPr>
          </w:p>
        </w:tc>
        <w:tc>
          <w:tcPr>
            <w:tcW w:w="34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120" w:type="dxa"/>
            <w:vAlign w:val="bottom"/>
            <w:tcBorders>
              <w:bottom w:val="single" w:sz="8" w:color="EAEAEA"/>
            </w:tcBorders>
          </w:tcPr>
          <w:p>
            <w:pPr>
              <w:spacing w:after="0"/>
              <w:rPr>
                <w:sz w:val="21"/>
                <w:szCs w:val="21"/>
                <w:color w:val="auto"/>
              </w:rPr>
            </w:pPr>
          </w:p>
        </w:tc>
        <w:tc>
          <w:tcPr>
            <w:tcW w:w="1240" w:type="dxa"/>
            <w:vAlign w:val="bottom"/>
            <w:tcBorders>
              <w:bottom w:val="single" w:sz="8" w:color="EAEAEA"/>
            </w:tcBorders>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20" w:type="dxa"/>
            <w:vAlign w:val="bottom"/>
            <w:tcBorders>
              <w:bottom w:val="single" w:sz="8" w:color="EAEAEA"/>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128</w:t>
            </w:r>
          </w:p>
        </w:tc>
        <w:tc>
          <w:tcPr>
            <w:tcW w:w="20" w:type="dxa"/>
            <w:vAlign w:val="bottom"/>
            <w:tcBorders>
              <w:bottom w:val="single" w:sz="8" w:color="EAEAEA"/>
            </w:tcBorders>
          </w:tcPr>
          <w:p>
            <w:pPr>
              <w:spacing w:after="0"/>
              <w:rPr>
                <w:sz w:val="21"/>
                <w:szCs w:val="21"/>
                <w:color w:val="auto"/>
              </w:rPr>
            </w:pP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Total undiscounted lease payments</w:t>
            </w:r>
          </w:p>
        </w:tc>
        <w:tc>
          <w:tcPr>
            <w:tcW w:w="4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10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4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2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22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1,654</w:t>
            </w:r>
          </w:p>
        </w:tc>
        <w:tc>
          <w:tcPr>
            <w:tcW w:w="2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Less: Present value adjustments</w:t>
            </w:r>
          </w:p>
        </w:tc>
        <w:tc>
          <w:tcPr>
            <w:tcW w:w="40" w:type="dxa"/>
            <w:vAlign w:val="bottom"/>
            <w:tcBorders>
              <w:bottom w:val="single" w:sz="8" w:color="EAEAEA"/>
            </w:tcBorders>
          </w:tcPr>
          <w:p>
            <w:pPr>
              <w:spacing w:after="0"/>
              <w:rPr>
                <w:sz w:val="21"/>
                <w:szCs w:val="21"/>
                <w:color w:val="auto"/>
              </w:rPr>
            </w:pPr>
          </w:p>
        </w:tc>
        <w:tc>
          <w:tcPr>
            <w:tcW w:w="260" w:type="dxa"/>
            <w:vAlign w:val="bottom"/>
            <w:tcBorders>
              <w:bottom w:val="single" w:sz="8" w:color="EAEAEA"/>
            </w:tcBorders>
          </w:tcPr>
          <w:p>
            <w:pPr>
              <w:spacing w:after="0"/>
              <w:rPr>
                <w:sz w:val="21"/>
                <w:szCs w:val="21"/>
                <w:color w:val="auto"/>
              </w:rPr>
            </w:pPr>
          </w:p>
        </w:tc>
        <w:tc>
          <w:tcPr>
            <w:tcW w:w="1000" w:type="dxa"/>
            <w:vAlign w:val="bottom"/>
            <w:tcBorders>
              <w:bottom w:val="single" w:sz="8" w:color="EAEAEA"/>
            </w:tcBorders>
          </w:tcPr>
          <w:p>
            <w:pPr>
              <w:spacing w:after="0"/>
              <w:rPr>
                <w:sz w:val="21"/>
                <w:szCs w:val="21"/>
                <w:color w:val="auto"/>
              </w:rPr>
            </w:pPr>
          </w:p>
        </w:tc>
        <w:tc>
          <w:tcPr>
            <w:tcW w:w="140" w:type="dxa"/>
            <w:vAlign w:val="bottom"/>
            <w:tcBorders>
              <w:bottom w:val="single" w:sz="8" w:color="EAEAEA"/>
            </w:tcBorders>
          </w:tcPr>
          <w:p>
            <w:pPr>
              <w:spacing w:after="0"/>
              <w:rPr>
                <w:sz w:val="21"/>
                <w:szCs w:val="21"/>
                <w:color w:val="auto"/>
              </w:rPr>
            </w:pPr>
          </w:p>
        </w:tc>
        <w:tc>
          <w:tcPr>
            <w:tcW w:w="34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120" w:type="dxa"/>
            <w:vAlign w:val="bottom"/>
            <w:tcBorders>
              <w:bottom w:val="single" w:sz="8" w:color="EAEAEA"/>
            </w:tcBorders>
          </w:tcPr>
          <w:p>
            <w:pPr>
              <w:spacing w:after="0"/>
              <w:rPr>
                <w:sz w:val="21"/>
                <w:szCs w:val="21"/>
                <w:color w:val="auto"/>
              </w:rPr>
            </w:pPr>
          </w:p>
        </w:tc>
        <w:tc>
          <w:tcPr>
            <w:tcW w:w="1240" w:type="dxa"/>
            <w:vAlign w:val="bottom"/>
            <w:tcBorders>
              <w:bottom w:val="single" w:sz="8" w:color="EAEAEA"/>
            </w:tcBorders>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20" w:type="dxa"/>
            <w:vAlign w:val="bottom"/>
            <w:tcBorders>
              <w:bottom w:val="single" w:sz="8" w:color="EAEAEA"/>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0" w:type="dxa"/>
            <w:vAlign w:val="bottom"/>
            <w:tcBorders>
              <w:bottom w:val="single" w:sz="8" w:color="EAEAEA"/>
            </w:tcBorders>
          </w:tcPr>
          <w:p>
            <w:pPr>
              <w:spacing w:after="0"/>
              <w:rPr>
                <w:sz w:val="21"/>
                <w:szCs w:val="21"/>
                <w:color w:val="auto"/>
              </w:rPr>
            </w:pP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80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40" w:type="dxa"/>
            <w:vAlign w:val="bottom"/>
            <w:tcBorders>
              <w:bottom w:val="single" w:sz="8" w:color="EAEAEA"/>
            </w:tcBorders>
            <w:shd w:val="clear" w:color="auto" w:fill="EAEAEA"/>
          </w:tcPr>
          <w:p>
            <w:pPr>
              <w:spacing w:after="0"/>
              <w:rPr>
                <w:sz w:val="22"/>
                <w:szCs w:val="22"/>
                <w:color w:val="auto"/>
              </w:rPr>
            </w:pPr>
          </w:p>
        </w:tc>
        <w:tc>
          <w:tcPr>
            <w:tcW w:w="260" w:type="dxa"/>
            <w:vAlign w:val="bottom"/>
            <w:tcBorders>
              <w:bottom w:val="single" w:sz="8" w:color="EAEAEA"/>
            </w:tcBorders>
            <w:shd w:val="clear" w:color="auto" w:fill="EAEAEA"/>
          </w:tcPr>
          <w:p>
            <w:pPr>
              <w:spacing w:after="0"/>
              <w:rPr>
                <w:sz w:val="22"/>
                <w:szCs w:val="22"/>
                <w:color w:val="auto"/>
              </w:rPr>
            </w:pPr>
          </w:p>
        </w:tc>
        <w:tc>
          <w:tcPr>
            <w:tcW w:w="1000" w:type="dxa"/>
            <w:vAlign w:val="bottom"/>
            <w:tcBorders>
              <w:bottom w:val="single" w:sz="8" w:color="EAEAEA"/>
            </w:tcBorders>
            <w:shd w:val="clear" w:color="auto" w:fill="EAEAEA"/>
          </w:tcPr>
          <w:p>
            <w:pPr>
              <w:spacing w:after="0"/>
              <w:rPr>
                <w:sz w:val="22"/>
                <w:szCs w:val="22"/>
                <w:color w:val="auto"/>
              </w:rPr>
            </w:pPr>
          </w:p>
        </w:tc>
        <w:tc>
          <w:tcPr>
            <w:tcW w:w="140" w:type="dxa"/>
            <w:vAlign w:val="bottom"/>
            <w:tcBorders>
              <w:bottom w:val="single" w:sz="8" w:color="EAEAEA"/>
            </w:tcBorders>
            <w:shd w:val="clear" w:color="auto" w:fill="EAEAEA"/>
          </w:tcPr>
          <w:p>
            <w:pPr>
              <w:spacing w:after="0"/>
              <w:rPr>
                <w:sz w:val="22"/>
                <w:szCs w:val="22"/>
                <w:color w:val="auto"/>
              </w:rPr>
            </w:pPr>
          </w:p>
        </w:tc>
        <w:tc>
          <w:tcPr>
            <w:tcW w:w="340" w:type="dxa"/>
            <w:vAlign w:val="bottom"/>
            <w:tcBorders>
              <w:bottom w:val="single" w:sz="8" w:color="EAEAEA"/>
            </w:tcBorders>
            <w:shd w:val="clear" w:color="auto" w:fill="EAEAEA"/>
          </w:tcPr>
          <w:p>
            <w:pPr>
              <w:spacing w:after="0"/>
              <w:rPr>
                <w:sz w:val="22"/>
                <w:szCs w:val="22"/>
                <w:color w:val="auto"/>
              </w:rPr>
            </w:pPr>
          </w:p>
        </w:tc>
        <w:tc>
          <w:tcPr>
            <w:tcW w:w="40" w:type="dxa"/>
            <w:vAlign w:val="bottom"/>
            <w:tcBorders>
              <w:bottom w:val="single" w:sz="8" w:color="EAEAEA"/>
            </w:tcBorders>
            <w:shd w:val="clear" w:color="auto" w:fill="EAEAEA"/>
          </w:tcPr>
          <w:p>
            <w:pPr>
              <w:spacing w:after="0"/>
              <w:rPr>
                <w:sz w:val="22"/>
                <w:szCs w:val="22"/>
                <w:color w:val="auto"/>
              </w:rPr>
            </w:pPr>
          </w:p>
        </w:tc>
        <w:tc>
          <w:tcPr>
            <w:tcW w:w="120" w:type="dxa"/>
            <w:vAlign w:val="bottom"/>
            <w:tcBorders>
              <w:bottom w:val="single" w:sz="8" w:color="EAEAEA"/>
            </w:tcBorders>
            <w:shd w:val="clear" w:color="auto" w:fill="EAEAEA"/>
          </w:tcPr>
          <w:p>
            <w:pPr>
              <w:spacing w:after="0"/>
              <w:rPr>
                <w:sz w:val="22"/>
                <w:szCs w:val="22"/>
                <w:color w:val="auto"/>
              </w:rPr>
            </w:pPr>
          </w:p>
        </w:tc>
        <w:tc>
          <w:tcPr>
            <w:tcW w:w="1240" w:type="dxa"/>
            <w:vAlign w:val="bottom"/>
            <w:tcBorders>
              <w:bottom w:val="single" w:sz="8" w:color="EAEAEA"/>
            </w:tcBorders>
            <w:shd w:val="clear" w:color="auto" w:fill="EAEAEA"/>
          </w:tcPr>
          <w:p>
            <w:pPr>
              <w:spacing w:after="0"/>
              <w:rPr>
                <w:sz w:val="22"/>
                <w:szCs w:val="22"/>
                <w:color w:val="auto"/>
              </w:rPr>
            </w:pPr>
          </w:p>
        </w:tc>
        <w:tc>
          <w:tcPr>
            <w:tcW w:w="160" w:type="dxa"/>
            <w:vAlign w:val="bottom"/>
            <w:tcBorders>
              <w:bottom w:val="single" w:sz="8" w:color="EAEAEA"/>
            </w:tcBorders>
            <w:shd w:val="clear" w:color="auto" w:fill="EAEAEA"/>
          </w:tcPr>
          <w:p>
            <w:pPr>
              <w:spacing w:after="0"/>
              <w:rPr>
                <w:sz w:val="22"/>
                <w:szCs w:val="22"/>
                <w:color w:val="auto"/>
              </w:rPr>
            </w:pPr>
          </w:p>
        </w:tc>
        <w:tc>
          <w:tcPr>
            <w:tcW w:w="40" w:type="dxa"/>
            <w:vAlign w:val="bottom"/>
            <w:tcBorders>
              <w:bottom w:val="single" w:sz="8" w:color="EAEAEA"/>
            </w:tcBorders>
            <w:shd w:val="clear" w:color="auto" w:fill="EAEAEA"/>
          </w:tcPr>
          <w:p>
            <w:pPr>
              <w:spacing w:after="0"/>
              <w:rPr>
                <w:sz w:val="22"/>
                <w:szCs w:val="22"/>
                <w:color w:val="auto"/>
              </w:rPr>
            </w:pPr>
          </w:p>
        </w:tc>
        <w:tc>
          <w:tcPr>
            <w:tcW w:w="20" w:type="dxa"/>
            <w:vAlign w:val="bottom"/>
            <w:tcBorders>
              <w:bottom w:val="single" w:sz="8" w:color="EAEAEA"/>
            </w:tcBorders>
            <w:shd w:val="clear" w:color="auto" w:fill="EAEAEA"/>
          </w:tcPr>
          <w:p>
            <w:pPr>
              <w:spacing w:after="0"/>
              <w:rPr>
                <w:sz w:val="22"/>
                <w:szCs w:val="22"/>
                <w:color w:val="auto"/>
              </w:rPr>
            </w:pPr>
          </w:p>
        </w:tc>
        <w:tc>
          <w:tcPr>
            <w:tcW w:w="260" w:type="dxa"/>
            <w:vAlign w:val="bottom"/>
            <w:tcBorders>
              <w:bottom w:val="single" w:sz="8" w:color="auto"/>
            </w:tcBorders>
            <w:shd w:val="clear" w:color="auto" w:fill="EAEAEA"/>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EAEAEA"/>
          </w:tcPr>
          <w:p>
            <w:pPr>
              <w:spacing w:after="0"/>
              <w:rPr>
                <w:sz w:val="22"/>
                <w:szCs w:val="22"/>
                <w:color w:val="auto"/>
              </w:rPr>
            </w:pPr>
          </w:p>
        </w:tc>
        <w:tc>
          <w:tcPr>
            <w:tcW w:w="280" w:type="dxa"/>
            <w:vAlign w:val="bottom"/>
            <w:tcBorders>
              <w:bottom w:val="single" w:sz="8" w:color="auto"/>
            </w:tcBorders>
            <w:shd w:val="clear" w:color="auto" w:fill="EAEAEA"/>
          </w:tcPr>
          <w:p>
            <w:pPr>
              <w:spacing w:after="0"/>
              <w:rPr>
                <w:sz w:val="22"/>
                <w:szCs w:val="22"/>
                <w:color w:val="auto"/>
              </w:rPr>
            </w:pPr>
          </w:p>
        </w:tc>
        <w:tc>
          <w:tcPr>
            <w:tcW w:w="1220" w:type="dxa"/>
            <w:vAlign w:val="bottom"/>
            <w:tcBorders>
              <w:bottom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1,589</w:t>
            </w:r>
          </w:p>
        </w:tc>
        <w:tc>
          <w:tcPr>
            <w:tcW w:w="20" w:type="dxa"/>
            <w:vAlign w:val="bottom"/>
            <w:tcBorders>
              <w:bottom w:val="single" w:sz="8" w:color="EAEAEA"/>
            </w:tcBorders>
            <w:shd w:val="clear" w:color="auto" w:fill="EAEAEA"/>
          </w:tcPr>
          <w:p>
            <w:pPr>
              <w:spacing w:after="0"/>
              <w:rPr>
                <w:sz w:val="22"/>
                <w:szCs w:val="22"/>
                <w:color w:val="auto"/>
              </w:rPr>
            </w:pPr>
          </w:p>
        </w:tc>
        <w:tc>
          <w:tcPr>
            <w:tcW w:w="6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1,461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40" w:type="dxa"/>
            <w:vAlign w:val="bottom"/>
            <w:tcBorders>
              <w:bottom w:val="single" w:sz="8" w:color="EAEAEA"/>
            </w:tcBorders>
            <w:shd w:val="clear" w:color="auto" w:fill="EAEAEA"/>
          </w:tcPr>
          <w:p>
            <w:pPr>
              <w:spacing w:after="0"/>
              <w:rPr>
                <w:sz w:val="22"/>
                <w:szCs w:val="22"/>
                <w:color w:val="auto"/>
              </w:rPr>
            </w:pPr>
          </w:p>
        </w:tc>
        <w:tc>
          <w:tcPr>
            <w:tcW w:w="260" w:type="dxa"/>
            <w:vAlign w:val="bottom"/>
            <w:tcBorders>
              <w:bottom w:val="single" w:sz="8" w:color="EAEAEA"/>
            </w:tcBorders>
            <w:shd w:val="clear" w:color="auto" w:fill="EAEAEA"/>
          </w:tcPr>
          <w:p>
            <w:pPr>
              <w:spacing w:after="0"/>
              <w:rPr>
                <w:sz w:val="22"/>
                <w:szCs w:val="22"/>
                <w:color w:val="auto"/>
              </w:rPr>
            </w:pPr>
          </w:p>
        </w:tc>
        <w:tc>
          <w:tcPr>
            <w:tcW w:w="1000" w:type="dxa"/>
            <w:vAlign w:val="bottom"/>
            <w:tcBorders>
              <w:bottom w:val="single" w:sz="8" w:color="EAEAEA"/>
            </w:tcBorders>
            <w:shd w:val="clear" w:color="auto" w:fill="EAEAEA"/>
          </w:tcPr>
          <w:p>
            <w:pPr>
              <w:spacing w:after="0"/>
              <w:rPr>
                <w:sz w:val="22"/>
                <w:szCs w:val="22"/>
                <w:color w:val="auto"/>
              </w:rPr>
            </w:pPr>
          </w:p>
        </w:tc>
        <w:tc>
          <w:tcPr>
            <w:tcW w:w="140" w:type="dxa"/>
            <w:vAlign w:val="bottom"/>
            <w:tcBorders>
              <w:bottom w:val="single" w:sz="8" w:color="EAEAEA"/>
            </w:tcBorders>
            <w:shd w:val="clear" w:color="auto" w:fill="EAEAEA"/>
          </w:tcPr>
          <w:p>
            <w:pPr>
              <w:spacing w:after="0"/>
              <w:rPr>
                <w:sz w:val="22"/>
                <w:szCs w:val="22"/>
                <w:color w:val="auto"/>
              </w:rPr>
            </w:pPr>
          </w:p>
        </w:tc>
        <w:tc>
          <w:tcPr>
            <w:tcW w:w="340" w:type="dxa"/>
            <w:vAlign w:val="bottom"/>
            <w:tcBorders>
              <w:bottom w:val="single" w:sz="8" w:color="EAEAEA"/>
            </w:tcBorders>
            <w:shd w:val="clear" w:color="auto" w:fill="EAEAEA"/>
          </w:tcPr>
          <w:p>
            <w:pPr>
              <w:spacing w:after="0"/>
              <w:rPr>
                <w:sz w:val="22"/>
                <w:szCs w:val="22"/>
                <w:color w:val="auto"/>
              </w:rPr>
            </w:pPr>
          </w:p>
        </w:tc>
        <w:tc>
          <w:tcPr>
            <w:tcW w:w="40" w:type="dxa"/>
            <w:vAlign w:val="bottom"/>
            <w:tcBorders>
              <w:bottom w:val="single" w:sz="8" w:color="EAEAEA"/>
            </w:tcBorders>
            <w:shd w:val="clear" w:color="auto" w:fill="EAEAEA"/>
          </w:tcPr>
          <w:p>
            <w:pPr>
              <w:spacing w:after="0"/>
              <w:rPr>
                <w:sz w:val="22"/>
                <w:szCs w:val="22"/>
                <w:color w:val="auto"/>
              </w:rPr>
            </w:pPr>
          </w:p>
        </w:tc>
        <w:tc>
          <w:tcPr>
            <w:tcW w:w="120" w:type="dxa"/>
            <w:vAlign w:val="bottom"/>
            <w:tcBorders>
              <w:bottom w:val="single" w:sz="8" w:color="EAEAEA"/>
            </w:tcBorders>
            <w:shd w:val="clear" w:color="auto" w:fill="EAEAEA"/>
          </w:tcPr>
          <w:p>
            <w:pPr>
              <w:spacing w:after="0"/>
              <w:rPr>
                <w:sz w:val="22"/>
                <w:szCs w:val="22"/>
                <w:color w:val="auto"/>
              </w:rPr>
            </w:pPr>
          </w:p>
        </w:tc>
        <w:tc>
          <w:tcPr>
            <w:tcW w:w="1240" w:type="dxa"/>
            <w:vAlign w:val="bottom"/>
            <w:tcBorders>
              <w:bottom w:val="single" w:sz="8" w:color="EAEAEA"/>
            </w:tcBorders>
            <w:shd w:val="clear" w:color="auto" w:fill="EAEAEA"/>
          </w:tcPr>
          <w:p>
            <w:pPr>
              <w:spacing w:after="0"/>
              <w:rPr>
                <w:sz w:val="22"/>
                <w:szCs w:val="22"/>
                <w:color w:val="auto"/>
              </w:rPr>
            </w:pPr>
          </w:p>
        </w:tc>
        <w:tc>
          <w:tcPr>
            <w:tcW w:w="160" w:type="dxa"/>
            <w:vAlign w:val="bottom"/>
            <w:tcBorders>
              <w:bottom w:val="single" w:sz="8" w:color="EAEAEA"/>
            </w:tcBorders>
            <w:shd w:val="clear" w:color="auto" w:fill="EAEAEA"/>
          </w:tcPr>
          <w:p>
            <w:pPr>
              <w:spacing w:after="0"/>
              <w:rPr>
                <w:sz w:val="22"/>
                <w:szCs w:val="22"/>
                <w:color w:val="auto"/>
              </w:rPr>
            </w:pPr>
          </w:p>
        </w:tc>
        <w:tc>
          <w:tcPr>
            <w:tcW w:w="40" w:type="dxa"/>
            <w:vAlign w:val="bottom"/>
            <w:tcBorders>
              <w:bottom w:val="single" w:sz="8" w:color="EAEAEA"/>
            </w:tcBorders>
            <w:shd w:val="clear" w:color="auto" w:fill="EAEAEA"/>
          </w:tcPr>
          <w:p>
            <w:pPr>
              <w:spacing w:after="0"/>
              <w:rPr>
                <w:sz w:val="22"/>
                <w:szCs w:val="22"/>
                <w:color w:val="auto"/>
              </w:rPr>
            </w:pPr>
          </w:p>
        </w:tc>
        <w:tc>
          <w:tcPr>
            <w:tcW w:w="20" w:type="dxa"/>
            <w:vAlign w:val="bottom"/>
            <w:tcBorders>
              <w:bottom w:val="single" w:sz="8" w:color="EAEAEA"/>
            </w:tcBorders>
            <w:shd w:val="clear" w:color="auto" w:fill="EAEAEA"/>
          </w:tcPr>
          <w:p>
            <w:pPr>
              <w:spacing w:after="0"/>
              <w:rPr>
                <w:sz w:val="22"/>
                <w:szCs w:val="22"/>
                <w:color w:val="auto"/>
              </w:rPr>
            </w:pPr>
          </w:p>
        </w:tc>
        <w:tc>
          <w:tcPr>
            <w:tcW w:w="260" w:type="dxa"/>
            <w:vAlign w:val="bottom"/>
            <w:tcBorders>
              <w:bottom w:val="single" w:sz="8" w:color="auto"/>
            </w:tcBorders>
            <w:shd w:val="clear" w:color="auto" w:fill="EAEAEA"/>
          </w:tcPr>
          <w:p>
            <w:pPr>
              <w:spacing w:after="0"/>
              <w:rPr>
                <w:sz w:val="22"/>
                <w:szCs w:val="22"/>
                <w:color w:val="auto"/>
              </w:rPr>
            </w:pPr>
          </w:p>
        </w:tc>
        <w:tc>
          <w:tcPr>
            <w:tcW w:w="40" w:type="dxa"/>
            <w:vAlign w:val="bottom"/>
            <w:tcBorders>
              <w:bottom w:val="single" w:sz="8" w:color="auto"/>
            </w:tcBorders>
            <w:shd w:val="clear" w:color="auto" w:fill="EAEAEA"/>
          </w:tcPr>
          <w:p>
            <w:pPr>
              <w:spacing w:after="0"/>
              <w:rPr>
                <w:sz w:val="22"/>
                <w:szCs w:val="22"/>
                <w:color w:val="auto"/>
              </w:rPr>
            </w:pPr>
          </w:p>
        </w:tc>
        <w:tc>
          <w:tcPr>
            <w:tcW w:w="280" w:type="dxa"/>
            <w:vAlign w:val="bottom"/>
            <w:tcBorders>
              <w:bottom w:val="single" w:sz="8" w:color="auto"/>
            </w:tcBorders>
            <w:shd w:val="clear" w:color="auto" w:fill="EAEAEA"/>
          </w:tcPr>
          <w:p>
            <w:pPr>
              <w:spacing w:after="0"/>
              <w:rPr>
                <w:sz w:val="22"/>
                <w:szCs w:val="22"/>
                <w:color w:val="auto"/>
              </w:rPr>
            </w:pPr>
          </w:p>
        </w:tc>
        <w:tc>
          <w:tcPr>
            <w:tcW w:w="1220" w:type="dxa"/>
            <w:vAlign w:val="bottom"/>
            <w:tcBorders>
              <w:bottom w:val="single" w:sz="8" w:color="auto"/>
            </w:tcBorders>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128</w:t>
            </w:r>
          </w:p>
        </w:tc>
        <w:tc>
          <w:tcPr>
            <w:tcW w:w="20" w:type="dxa"/>
            <w:vAlign w:val="bottom"/>
            <w:tcBorders>
              <w:bottom w:val="single" w:sz="8" w:color="EAEAEA"/>
            </w:tcBorders>
            <w:shd w:val="clear" w:color="auto" w:fill="EAEAEA"/>
          </w:tcPr>
          <w:p>
            <w:pPr>
              <w:spacing w:after="0"/>
              <w:rPr>
                <w:sz w:val="22"/>
                <w:szCs w:val="22"/>
                <w:color w:val="auto"/>
              </w:rPr>
            </w:pPr>
          </w:p>
        </w:tc>
        <w:tc>
          <w:tcPr>
            <w:tcW w:w="6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Total operating lease liabilities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1,589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Company, from time to time, may be party to litigation arising in the ordinary course of business. The Company was not subject to any material legal proceedings during the years ended December 31, 2025, 2024, and 2023, and to the best of its knowledge, no material legal proceedings are currently pending or threatened.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2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fair value of these agreements is not material.</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080"/>
          </w:cols>
          <w:pgMar w:left="1080" w:top="1060" w:right="1080" w:bottom="175" w:gutter="0" w:footer="0" w:header="0"/>
          <w:type w:val="continuous"/>
        </w:sectPr>
      </w:pPr>
    </w:p>
    <w:bookmarkStart w:id="117" w:name="page118"/>
    <w:bookmarkEnd w:id="117"/>
    <w:p>
      <w:pPr>
        <w:ind w:right="100"/>
        <w:spacing w:after="0" w:line="252" w:lineRule="auto"/>
        <w:rPr>
          <w:sz w:val="20"/>
          <w:szCs w:val="20"/>
          <w:color w:val="auto"/>
        </w:rPr>
      </w:pPr>
      <w:r>
        <w:rPr>
          <w:rFonts w:ascii="Times New Roman" w:cs="Times New Roman" w:eastAsia="Times New Roman" w:hAnsi="Times New Roman"/>
          <w:sz w:val="20"/>
          <w:szCs w:val="20"/>
          <w:color w:val="auto"/>
        </w:rPr>
        <w:t>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Net Loss Per Share</w:t>
      </w:r>
    </w:p>
    <w:p>
      <w:pPr>
        <w:spacing w:after="0" w:line="12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computation of the basic and diluted net loss per share (in thousands except share and per share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5860" w:type="dxa"/>
            <w:vAlign w:val="bottom"/>
            <w:tcBorders>
              <w:bottom w:val="single" w:sz="8" w:color="EAEAEA"/>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EAEAEA"/>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bottom w:val="single" w:sz="8" w:color="EAEAEA"/>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AEAEA"/>
            </w:tcBorders>
          </w:tcPr>
          <w:p>
            <w:pPr>
              <w:spacing w:after="0"/>
              <w:rPr>
                <w:sz w:val="22"/>
                <w:szCs w:val="22"/>
                <w:color w:val="auto"/>
              </w:rPr>
            </w:pPr>
          </w:p>
        </w:tc>
      </w:tr>
      <w:tr>
        <w:trPr>
          <w:trHeight w:val="239"/>
        </w:trPr>
        <w:tc>
          <w:tcPr>
            <w:tcW w:w="58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Numerator:</w:t>
            </w:r>
          </w:p>
        </w:tc>
        <w:tc>
          <w:tcPr>
            <w:tcW w:w="200" w:type="dxa"/>
            <w:vAlign w:val="bottom"/>
            <w:shd w:val="clear" w:color="auto" w:fill="EAEAEA"/>
          </w:tcPr>
          <w:p>
            <w:pPr>
              <w:spacing w:after="0"/>
              <w:rPr>
                <w:sz w:val="20"/>
                <w:szCs w:val="20"/>
                <w:color w:val="auto"/>
              </w:rPr>
            </w:pPr>
          </w:p>
        </w:tc>
        <w:tc>
          <w:tcPr>
            <w:tcW w:w="102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02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9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r>
      <w:tr>
        <w:trPr>
          <w:trHeight w:val="244"/>
        </w:trPr>
        <w:tc>
          <w:tcPr>
            <w:tcW w:w="586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(61,797)</w:t>
            </w:r>
          </w:p>
        </w:tc>
        <w:tc>
          <w:tcPr>
            <w:tcW w:w="240" w:type="dxa"/>
            <w:vAlign w:val="bottom"/>
            <w:tcBorders>
              <w:bottom w:val="single" w:sz="8" w:color="EAEAEA"/>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(138,426)</w:t>
            </w:r>
          </w:p>
        </w:tc>
        <w:tc>
          <w:tcPr>
            <w:tcW w:w="240" w:type="dxa"/>
            <w:vAlign w:val="bottom"/>
            <w:tcBorders>
              <w:bottom w:val="single" w:sz="8" w:color="EAEAEA"/>
            </w:tcBorders>
          </w:tcPr>
          <w:p>
            <w:pPr>
              <w:spacing w:after="0"/>
              <w:rPr>
                <w:sz w:val="21"/>
                <w:szCs w:val="21"/>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(117,255)</w:t>
            </w:r>
          </w:p>
        </w:tc>
        <w:tc>
          <w:tcPr>
            <w:tcW w:w="80" w:type="dxa"/>
            <w:vAlign w:val="bottom"/>
            <w:tcBorders>
              <w:bottom w:val="single" w:sz="8" w:color="EAEAEA"/>
            </w:tcBorders>
          </w:tcPr>
          <w:p>
            <w:pPr>
              <w:spacing w:after="0"/>
              <w:rPr>
                <w:sz w:val="21"/>
                <w:szCs w:val="21"/>
                <w:color w:val="auto"/>
              </w:rPr>
            </w:pPr>
          </w:p>
        </w:tc>
      </w:tr>
      <w:tr>
        <w:trPr>
          <w:trHeight w:val="239"/>
        </w:trPr>
        <w:tc>
          <w:tcPr>
            <w:tcW w:w="58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00" w:type="dxa"/>
            <w:vAlign w:val="bottom"/>
            <w:shd w:val="clear" w:color="auto" w:fill="EAEAEA"/>
          </w:tcPr>
          <w:p>
            <w:pPr>
              <w:spacing w:after="0"/>
              <w:rPr>
                <w:sz w:val="20"/>
                <w:szCs w:val="20"/>
                <w:color w:val="auto"/>
              </w:rPr>
            </w:pPr>
          </w:p>
        </w:tc>
        <w:tc>
          <w:tcPr>
            <w:tcW w:w="102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02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9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r>
      <w:tr>
        <w:trPr>
          <w:trHeight w:val="225"/>
        </w:trPr>
        <w:tc>
          <w:tcPr>
            <w:tcW w:w="58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Weighted-average common shares outstanding,</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5860" w:type="dxa"/>
            <w:vAlign w:val="bottom"/>
            <w:tcBorders>
              <w:bottom w:val="single" w:sz="8" w:color="EAEAEA"/>
            </w:tcBorders>
          </w:tcPr>
          <w:p>
            <w:pPr>
              <w:ind w:left="360"/>
              <w:spacing w:after="0"/>
              <w:rPr>
                <w:sz w:val="20"/>
                <w:szCs w:val="20"/>
                <w:color w:val="auto"/>
              </w:rPr>
            </w:pPr>
            <w:r>
              <w:rPr>
                <w:rFonts w:ascii="Times New Roman" w:cs="Times New Roman" w:eastAsia="Times New Roman" w:hAnsi="Times New Roman"/>
                <w:sz w:val="20"/>
                <w:szCs w:val="20"/>
                <w:color w:val="auto"/>
              </w:rPr>
              <w:t>basic and diluted</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52,228,068</w:t>
            </w:r>
          </w:p>
        </w:tc>
        <w:tc>
          <w:tcPr>
            <w:tcW w:w="240" w:type="dxa"/>
            <w:vAlign w:val="bottom"/>
            <w:tcBorders>
              <w:bottom w:val="single" w:sz="8" w:color="EAEAEA"/>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36,105,671</w:t>
            </w:r>
          </w:p>
        </w:tc>
        <w:tc>
          <w:tcPr>
            <w:tcW w:w="240" w:type="dxa"/>
            <w:vAlign w:val="bottom"/>
            <w:tcBorders>
              <w:bottom w:val="single" w:sz="8" w:color="EAEAEA"/>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34,106,923</w:t>
            </w:r>
          </w:p>
        </w:tc>
        <w:tc>
          <w:tcPr>
            <w:tcW w:w="80" w:type="dxa"/>
            <w:vAlign w:val="bottom"/>
            <w:tcBorders>
              <w:bottom w:val="single" w:sz="8" w:color="EAEAEA"/>
            </w:tcBorders>
          </w:tcPr>
          <w:p>
            <w:pPr>
              <w:spacing w:after="0"/>
              <w:rPr>
                <w:sz w:val="21"/>
                <w:szCs w:val="21"/>
                <w:color w:val="auto"/>
              </w:rPr>
            </w:pPr>
          </w:p>
        </w:tc>
      </w:tr>
      <w:tr>
        <w:trPr>
          <w:trHeight w:val="259"/>
        </w:trPr>
        <w:tc>
          <w:tcPr>
            <w:tcW w:w="5860" w:type="dxa"/>
            <w:vAlign w:val="bottom"/>
            <w:tcBorders>
              <w:bottom w:val="single" w:sz="8" w:color="EAEAEA"/>
            </w:tcBorders>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2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40" w:type="dxa"/>
            <w:vAlign w:val="bottom"/>
            <w:tcBorders>
              <w:bottom w:val="single" w:sz="8" w:color="EAEAEA"/>
            </w:tcBorders>
            <w:shd w:val="clear" w:color="auto" w:fill="EAEAEA"/>
          </w:tcPr>
          <w:p>
            <w:pPr>
              <w:spacing w:after="0"/>
              <w:rPr>
                <w:sz w:val="22"/>
                <w:szCs w:val="22"/>
                <w:color w:val="auto"/>
              </w:rPr>
            </w:pPr>
          </w:p>
        </w:tc>
        <w:tc>
          <w:tcPr>
            <w:tcW w:w="2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240" w:type="dxa"/>
            <w:vAlign w:val="bottom"/>
            <w:tcBorders>
              <w:bottom w:val="single" w:sz="8" w:color="EAEAEA"/>
            </w:tcBorders>
            <w:shd w:val="clear" w:color="auto" w:fill="EAEAEA"/>
          </w:tcPr>
          <w:p>
            <w:pPr>
              <w:spacing w:after="0"/>
              <w:rPr>
                <w:sz w:val="22"/>
                <w:szCs w:val="22"/>
                <w:color w:val="auto"/>
              </w:rPr>
            </w:pPr>
          </w:p>
        </w:tc>
        <w:tc>
          <w:tcPr>
            <w:tcW w:w="280" w:type="dxa"/>
            <w:vAlign w:val="bottom"/>
            <w:tcBorders>
              <w:bottom w:val="single" w:sz="8" w:color="auto"/>
            </w:tcBorders>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80" w:type="dxa"/>
            <w:vAlign w:val="bottom"/>
            <w:tcBorders>
              <w:bottom w:val="single" w:sz="8" w:color="EAEAEA"/>
            </w:tcBorders>
            <w:shd w:val="clear" w:color="auto" w:fill="EAEAEA"/>
          </w:tcPr>
          <w:p>
            <w:pPr>
              <w:spacing w:after="0"/>
              <w:rPr>
                <w:sz w:val="22"/>
                <w:szCs w:val="22"/>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-1156335</wp:posOffset>
            </wp:positionV>
            <wp:extent cx="26676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5">
                      <a:extLst>
                        <a:ext uri="{28A0092B-C50C-407E-A947-70E740481C1C}"/>
                      </a:extLst>
                    </a:blip>
                    <a:srcRect/>
                    <a:stretch>
                      <a:fillRect/>
                    </a:stretch>
                  </pic:blipFill>
                  <pic:spPr bwMode="auto">
                    <a:xfrm>
                      <a:off x="0" y="0"/>
                      <a:ext cx="2667635" cy="38100"/>
                    </a:xfrm>
                    <a:prstGeom prst="rect">
                      <a:avLst/>
                    </a:prstGeom>
                    <a:noFill/>
                  </pic:spPr>
                </pic:pic>
              </a:graphicData>
            </a:graphic>
          </wp:anchor>
        </w:drawing>
      </w:r>
    </w:p>
    <w:p>
      <w:pPr>
        <w:spacing w:after="0" w:line="8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Since the Company was in a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3"/>
        </w:trPr>
        <w:tc>
          <w:tcPr>
            <w:tcW w:w="5800" w:type="dxa"/>
            <w:vAlign w:val="bottom"/>
          </w:tcPr>
          <w:p>
            <w:pPr>
              <w:spacing w:after="0"/>
              <w:rPr>
                <w:sz w:val="22"/>
                <w:szCs w:val="22"/>
                <w:color w:val="auto"/>
              </w:rPr>
            </w:pP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r>
      <w:tr>
        <w:trPr>
          <w:trHeight w:val="239"/>
        </w:trPr>
        <w:tc>
          <w:tcPr>
            <w:tcW w:w="580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Stock options, issued and outstanding</w:t>
            </w:r>
          </w:p>
        </w:tc>
        <w:tc>
          <w:tcPr>
            <w:tcW w:w="124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8,255,280</w:t>
            </w:r>
          </w:p>
        </w:tc>
        <w:tc>
          <w:tcPr>
            <w:tcW w:w="240" w:type="dxa"/>
            <w:vAlign w:val="bottom"/>
            <w:tcBorders>
              <w:top w:val="single" w:sz="8" w:color="EAEAEA"/>
            </w:tcBorders>
            <w:shd w:val="clear" w:color="auto" w:fill="EAEAEA"/>
          </w:tcPr>
          <w:p>
            <w:pPr>
              <w:spacing w:after="0"/>
              <w:rPr>
                <w:sz w:val="20"/>
                <w:szCs w:val="20"/>
                <w:color w:val="auto"/>
              </w:rPr>
            </w:pPr>
          </w:p>
        </w:tc>
        <w:tc>
          <w:tcPr>
            <w:tcW w:w="124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9,168,745</w:t>
            </w:r>
          </w:p>
        </w:tc>
        <w:tc>
          <w:tcPr>
            <w:tcW w:w="240" w:type="dxa"/>
            <w:vAlign w:val="bottom"/>
            <w:tcBorders>
              <w:top w:val="single" w:sz="8" w:color="EAEAEA"/>
            </w:tcBorders>
            <w:shd w:val="clear" w:color="auto" w:fill="EAEAEA"/>
          </w:tcPr>
          <w:p>
            <w:pPr>
              <w:spacing w:after="0"/>
              <w:rPr>
                <w:sz w:val="20"/>
                <w:szCs w:val="20"/>
                <w:color w:val="auto"/>
              </w:rPr>
            </w:pPr>
          </w:p>
        </w:tc>
        <w:tc>
          <w:tcPr>
            <w:tcW w:w="126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7,357,607</w:t>
            </w:r>
          </w:p>
        </w:tc>
        <w:tc>
          <w:tcPr>
            <w:tcW w:w="60" w:type="dxa"/>
            <w:vAlign w:val="bottom"/>
            <w:tcBorders>
              <w:top w:val="single" w:sz="8" w:color="EAEAEA"/>
            </w:tcBorders>
            <w:shd w:val="clear" w:color="auto" w:fill="EAEAEA"/>
          </w:tcPr>
          <w:p>
            <w:pPr>
              <w:spacing w:after="0"/>
              <w:rPr>
                <w:sz w:val="20"/>
                <w:szCs w:val="20"/>
                <w:color w:val="auto"/>
              </w:rPr>
            </w:pPr>
          </w:p>
        </w:tc>
      </w:tr>
      <w:tr>
        <w:trPr>
          <w:trHeight w:val="244"/>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Estimated shares issuable under the ESPP</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16,717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31,645</w:t>
            </w:r>
          </w:p>
        </w:tc>
        <w:tc>
          <w:tcPr>
            <w:tcW w:w="60" w:type="dxa"/>
            <w:vAlign w:val="bottom"/>
          </w:tcPr>
          <w:p>
            <w:pPr>
              <w:spacing w:after="0"/>
              <w:rPr>
                <w:sz w:val="21"/>
                <w:szCs w:val="21"/>
                <w:color w:val="auto"/>
              </w:rPr>
            </w:pPr>
          </w:p>
        </w:tc>
      </w:tr>
      <w:tr>
        <w:trPr>
          <w:trHeight w:val="244"/>
        </w:trPr>
        <w:tc>
          <w:tcPr>
            <w:tcW w:w="58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Restricted stock, issued and outstanding</w:t>
            </w:r>
          </w:p>
        </w:tc>
        <w:tc>
          <w:tcPr>
            <w:tcW w:w="12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AEAEA"/>
          </w:tcPr>
          <w:p>
            <w:pPr>
              <w:spacing w:after="0"/>
              <w:rPr>
                <w:sz w:val="21"/>
                <w:szCs w:val="21"/>
                <w:color w:val="auto"/>
              </w:rPr>
            </w:pPr>
          </w:p>
        </w:tc>
        <w:tc>
          <w:tcPr>
            <w:tcW w:w="12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111,920</w:t>
            </w:r>
          </w:p>
        </w:tc>
        <w:tc>
          <w:tcPr>
            <w:tcW w:w="60" w:type="dxa"/>
            <w:vAlign w:val="bottom"/>
            <w:shd w:val="clear" w:color="auto" w:fill="EAEAEA"/>
          </w:tcPr>
          <w:p>
            <w:pPr>
              <w:spacing w:after="0"/>
              <w:rPr>
                <w:sz w:val="21"/>
                <w:szCs w:val="21"/>
                <w:color w:val="auto"/>
              </w:rPr>
            </w:pPr>
          </w:p>
        </w:tc>
      </w:tr>
      <w:tr>
        <w:trPr>
          <w:trHeight w:val="244"/>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subject to future vesting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892,500</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8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Common warrants to purchase common stock</w:t>
            </w:r>
          </w:p>
        </w:tc>
        <w:tc>
          <w:tcPr>
            <w:tcW w:w="12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37,024,389</w:t>
            </w:r>
          </w:p>
        </w:tc>
        <w:tc>
          <w:tcPr>
            <w:tcW w:w="240" w:type="dxa"/>
            <w:vAlign w:val="bottom"/>
            <w:shd w:val="clear" w:color="auto" w:fill="EAEAEA"/>
          </w:tcPr>
          <w:p>
            <w:pPr>
              <w:spacing w:after="0"/>
              <w:rPr>
                <w:sz w:val="22"/>
                <w:szCs w:val="22"/>
                <w:color w:val="auto"/>
              </w:rPr>
            </w:pPr>
          </w:p>
        </w:tc>
        <w:tc>
          <w:tcPr>
            <w:tcW w:w="12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AEAEA"/>
          </w:tcPr>
          <w:p>
            <w:pPr>
              <w:spacing w:after="0"/>
              <w:rPr>
                <w:sz w:val="22"/>
                <w:szCs w:val="22"/>
                <w:color w:val="auto"/>
              </w:rPr>
            </w:pPr>
          </w:p>
        </w:tc>
        <w:tc>
          <w:tcPr>
            <w:tcW w:w="132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5800" w:type="dxa"/>
            <w:vAlign w:val="bottom"/>
            <w:tcBorders>
              <w:top w:val="single" w:sz="8" w:color="EAEAEA"/>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12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46,217,849</w:t>
            </w:r>
          </w:p>
        </w:tc>
        <w:tc>
          <w:tcPr>
            <w:tcW w:w="240" w:type="dxa"/>
            <w:vAlign w:val="bottom"/>
            <w:tcBorders>
              <w:top w:val="single" w:sz="8" w:color="EAEAEA"/>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9,185,462</w:t>
            </w:r>
          </w:p>
        </w:tc>
        <w:tc>
          <w:tcPr>
            <w:tcW w:w="240" w:type="dxa"/>
            <w:vAlign w:val="bottom"/>
            <w:tcBorders>
              <w:top w:val="single" w:sz="8" w:color="EAEAEA"/>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7,501,172</w:t>
            </w:r>
          </w:p>
        </w:tc>
        <w:tc>
          <w:tcPr>
            <w:tcW w:w="60" w:type="dxa"/>
            <w:vAlign w:val="bottom"/>
            <w:tcBorders>
              <w:top w:val="single" w:sz="8" w:color="EAEAEA"/>
            </w:tcBorders>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-1155065</wp:posOffset>
            </wp:positionV>
            <wp:extent cx="271970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6">
                      <a:extLst>
                        <a:ext uri="{28A0092B-C50C-407E-A947-70E740481C1C}"/>
                      </a:extLst>
                    </a:blip>
                    <a:srcRect/>
                    <a:stretch>
                      <a:fillRect/>
                    </a:stretch>
                  </pic:blipFill>
                  <pic:spPr bwMode="auto">
                    <a:xfrm>
                      <a:off x="0" y="0"/>
                      <a:ext cx="2719705" cy="3810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Segment Reporting</w:t>
      </w:r>
    </w:p>
    <w:p>
      <w:pPr>
        <w:spacing w:after="0" w:line="12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Company operates and manages its business as one reportable and operating segment, which is the business of developing small molecule drugs to treat patients with metabolic diseases. The Company’s interim chief executive officer, who is the chief operating decision maker, reviews financial information on an aggregate basis for allocating resources and evaluating financial performance. All long-lived assets are maintained in, and all losses are attributable to, the United States of America.</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080"/>
          </w:cols>
          <w:pgMar w:left="1080" w:top="1060" w:right="1080" w:bottom="175" w:gutter="0" w:footer="0" w:header="0"/>
          <w:type w:val="continuous"/>
        </w:sectPr>
      </w:pPr>
    </w:p>
    <w:bookmarkStart w:id="118" w:name="page119"/>
    <w:bookmarkEnd w:id="118"/>
    <w:p>
      <w:pPr>
        <w:ind w:right="180"/>
        <w:spacing w:after="0" w:line="277" w:lineRule="auto"/>
        <w:rPr>
          <w:sz w:val="20"/>
          <w:szCs w:val="20"/>
          <w:color w:val="auto"/>
        </w:rPr>
      </w:pPr>
      <w:r>
        <w:rPr>
          <w:rFonts w:ascii="Times New Roman" w:cs="Times New Roman" w:eastAsia="Times New Roman" w:hAnsi="Times New Roman"/>
          <w:sz w:val="20"/>
          <w:szCs w:val="20"/>
          <w:color w:val="auto"/>
        </w:rPr>
        <w:t>Below is the breakdown of the Company’s research and development and general and administrative expenses for the years ended December 31, 2025, 2024 and 2023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4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3"/>
        </w:trPr>
        <w:tc>
          <w:tcPr>
            <w:tcW w:w="5540" w:type="dxa"/>
            <w:vAlign w:val="bottom"/>
            <w:tcBorders>
              <w:bottom w:val="single" w:sz="8" w:color="EAEAEA"/>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EAEAEA"/>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bottom w:val="single" w:sz="8" w:color="EAEAEA"/>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AEAEA"/>
            </w:tcBorders>
          </w:tcPr>
          <w:p>
            <w:pPr>
              <w:spacing w:after="0"/>
              <w:rPr>
                <w:sz w:val="22"/>
                <w:szCs w:val="22"/>
                <w:color w:val="auto"/>
              </w:rPr>
            </w:pPr>
          </w:p>
        </w:tc>
      </w:tr>
      <w:tr>
        <w:trPr>
          <w:trHeight w:val="239"/>
        </w:trPr>
        <w:tc>
          <w:tcPr>
            <w:tcW w:w="55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External costs</w:t>
            </w:r>
          </w:p>
        </w:tc>
        <w:tc>
          <w:tcPr>
            <w:tcW w:w="300" w:type="dxa"/>
            <w:vAlign w:val="bottom"/>
            <w:shd w:val="clear" w:color="auto" w:fill="EAEAEA"/>
          </w:tcPr>
          <w:p>
            <w:pPr>
              <w:spacing w:after="0"/>
              <w:rPr>
                <w:sz w:val="20"/>
                <w:szCs w:val="20"/>
                <w:color w:val="auto"/>
              </w:rPr>
            </w:pPr>
          </w:p>
        </w:tc>
        <w:tc>
          <w:tcPr>
            <w:tcW w:w="110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12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940" w:type="dxa"/>
            <w:vAlign w:val="bottom"/>
            <w:shd w:val="clear" w:color="auto" w:fill="EAEAEA"/>
          </w:tcPr>
          <w:p>
            <w:pPr>
              <w:spacing w:after="0"/>
              <w:rPr>
                <w:sz w:val="20"/>
                <w:szCs w:val="20"/>
                <w:color w:val="auto"/>
              </w:rPr>
            </w:pPr>
          </w:p>
        </w:tc>
        <w:tc>
          <w:tcPr>
            <w:tcW w:w="60" w:type="dxa"/>
            <w:vAlign w:val="bottom"/>
            <w:shd w:val="clear" w:color="auto" w:fill="EAEAEA"/>
          </w:tcPr>
          <w:p>
            <w:pPr>
              <w:spacing w:after="0"/>
              <w:rPr>
                <w:sz w:val="20"/>
                <w:szCs w:val="20"/>
                <w:color w:val="auto"/>
              </w:rPr>
            </w:pPr>
          </w:p>
        </w:tc>
      </w:tr>
      <w:tr>
        <w:trPr>
          <w:trHeight w:val="244"/>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Clinical research organization expenses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554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COVALENT - 101</w:t>
            </w:r>
          </w:p>
        </w:tc>
        <w:tc>
          <w:tcPr>
            <w:tcW w:w="300" w:type="dxa"/>
            <w:vAlign w:val="bottom"/>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2,162</w:t>
            </w:r>
          </w:p>
        </w:tc>
        <w:tc>
          <w:tcPr>
            <w:tcW w:w="54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2,386</w:t>
            </w:r>
          </w:p>
        </w:tc>
        <w:tc>
          <w:tcPr>
            <w:tcW w:w="48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7,380</w:t>
            </w:r>
          </w:p>
        </w:tc>
        <w:tc>
          <w:tcPr>
            <w:tcW w:w="60" w:type="dxa"/>
            <w:vAlign w:val="bottom"/>
            <w:shd w:val="clear" w:color="auto" w:fill="EAEAEA"/>
          </w:tcPr>
          <w:p>
            <w:pPr>
              <w:spacing w:after="0"/>
              <w:rPr>
                <w:sz w:val="21"/>
                <w:szCs w:val="21"/>
                <w:color w:val="auto"/>
              </w:rPr>
            </w:pPr>
          </w:p>
        </w:tc>
      </w:tr>
      <w:tr>
        <w:trPr>
          <w:trHeight w:val="244"/>
        </w:trPr>
        <w:tc>
          <w:tcPr>
            <w:tcW w:w="5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COVALENT - 102</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3,415</w:t>
            </w:r>
          </w:p>
        </w:tc>
        <w:tc>
          <w:tcPr>
            <w:tcW w:w="60" w:type="dxa"/>
            <w:vAlign w:val="bottom"/>
          </w:tcPr>
          <w:p>
            <w:pPr>
              <w:spacing w:after="0"/>
              <w:rPr>
                <w:sz w:val="21"/>
                <w:szCs w:val="21"/>
                <w:color w:val="auto"/>
              </w:rPr>
            </w:pPr>
          </w:p>
        </w:tc>
      </w:tr>
      <w:tr>
        <w:trPr>
          <w:trHeight w:val="244"/>
        </w:trPr>
        <w:tc>
          <w:tcPr>
            <w:tcW w:w="554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COVALENT - 103</w:t>
            </w:r>
          </w:p>
        </w:tc>
        <w:tc>
          <w:tcPr>
            <w:tcW w:w="300" w:type="dxa"/>
            <w:vAlign w:val="bottom"/>
            <w:shd w:val="clear" w:color="auto" w:fill="EAEAEA"/>
          </w:tcPr>
          <w:p>
            <w:pPr>
              <w:spacing w:after="0"/>
              <w:rPr>
                <w:sz w:val="21"/>
                <w:szCs w:val="21"/>
                <w:color w:val="auto"/>
              </w:rPr>
            </w:pP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3,561</w:t>
            </w:r>
          </w:p>
        </w:tc>
        <w:tc>
          <w:tcPr>
            <w:tcW w:w="2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3,710</w:t>
            </w:r>
          </w:p>
        </w:tc>
        <w:tc>
          <w:tcPr>
            <w:tcW w:w="24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2,007</w:t>
            </w:r>
          </w:p>
        </w:tc>
        <w:tc>
          <w:tcPr>
            <w:tcW w:w="60" w:type="dxa"/>
            <w:vAlign w:val="bottom"/>
            <w:shd w:val="clear" w:color="auto" w:fill="EAEAEA"/>
          </w:tcPr>
          <w:p>
            <w:pPr>
              <w:spacing w:after="0"/>
              <w:rPr>
                <w:sz w:val="21"/>
                <w:szCs w:val="21"/>
                <w:color w:val="auto"/>
              </w:rPr>
            </w:pPr>
          </w:p>
        </w:tc>
      </w:tr>
      <w:tr>
        <w:trPr>
          <w:trHeight w:val="244"/>
        </w:trPr>
        <w:tc>
          <w:tcPr>
            <w:tcW w:w="5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COVALENT - 111</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22,489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14,670</w:t>
            </w:r>
          </w:p>
        </w:tc>
        <w:tc>
          <w:tcPr>
            <w:tcW w:w="60" w:type="dxa"/>
            <w:vAlign w:val="bottom"/>
          </w:tcPr>
          <w:p>
            <w:pPr>
              <w:spacing w:after="0"/>
              <w:rPr>
                <w:sz w:val="21"/>
                <w:szCs w:val="21"/>
                <w:color w:val="auto"/>
              </w:rPr>
            </w:pPr>
          </w:p>
        </w:tc>
      </w:tr>
      <w:tr>
        <w:trPr>
          <w:trHeight w:val="244"/>
        </w:trPr>
        <w:tc>
          <w:tcPr>
            <w:tcW w:w="554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COVALENT - 112</w:t>
            </w:r>
          </w:p>
        </w:tc>
        <w:tc>
          <w:tcPr>
            <w:tcW w:w="300" w:type="dxa"/>
            <w:vAlign w:val="bottom"/>
            <w:shd w:val="clear" w:color="auto" w:fill="EAEAEA"/>
          </w:tcPr>
          <w:p>
            <w:pPr>
              <w:spacing w:after="0"/>
              <w:rPr>
                <w:sz w:val="21"/>
                <w:szCs w:val="21"/>
                <w:color w:val="auto"/>
              </w:rPr>
            </w:pP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1,131</w:t>
            </w:r>
          </w:p>
        </w:tc>
        <w:tc>
          <w:tcPr>
            <w:tcW w:w="2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5,048</w:t>
            </w:r>
          </w:p>
        </w:tc>
        <w:tc>
          <w:tcPr>
            <w:tcW w:w="24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1,306</w:t>
            </w:r>
          </w:p>
        </w:tc>
        <w:tc>
          <w:tcPr>
            <w:tcW w:w="60" w:type="dxa"/>
            <w:vAlign w:val="bottom"/>
            <w:shd w:val="clear" w:color="auto" w:fill="EAEAEA"/>
          </w:tcPr>
          <w:p>
            <w:pPr>
              <w:spacing w:after="0"/>
              <w:rPr>
                <w:sz w:val="21"/>
                <w:szCs w:val="21"/>
                <w:color w:val="auto"/>
              </w:rPr>
            </w:pPr>
          </w:p>
        </w:tc>
      </w:tr>
      <w:tr>
        <w:trPr>
          <w:trHeight w:val="244"/>
        </w:trPr>
        <w:tc>
          <w:tcPr>
            <w:tcW w:w="5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COVALENT - 211</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44"/>
        </w:trPr>
        <w:tc>
          <w:tcPr>
            <w:tcW w:w="554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COVALENT - 212</w:t>
            </w:r>
          </w:p>
        </w:tc>
        <w:tc>
          <w:tcPr>
            <w:tcW w:w="300" w:type="dxa"/>
            <w:vAlign w:val="bottom"/>
            <w:shd w:val="clear" w:color="auto" w:fill="EAEAEA"/>
          </w:tcPr>
          <w:p>
            <w:pPr>
              <w:spacing w:after="0"/>
              <w:rPr>
                <w:sz w:val="21"/>
                <w:szCs w:val="21"/>
                <w:color w:val="auto"/>
              </w:rPr>
            </w:pP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AEAEA"/>
          </w:tcPr>
          <w:p>
            <w:pPr>
              <w:spacing w:after="0"/>
              <w:rPr>
                <w:sz w:val="21"/>
                <w:szCs w:val="21"/>
                <w:color w:val="auto"/>
              </w:rPr>
            </w:pPr>
          </w:p>
        </w:tc>
      </w:tr>
      <w:tr>
        <w:trPr>
          <w:trHeight w:val="244"/>
        </w:trPr>
        <w:tc>
          <w:tcPr>
            <w:tcW w:w="5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GLP - 131</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44"/>
        </w:trPr>
        <w:tc>
          <w:tcPr>
            <w:tcW w:w="55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Other clinical related expenses</w:t>
            </w:r>
          </w:p>
        </w:tc>
        <w:tc>
          <w:tcPr>
            <w:tcW w:w="300" w:type="dxa"/>
            <w:vAlign w:val="bottom"/>
            <w:shd w:val="clear" w:color="auto" w:fill="EAEAEA"/>
          </w:tcPr>
          <w:p>
            <w:pPr>
              <w:spacing w:after="0"/>
              <w:rPr>
                <w:sz w:val="21"/>
                <w:szCs w:val="21"/>
                <w:color w:val="auto"/>
              </w:rPr>
            </w:pP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6,331</w:t>
            </w:r>
          </w:p>
        </w:tc>
        <w:tc>
          <w:tcPr>
            <w:tcW w:w="2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14,262</w:t>
            </w:r>
          </w:p>
        </w:tc>
        <w:tc>
          <w:tcPr>
            <w:tcW w:w="24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7,320</w:t>
            </w:r>
          </w:p>
        </w:tc>
        <w:tc>
          <w:tcPr>
            <w:tcW w:w="60" w:type="dxa"/>
            <w:vAlign w:val="bottom"/>
            <w:shd w:val="clear" w:color="auto" w:fill="EAEAEA"/>
          </w:tcPr>
          <w:p>
            <w:pPr>
              <w:spacing w:after="0"/>
              <w:rPr>
                <w:sz w:val="21"/>
                <w:szCs w:val="21"/>
                <w:color w:val="auto"/>
              </w:rPr>
            </w:pPr>
          </w:p>
        </w:tc>
      </w:tr>
      <w:tr>
        <w:trPr>
          <w:trHeight w:val="244"/>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Preclinical activities related expenses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10,165</w:t>
            </w:r>
          </w:p>
        </w:tc>
        <w:tc>
          <w:tcPr>
            <w:tcW w:w="60" w:type="dxa"/>
            <w:vAlign w:val="bottom"/>
          </w:tcPr>
          <w:p>
            <w:pPr>
              <w:spacing w:after="0"/>
              <w:rPr>
                <w:sz w:val="21"/>
                <w:szCs w:val="21"/>
                <w:color w:val="auto"/>
              </w:rPr>
            </w:pPr>
          </w:p>
        </w:tc>
      </w:tr>
      <w:tr>
        <w:trPr>
          <w:trHeight w:val="224"/>
        </w:trPr>
        <w:tc>
          <w:tcPr>
            <w:tcW w:w="5540" w:type="dxa"/>
            <w:vAlign w:val="bottom"/>
            <w:shd w:val="clear" w:color="auto" w:fill="EAEAEA"/>
          </w:tcPr>
          <w:p>
            <w:pPr>
              <w:ind w:left="200"/>
              <w:spacing w:after="0" w:line="225" w:lineRule="exact"/>
              <w:rPr>
                <w:sz w:val="20"/>
                <w:szCs w:val="20"/>
                <w:color w:val="auto"/>
              </w:rPr>
            </w:pPr>
            <w:r>
              <w:rPr>
                <w:rFonts w:ascii="Times New Roman" w:cs="Times New Roman" w:eastAsia="Times New Roman" w:hAnsi="Times New Roman"/>
                <w:sz w:val="20"/>
                <w:szCs w:val="20"/>
                <w:color w:val="auto"/>
              </w:rPr>
              <w:t>Expenses related to manufacturing of clinical and research</w:t>
            </w:r>
          </w:p>
        </w:tc>
        <w:tc>
          <w:tcPr>
            <w:tcW w:w="300" w:type="dxa"/>
            <w:vAlign w:val="bottom"/>
            <w:shd w:val="clear" w:color="auto" w:fill="EAEAEA"/>
          </w:tcPr>
          <w:p>
            <w:pPr>
              <w:spacing w:after="0"/>
              <w:rPr>
                <w:sz w:val="19"/>
                <w:szCs w:val="19"/>
                <w:color w:val="auto"/>
              </w:rPr>
            </w:pPr>
          </w:p>
        </w:tc>
        <w:tc>
          <w:tcPr>
            <w:tcW w:w="110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112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94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r>
      <w:tr>
        <w:trPr>
          <w:trHeight w:val="250"/>
        </w:trPr>
        <w:tc>
          <w:tcPr>
            <w:tcW w:w="554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material</w:t>
            </w:r>
          </w:p>
        </w:tc>
        <w:tc>
          <w:tcPr>
            <w:tcW w:w="300" w:type="dxa"/>
            <w:vAlign w:val="bottom"/>
            <w:shd w:val="clear" w:color="auto" w:fill="EAEAEA"/>
          </w:tcPr>
          <w:p>
            <w:pPr>
              <w:spacing w:after="0"/>
              <w:rPr>
                <w:sz w:val="21"/>
                <w:szCs w:val="21"/>
                <w:color w:val="auto"/>
              </w:rPr>
            </w:pP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2,848</w:t>
            </w:r>
          </w:p>
        </w:tc>
        <w:tc>
          <w:tcPr>
            <w:tcW w:w="2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7,262</w:t>
            </w:r>
          </w:p>
        </w:tc>
        <w:tc>
          <w:tcPr>
            <w:tcW w:w="24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13,237</w:t>
            </w:r>
          </w:p>
        </w:tc>
        <w:tc>
          <w:tcPr>
            <w:tcW w:w="60" w:type="dxa"/>
            <w:vAlign w:val="bottom"/>
            <w:shd w:val="clear" w:color="auto" w:fill="EAEAEA"/>
          </w:tcPr>
          <w:p>
            <w:pPr>
              <w:spacing w:after="0"/>
              <w:rPr>
                <w:sz w:val="21"/>
                <w:szCs w:val="21"/>
                <w:color w:val="auto"/>
              </w:rPr>
            </w:pPr>
          </w:p>
        </w:tc>
      </w:tr>
      <w:tr>
        <w:trPr>
          <w:trHeight w:val="244"/>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external costs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5,528</w:t>
            </w:r>
          </w:p>
        </w:tc>
        <w:tc>
          <w:tcPr>
            <w:tcW w:w="60" w:type="dxa"/>
            <w:vAlign w:val="bottom"/>
          </w:tcPr>
          <w:p>
            <w:pPr>
              <w:spacing w:after="0"/>
              <w:rPr>
                <w:sz w:val="21"/>
                <w:szCs w:val="21"/>
                <w:color w:val="auto"/>
              </w:rPr>
            </w:pPr>
          </w:p>
        </w:tc>
      </w:tr>
      <w:tr>
        <w:trPr>
          <w:trHeight w:val="244"/>
        </w:trPr>
        <w:tc>
          <w:tcPr>
            <w:tcW w:w="55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Internal costs:</w:t>
            </w:r>
          </w:p>
        </w:tc>
        <w:tc>
          <w:tcPr>
            <w:tcW w:w="300" w:type="dxa"/>
            <w:vAlign w:val="bottom"/>
            <w:shd w:val="clear" w:color="auto" w:fill="EAEAEA"/>
          </w:tcPr>
          <w:p>
            <w:pPr>
              <w:spacing w:after="0"/>
              <w:rPr>
                <w:sz w:val="21"/>
                <w:szCs w:val="21"/>
                <w:color w:val="auto"/>
              </w:rPr>
            </w:pPr>
          </w:p>
        </w:tc>
        <w:tc>
          <w:tcPr>
            <w:tcW w:w="110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280" w:type="dxa"/>
            <w:vAlign w:val="bottom"/>
            <w:shd w:val="clear" w:color="auto" w:fill="EAEAEA"/>
          </w:tcPr>
          <w:p>
            <w:pPr>
              <w:spacing w:after="0"/>
              <w:rPr>
                <w:sz w:val="21"/>
                <w:szCs w:val="21"/>
                <w:color w:val="auto"/>
              </w:rPr>
            </w:pPr>
          </w:p>
        </w:tc>
        <w:tc>
          <w:tcPr>
            <w:tcW w:w="112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940" w:type="dxa"/>
            <w:vAlign w:val="bottom"/>
            <w:shd w:val="clear" w:color="auto" w:fill="EAEAEA"/>
          </w:tcPr>
          <w:p>
            <w:pPr>
              <w:spacing w:after="0"/>
              <w:rPr>
                <w:sz w:val="21"/>
                <w:szCs w:val="21"/>
                <w:color w:val="auto"/>
              </w:rPr>
            </w:pPr>
          </w:p>
        </w:tc>
        <w:tc>
          <w:tcPr>
            <w:tcW w:w="60" w:type="dxa"/>
            <w:vAlign w:val="bottom"/>
            <w:shd w:val="clear" w:color="auto" w:fill="EAEAEA"/>
          </w:tcPr>
          <w:p>
            <w:pPr>
              <w:spacing w:after="0"/>
              <w:rPr>
                <w:sz w:val="21"/>
                <w:szCs w:val="21"/>
                <w:color w:val="auto"/>
              </w:rPr>
            </w:pPr>
          </w:p>
        </w:tc>
      </w:tr>
      <w:tr>
        <w:trPr>
          <w:trHeight w:val="224"/>
        </w:trPr>
        <w:tc>
          <w:tcPr>
            <w:tcW w:w="55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Personnel-related expenses (including</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stock-based compensation)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20,563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31,856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28,838</w:t>
            </w:r>
          </w:p>
        </w:tc>
        <w:tc>
          <w:tcPr>
            <w:tcW w:w="60" w:type="dxa"/>
            <w:vAlign w:val="bottom"/>
          </w:tcPr>
          <w:p>
            <w:pPr>
              <w:spacing w:after="0"/>
              <w:rPr>
                <w:sz w:val="21"/>
                <w:szCs w:val="21"/>
                <w:color w:val="auto"/>
              </w:rPr>
            </w:pPr>
          </w:p>
        </w:tc>
      </w:tr>
      <w:tr>
        <w:trPr>
          <w:trHeight w:val="264"/>
        </w:trPr>
        <w:tc>
          <w:tcPr>
            <w:tcW w:w="554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Facilities and other allocated expenses</w:t>
            </w:r>
          </w:p>
        </w:tc>
        <w:tc>
          <w:tcPr>
            <w:tcW w:w="300" w:type="dxa"/>
            <w:vAlign w:val="bottom"/>
            <w:tcBorders>
              <w:bottom w:val="single" w:sz="8" w:color="auto"/>
            </w:tcBorders>
            <w:shd w:val="clear" w:color="auto" w:fill="EAEAEA"/>
          </w:tcPr>
          <w:p>
            <w:pPr>
              <w:spacing w:after="0"/>
              <w:rPr>
                <w:sz w:val="22"/>
                <w:szCs w:val="22"/>
                <w:color w:val="auto"/>
              </w:rPr>
            </w:pPr>
          </w:p>
        </w:tc>
        <w:tc>
          <w:tcPr>
            <w:tcW w:w="11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5,998</w:t>
            </w:r>
          </w:p>
        </w:tc>
        <w:tc>
          <w:tcPr>
            <w:tcW w:w="260" w:type="dxa"/>
            <w:vAlign w:val="bottom"/>
            <w:tcBorders>
              <w:bottom w:val="single" w:sz="8" w:color="EAEAEA"/>
            </w:tcBorders>
            <w:shd w:val="clear" w:color="auto" w:fill="EAEAEA"/>
          </w:tcPr>
          <w:p>
            <w:pPr>
              <w:spacing w:after="0"/>
              <w:rPr>
                <w:sz w:val="22"/>
                <w:szCs w:val="22"/>
                <w:color w:val="auto"/>
              </w:rPr>
            </w:pPr>
          </w:p>
        </w:tc>
        <w:tc>
          <w:tcPr>
            <w:tcW w:w="280" w:type="dxa"/>
            <w:vAlign w:val="bottom"/>
            <w:tcBorders>
              <w:bottom w:val="single" w:sz="8" w:color="auto"/>
            </w:tcBorders>
            <w:shd w:val="clear" w:color="auto" w:fill="EAEAEA"/>
          </w:tcPr>
          <w:p>
            <w:pPr>
              <w:spacing w:after="0"/>
              <w:rPr>
                <w:sz w:val="22"/>
                <w:szCs w:val="22"/>
                <w:color w:val="auto"/>
              </w:rPr>
            </w:pPr>
          </w:p>
        </w:tc>
        <w:tc>
          <w:tcPr>
            <w:tcW w:w="11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8,104</w:t>
            </w:r>
          </w:p>
        </w:tc>
        <w:tc>
          <w:tcPr>
            <w:tcW w:w="240" w:type="dxa"/>
            <w:vAlign w:val="bottom"/>
            <w:tcBorders>
              <w:bottom w:val="single" w:sz="8" w:color="EAEAEA"/>
            </w:tcBorders>
            <w:shd w:val="clear" w:color="auto" w:fill="EAEAEA"/>
          </w:tcPr>
          <w:p>
            <w:pPr>
              <w:spacing w:after="0"/>
              <w:rPr>
                <w:sz w:val="22"/>
                <w:szCs w:val="22"/>
                <w:color w:val="auto"/>
              </w:rPr>
            </w:pPr>
          </w:p>
        </w:tc>
        <w:tc>
          <w:tcPr>
            <w:tcW w:w="240" w:type="dxa"/>
            <w:vAlign w:val="bottom"/>
            <w:tcBorders>
              <w:bottom w:val="single" w:sz="8" w:color="auto"/>
            </w:tcBorders>
            <w:shd w:val="clear" w:color="auto" w:fill="EAEAEA"/>
          </w:tcPr>
          <w:p>
            <w:pPr>
              <w:spacing w:after="0"/>
              <w:rPr>
                <w:sz w:val="22"/>
                <w:szCs w:val="22"/>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8,680</w:t>
            </w:r>
          </w:p>
        </w:tc>
        <w:tc>
          <w:tcPr>
            <w:tcW w:w="60" w:type="dxa"/>
            <w:vAlign w:val="bottom"/>
            <w:tcBorders>
              <w:bottom w:val="single" w:sz="8" w:color="EAEAEA"/>
            </w:tcBorders>
            <w:shd w:val="clear" w:color="auto" w:fill="EAEAEA"/>
          </w:tcPr>
          <w:p>
            <w:pPr>
              <w:spacing w:after="0"/>
              <w:rPr>
                <w:sz w:val="22"/>
                <w:szCs w:val="22"/>
                <w:color w:val="auto"/>
              </w:rPr>
            </w:pPr>
          </w:p>
        </w:tc>
      </w:tr>
      <w:tr>
        <w:trPr>
          <w:trHeight w:val="219"/>
        </w:trPr>
        <w:tc>
          <w:tcPr>
            <w:tcW w:w="55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research and development expenses</w:t>
            </w:r>
          </w:p>
        </w:tc>
        <w:tc>
          <w:tcPr>
            <w:tcW w:w="300" w:type="dxa"/>
            <w:vAlign w:val="bottom"/>
            <w:tcBorders>
              <w:bottom w:val="single" w:sz="8" w:color="auto"/>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61,979</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118,085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102,546</w:t>
            </w:r>
          </w:p>
        </w:tc>
        <w:tc>
          <w:tcPr>
            <w:tcW w:w="6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-3306445</wp:posOffset>
            </wp:positionV>
            <wp:extent cx="288480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7">
                      <a:extLst>
                        <a:ext uri="{28A0092B-C50C-407E-A947-70E740481C1C}"/>
                      </a:extLst>
                    </a:blip>
                    <a:srcRect/>
                    <a:stretch>
                      <a:fillRect/>
                    </a:stretch>
                  </pic:blipFill>
                  <pic:spPr bwMode="auto">
                    <a:xfrm>
                      <a:off x="0" y="0"/>
                      <a:ext cx="2884805" cy="3810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4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3"/>
        </w:trPr>
        <w:tc>
          <w:tcPr>
            <w:tcW w:w="5540" w:type="dxa"/>
            <w:vAlign w:val="bottom"/>
            <w:tcBorders>
              <w:bottom w:val="single" w:sz="8" w:color="EAEAEA"/>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EAEAEA"/>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bottom w:val="single" w:sz="8" w:color="EAEAEA"/>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AEAEA"/>
            </w:tcBorders>
          </w:tcPr>
          <w:p>
            <w:pPr>
              <w:spacing w:after="0"/>
              <w:rPr>
                <w:sz w:val="22"/>
                <w:szCs w:val="22"/>
                <w:color w:val="auto"/>
              </w:rPr>
            </w:pPr>
          </w:p>
        </w:tc>
      </w:tr>
      <w:tr>
        <w:trPr>
          <w:trHeight w:val="239"/>
        </w:trPr>
        <w:tc>
          <w:tcPr>
            <w:tcW w:w="55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External costs</w:t>
            </w:r>
          </w:p>
        </w:tc>
        <w:tc>
          <w:tcPr>
            <w:tcW w:w="300" w:type="dxa"/>
            <w:vAlign w:val="bottom"/>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5,814</w:t>
            </w:r>
          </w:p>
        </w:tc>
        <w:tc>
          <w:tcPr>
            <w:tcW w:w="260" w:type="dxa"/>
            <w:vAlign w:val="bottom"/>
            <w:shd w:val="clear" w:color="auto" w:fill="EAEAEA"/>
          </w:tcPr>
          <w:p>
            <w:pPr>
              <w:spacing w:after="0"/>
              <w:rPr>
                <w:sz w:val="20"/>
                <w:szCs w:val="20"/>
                <w:color w:val="auto"/>
              </w:rPr>
            </w:pPr>
          </w:p>
        </w:tc>
        <w:tc>
          <w:tcPr>
            <w:tcW w:w="300" w:type="dxa"/>
            <w:vAlign w:val="bottom"/>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6,488</w:t>
            </w:r>
          </w:p>
        </w:tc>
        <w:tc>
          <w:tcPr>
            <w:tcW w:w="240" w:type="dxa"/>
            <w:vAlign w:val="bottom"/>
            <w:shd w:val="clear" w:color="auto" w:fill="EAEAEA"/>
          </w:tcPr>
          <w:p>
            <w:pPr>
              <w:spacing w:after="0"/>
              <w:rPr>
                <w:sz w:val="20"/>
                <w:szCs w:val="20"/>
                <w:color w:val="auto"/>
              </w:rPr>
            </w:pPr>
          </w:p>
        </w:tc>
        <w:tc>
          <w:tcPr>
            <w:tcW w:w="240" w:type="dxa"/>
            <w:vAlign w:val="bottom"/>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5,007</w:t>
            </w:r>
          </w:p>
        </w:tc>
        <w:tc>
          <w:tcPr>
            <w:tcW w:w="60" w:type="dxa"/>
            <w:vAlign w:val="bottom"/>
            <w:shd w:val="clear" w:color="auto" w:fill="EAEAEA"/>
          </w:tcPr>
          <w:p>
            <w:pPr>
              <w:spacing w:after="0"/>
              <w:rPr>
                <w:sz w:val="20"/>
                <w:szCs w:val="20"/>
                <w:color w:val="auto"/>
              </w:rPr>
            </w:pPr>
          </w:p>
        </w:tc>
      </w:tr>
      <w:tr>
        <w:trPr>
          <w:trHeight w:val="244"/>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Internal costs: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5540" w:type="dxa"/>
            <w:vAlign w:val="bottom"/>
            <w:shd w:val="clear" w:color="auto" w:fill="EAEAEA"/>
          </w:tcPr>
          <w:p>
            <w:pPr>
              <w:ind w:left="200"/>
              <w:spacing w:after="0" w:line="225" w:lineRule="exact"/>
              <w:rPr>
                <w:sz w:val="20"/>
                <w:szCs w:val="20"/>
                <w:color w:val="auto"/>
              </w:rPr>
            </w:pPr>
            <w:r>
              <w:rPr>
                <w:rFonts w:ascii="Times New Roman" w:cs="Times New Roman" w:eastAsia="Times New Roman" w:hAnsi="Times New Roman"/>
                <w:sz w:val="20"/>
                <w:szCs w:val="20"/>
                <w:color w:val="auto"/>
              </w:rPr>
              <w:t>Personnel-related expenses (including</w:t>
            </w:r>
          </w:p>
        </w:tc>
        <w:tc>
          <w:tcPr>
            <w:tcW w:w="300" w:type="dxa"/>
            <w:vAlign w:val="bottom"/>
            <w:shd w:val="clear" w:color="auto" w:fill="EAEAEA"/>
          </w:tcPr>
          <w:p>
            <w:pPr>
              <w:spacing w:after="0"/>
              <w:rPr>
                <w:sz w:val="19"/>
                <w:szCs w:val="19"/>
                <w:color w:val="auto"/>
              </w:rPr>
            </w:pPr>
          </w:p>
        </w:tc>
        <w:tc>
          <w:tcPr>
            <w:tcW w:w="110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11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94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r>
      <w:tr>
        <w:trPr>
          <w:trHeight w:val="250"/>
        </w:trPr>
        <w:tc>
          <w:tcPr>
            <w:tcW w:w="5540" w:type="dxa"/>
            <w:vAlign w:val="bottom"/>
            <w:shd w:val="clear" w:color="auto" w:fill="EAEAEA"/>
          </w:tcPr>
          <w:p>
            <w:pPr>
              <w:ind w:left="360"/>
              <w:spacing w:after="0"/>
              <w:rPr>
                <w:sz w:val="20"/>
                <w:szCs w:val="20"/>
                <w:color w:val="auto"/>
              </w:rPr>
            </w:pPr>
            <w:r>
              <w:rPr>
                <w:rFonts w:ascii="Times New Roman" w:cs="Times New Roman" w:eastAsia="Times New Roman" w:hAnsi="Times New Roman"/>
                <w:sz w:val="20"/>
                <w:szCs w:val="20"/>
                <w:color w:val="auto"/>
              </w:rPr>
              <w:t>stock-based compensation)</w:t>
            </w:r>
          </w:p>
        </w:tc>
        <w:tc>
          <w:tcPr>
            <w:tcW w:w="300" w:type="dxa"/>
            <w:vAlign w:val="bottom"/>
            <w:shd w:val="clear" w:color="auto" w:fill="EAEAEA"/>
          </w:tcPr>
          <w:p>
            <w:pPr>
              <w:spacing w:after="0"/>
              <w:rPr>
                <w:sz w:val="21"/>
                <w:szCs w:val="21"/>
                <w:color w:val="auto"/>
              </w:rPr>
            </w:pP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11,902</w:t>
            </w:r>
          </w:p>
        </w:tc>
        <w:tc>
          <w:tcPr>
            <w:tcW w:w="26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17,768</w:t>
            </w:r>
          </w:p>
        </w:tc>
        <w:tc>
          <w:tcPr>
            <w:tcW w:w="24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rPr>
                <w:sz w:val="21"/>
                <w:szCs w:val="21"/>
                <w:color w:val="auto"/>
              </w:rPr>
            </w:pPr>
          </w:p>
        </w:tc>
        <w:tc>
          <w:tcPr>
            <w:tcW w:w="9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16,466</w:t>
            </w:r>
          </w:p>
        </w:tc>
        <w:tc>
          <w:tcPr>
            <w:tcW w:w="60" w:type="dxa"/>
            <w:vAlign w:val="bottom"/>
            <w:shd w:val="clear" w:color="auto" w:fill="EAEAEA"/>
          </w:tcPr>
          <w:p>
            <w:pPr>
              <w:spacing w:after="0"/>
              <w:rPr>
                <w:sz w:val="21"/>
                <w:szCs w:val="21"/>
                <w:color w:val="auto"/>
              </w:rPr>
            </w:pPr>
          </w:p>
        </w:tc>
      </w:tr>
      <w:tr>
        <w:trPr>
          <w:trHeight w:val="244"/>
        </w:trPr>
        <w:tc>
          <w:tcPr>
            <w:tcW w:w="554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Facilities and other allocated expenses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1,612</w:t>
            </w:r>
          </w:p>
        </w:tc>
        <w:tc>
          <w:tcPr>
            <w:tcW w:w="260" w:type="dxa"/>
            <w:vAlign w:val="bottom"/>
            <w:tcBorders>
              <w:bottom w:val="single" w:sz="8" w:color="EAEAEA"/>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1,729</w:t>
            </w:r>
          </w:p>
        </w:tc>
        <w:tc>
          <w:tcPr>
            <w:tcW w:w="240" w:type="dxa"/>
            <w:vAlign w:val="bottom"/>
            <w:tcBorders>
              <w:bottom w:val="single" w:sz="8" w:color="EAEAEA"/>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2,116</w:t>
            </w:r>
          </w:p>
        </w:tc>
        <w:tc>
          <w:tcPr>
            <w:tcW w:w="60" w:type="dxa"/>
            <w:vAlign w:val="bottom"/>
            <w:tcBorders>
              <w:bottom w:val="single" w:sz="8" w:color="EAEAEA"/>
            </w:tcBorders>
          </w:tcPr>
          <w:p>
            <w:pPr>
              <w:spacing w:after="0"/>
              <w:rPr>
                <w:sz w:val="21"/>
                <w:szCs w:val="21"/>
                <w:color w:val="auto"/>
              </w:rPr>
            </w:pPr>
          </w:p>
        </w:tc>
      </w:tr>
      <w:tr>
        <w:trPr>
          <w:trHeight w:val="259"/>
        </w:trPr>
        <w:tc>
          <w:tcPr>
            <w:tcW w:w="554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Total general and administrative expenses</w:t>
            </w:r>
          </w:p>
        </w:tc>
        <w:tc>
          <w:tcPr>
            <w:tcW w:w="300" w:type="dxa"/>
            <w:vAlign w:val="bottom"/>
            <w:tcBorders>
              <w:bottom w:val="single" w:sz="8" w:color="auto"/>
            </w:tcBorders>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19,328</w:t>
            </w:r>
          </w:p>
        </w:tc>
        <w:tc>
          <w:tcPr>
            <w:tcW w:w="260" w:type="dxa"/>
            <w:vAlign w:val="bottom"/>
            <w:tcBorders>
              <w:bottom w:val="single" w:sz="8" w:color="EAEAEA"/>
            </w:tcBorders>
            <w:shd w:val="clear" w:color="auto" w:fill="EAEAEA"/>
          </w:tcPr>
          <w:p>
            <w:pPr>
              <w:spacing w:after="0"/>
              <w:rPr>
                <w:sz w:val="22"/>
                <w:szCs w:val="22"/>
                <w:color w:val="auto"/>
              </w:rPr>
            </w:pPr>
          </w:p>
        </w:tc>
        <w:tc>
          <w:tcPr>
            <w:tcW w:w="300" w:type="dxa"/>
            <w:vAlign w:val="bottom"/>
            <w:tcBorders>
              <w:bottom w:val="single" w:sz="8" w:color="auto"/>
            </w:tcBorders>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25,985</w:t>
            </w:r>
          </w:p>
        </w:tc>
        <w:tc>
          <w:tcPr>
            <w:tcW w:w="240" w:type="dxa"/>
            <w:vAlign w:val="bottom"/>
            <w:tcBorders>
              <w:bottom w:val="single" w:sz="8" w:color="EAEAEA"/>
            </w:tcBorders>
            <w:shd w:val="clear" w:color="auto" w:fill="EAEAEA"/>
          </w:tcPr>
          <w:p>
            <w:pPr>
              <w:spacing w:after="0"/>
              <w:rPr>
                <w:sz w:val="22"/>
                <w:szCs w:val="22"/>
                <w:color w:val="auto"/>
              </w:rPr>
            </w:pPr>
          </w:p>
        </w:tc>
        <w:tc>
          <w:tcPr>
            <w:tcW w:w="240" w:type="dxa"/>
            <w:vAlign w:val="bottom"/>
            <w:tcBorders>
              <w:bottom w:val="single" w:sz="8" w:color="auto"/>
            </w:tcBorders>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23,589</w:t>
            </w:r>
          </w:p>
        </w:tc>
        <w:tc>
          <w:tcPr>
            <w:tcW w:w="60" w:type="dxa"/>
            <w:vAlign w:val="bottom"/>
            <w:tcBorders>
              <w:bottom w:val="single" w:sz="8" w:color="EAEAEA"/>
            </w:tcBorders>
            <w:shd w:val="clear" w:color="auto" w:fill="EAEAEA"/>
          </w:tcPr>
          <w:p>
            <w:pPr>
              <w:spacing w:after="0"/>
              <w:rPr>
                <w:sz w:val="22"/>
                <w:szCs w:val="22"/>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-1146175</wp:posOffset>
            </wp:positionV>
            <wp:extent cx="287972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8">
                      <a:extLst>
                        <a:ext uri="{28A0092B-C50C-407E-A947-70E740481C1C}"/>
                      </a:extLst>
                    </a:blip>
                    <a:srcRect/>
                    <a:stretch>
                      <a:fillRect/>
                    </a:stretch>
                  </pic:blipFill>
                  <pic:spPr bwMode="auto">
                    <a:xfrm>
                      <a:off x="0" y="0"/>
                      <a:ext cx="2879725" cy="3810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40" w:type="dxa"/>
            <w:vAlign w:val="bottom"/>
            <w:gridSpan w:val="1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3"/>
        </w:trPr>
        <w:tc>
          <w:tcPr>
            <w:tcW w:w="5520" w:type="dxa"/>
            <w:vAlign w:val="bottom"/>
            <w:tcBorders>
              <w:bottom w:val="single" w:sz="8" w:color="EAEAEA"/>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bottom w:val="single" w:sz="8" w:color="EAEAEA"/>
            </w:tcBorders>
          </w:tcPr>
          <w:p>
            <w:pPr>
              <w:spacing w:after="0"/>
              <w:rPr>
                <w:sz w:val="22"/>
                <w:szCs w:val="22"/>
                <w:color w:val="auto"/>
              </w:rPr>
            </w:pPr>
          </w:p>
        </w:tc>
        <w:tc>
          <w:tcPr>
            <w:tcW w:w="100" w:type="dxa"/>
            <w:vAlign w:val="bottom"/>
            <w:tcBorders>
              <w:bottom w:val="single" w:sz="8" w:color="EAEAEA"/>
            </w:tcBorders>
          </w:tcPr>
          <w:p>
            <w:pPr>
              <w:spacing w:after="0"/>
              <w:rPr>
                <w:sz w:val="22"/>
                <w:szCs w:val="22"/>
                <w:color w:val="auto"/>
              </w:rPr>
            </w:pPr>
          </w:p>
        </w:tc>
        <w:tc>
          <w:tcPr>
            <w:tcW w:w="20" w:type="dxa"/>
            <w:vAlign w:val="bottom"/>
            <w:tcBorders>
              <w:bottom w:val="single" w:sz="8" w:color="EAEAEA"/>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EAEAEA"/>
            </w:tcBorders>
          </w:tcPr>
          <w:p>
            <w:pPr>
              <w:spacing w:after="0"/>
              <w:rPr>
                <w:sz w:val="22"/>
                <w:szCs w:val="22"/>
                <w:color w:val="auto"/>
              </w:rPr>
            </w:pPr>
          </w:p>
        </w:tc>
        <w:tc>
          <w:tcPr>
            <w:tcW w:w="20" w:type="dxa"/>
            <w:vAlign w:val="bottom"/>
            <w:tcBorders>
              <w:bottom w:val="single" w:sz="8" w:color="EAEAEA"/>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EAEAEA"/>
            </w:tcBorders>
          </w:tcPr>
          <w:p>
            <w:pPr>
              <w:spacing w:after="0"/>
              <w:rPr>
                <w:sz w:val="22"/>
                <w:szCs w:val="22"/>
                <w:color w:val="auto"/>
              </w:rPr>
            </w:pPr>
          </w:p>
        </w:tc>
      </w:tr>
      <w:tr>
        <w:trPr>
          <w:trHeight w:val="239"/>
        </w:trPr>
        <w:tc>
          <w:tcPr>
            <w:tcW w:w="55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32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2,205</w:t>
            </w: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80" w:type="dxa"/>
            <w:vAlign w:val="bottom"/>
            <w:shd w:val="clear" w:color="auto" w:fill="EAEAEA"/>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AEAEA"/>
          </w:tcPr>
          <w:p>
            <w:pPr>
              <w:ind w:left="9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220" w:type="dxa"/>
            <w:vAlign w:val="bottom"/>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EAEAEA"/>
          </w:tcPr>
          <w:p>
            <w:pPr>
              <w:ind w:left="72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EAEAEA"/>
          </w:tcPr>
          <w:p>
            <w:pPr>
              <w:spacing w:after="0"/>
              <w:rPr>
                <w:sz w:val="20"/>
                <w:szCs w:val="20"/>
                <w:color w:val="auto"/>
              </w:rPr>
            </w:pPr>
          </w:p>
        </w:tc>
      </w:tr>
      <w:tr>
        <w:trPr>
          <w:trHeight w:val="367"/>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Reconciliation of segment loss from operations to net loss: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3"/>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1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3"/>
        </w:trPr>
        <w:tc>
          <w:tcPr>
            <w:tcW w:w="5520" w:type="dxa"/>
            <w:vAlign w:val="bottom"/>
            <w:tcBorders>
              <w:bottom w:val="single" w:sz="8" w:color="EAEAEA"/>
            </w:tcBorders>
          </w:tcPr>
          <w:p>
            <w:pPr>
              <w:spacing w:after="0"/>
              <w:rPr>
                <w:sz w:val="22"/>
                <w:szCs w:val="22"/>
                <w:color w:val="auto"/>
              </w:rPr>
            </w:pPr>
          </w:p>
        </w:tc>
        <w:tc>
          <w:tcPr>
            <w:tcW w:w="20" w:type="dxa"/>
            <w:vAlign w:val="bottom"/>
            <w:tcBorders>
              <w:bottom w:val="single" w:sz="8" w:color="EAEAEA"/>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bottom w:val="single" w:sz="8" w:color="EAEAEA"/>
            </w:tcBorders>
          </w:tcPr>
          <w:p>
            <w:pPr>
              <w:spacing w:after="0"/>
              <w:rPr>
                <w:sz w:val="22"/>
                <w:szCs w:val="22"/>
                <w:color w:val="auto"/>
              </w:rPr>
            </w:pPr>
          </w:p>
        </w:tc>
        <w:tc>
          <w:tcPr>
            <w:tcW w:w="100" w:type="dxa"/>
            <w:vAlign w:val="bottom"/>
            <w:tcBorders>
              <w:bottom w:val="single" w:sz="8" w:color="EAEAEA"/>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Borders>
              <w:bottom w:val="single" w:sz="8" w:color="EAEAEA"/>
            </w:tcBorders>
          </w:tcPr>
          <w:p>
            <w:pPr>
              <w:spacing w:after="0"/>
              <w:rPr>
                <w:sz w:val="22"/>
                <w:szCs w:val="22"/>
                <w:color w:val="auto"/>
              </w:rPr>
            </w:pPr>
          </w:p>
        </w:tc>
        <w:tc>
          <w:tcPr>
            <w:tcW w:w="220" w:type="dxa"/>
            <w:vAlign w:val="bottom"/>
            <w:tcBorders>
              <w:bottom w:val="single" w:sz="8" w:color="EAEAEA"/>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EAEAEA"/>
            </w:tcBorders>
          </w:tcPr>
          <w:p>
            <w:pPr>
              <w:spacing w:after="0"/>
              <w:rPr>
                <w:sz w:val="22"/>
                <w:szCs w:val="22"/>
                <w:color w:val="auto"/>
              </w:rPr>
            </w:pPr>
          </w:p>
        </w:tc>
        <w:tc>
          <w:tcPr>
            <w:tcW w:w="60" w:type="dxa"/>
            <w:vAlign w:val="bottom"/>
            <w:tcBorders>
              <w:bottom w:val="single" w:sz="8" w:color="EAEAEA"/>
            </w:tcBorders>
          </w:tcPr>
          <w:p>
            <w:pPr>
              <w:spacing w:after="0"/>
              <w:rPr>
                <w:sz w:val="22"/>
                <w:szCs w:val="22"/>
                <w:color w:val="auto"/>
              </w:rPr>
            </w:pPr>
          </w:p>
        </w:tc>
      </w:tr>
      <w:tr>
        <w:trPr>
          <w:trHeight w:val="239"/>
        </w:trPr>
        <w:tc>
          <w:tcPr>
            <w:tcW w:w="55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Loss from operations of reportable segments</w:t>
            </w:r>
          </w:p>
        </w:tc>
        <w:tc>
          <w:tcPr>
            <w:tcW w:w="20" w:type="dxa"/>
            <w:vAlign w:val="bottom"/>
            <w:shd w:val="clear" w:color="auto" w:fill="EAEAEA"/>
          </w:tcPr>
          <w:p>
            <w:pPr>
              <w:spacing w:after="0"/>
              <w:rPr>
                <w:sz w:val="20"/>
                <w:szCs w:val="20"/>
                <w:color w:val="auto"/>
              </w:rPr>
            </w:pPr>
          </w:p>
        </w:tc>
        <w:tc>
          <w:tcPr>
            <w:tcW w:w="300" w:type="dxa"/>
            <w:vAlign w:val="bottom"/>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(83,512)</w:t>
            </w: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300" w:type="dxa"/>
            <w:vAlign w:val="bottom"/>
            <w:gridSpan w:val="2"/>
            <w:shd w:val="clear" w:color="auto" w:fill="EAEAEA"/>
          </w:tcPr>
          <w:p>
            <w:pPr>
              <w:jc w:val="right"/>
              <w:ind w:right="115"/>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(144,070)</w:t>
            </w:r>
          </w:p>
        </w:tc>
        <w:tc>
          <w:tcPr>
            <w:tcW w:w="260" w:type="dxa"/>
            <w:vAlign w:val="bottom"/>
            <w:gridSpan w:val="2"/>
            <w:shd w:val="clear" w:color="auto" w:fill="EAEAEA"/>
          </w:tcPr>
          <w:p>
            <w:pPr>
              <w:spacing w:after="0"/>
              <w:rPr>
                <w:sz w:val="20"/>
                <w:szCs w:val="20"/>
                <w:color w:val="auto"/>
              </w:rPr>
            </w:pPr>
          </w:p>
        </w:tc>
        <w:tc>
          <w:tcPr>
            <w:tcW w:w="24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EAEAEA"/>
              </w:rPr>
              <w:t>$</w:t>
            </w:r>
          </w:p>
        </w:tc>
        <w:tc>
          <w:tcPr>
            <w:tcW w:w="9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shd w:val="clear" w:color="auto" w:fill="EAEAEA"/>
              </w:rPr>
              <w:t>(126,135</w:t>
            </w:r>
          </w:p>
        </w:tc>
        <w:tc>
          <w:tcPr>
            <w:tcW w:w="8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16"/>
                <w:szCs w:val="16"/>
                <w:color w:val="auto"/>
                <w:w w:val="74"/>
                <w:shd w:val="clear" w:color="auto" w:fill="EAEAEA"/>
              </w:rPr>
              <w:t>)</w:t>
            </w:r>
          </w:p>
        </w:tc>
      </w:tr>
      <w:tr>
        <w:trPr>
          <w:trHeight w:val="244"/>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common warrant liability</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gridSpan w:val="2"/>
          </w:tcPr>
          <w:p>
            <w:pPr>
              <w:spacing w:after="0"/>
              <w:rPr>
                <w:sz w:val="21"/>
                <w:szCs w:val="21"/>
                <w:color w:val="auto"/>
              </w:rPr>
            </w:pPr>
          </w:p>
        </w:tc>
      </w:tr>
      <w:tr>
        <w:trPr>
          <w:trHeight w:val="264"/>
        </w:trPr>
        <w:tc>
          <w:tcPr>
            <w:tcW w:w="552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tcBorders>
              <w:bottom w:val="single" w:sz="8" w:color="EAEAEA"/>
            </w:tcBorders>
            <w:shd w:val="clear" w:color="auto" w:fill="EAEAEA"/>
          </w:tcPr>
          <w:p>
            <w:pPr>
              <w:spacing w:after="0"/>
              <w:rPr>
                <w:sz w:val="22"/>
                <w:szCs w:val="22"/>
                <w:color w:val="auto"/>
              </w:rPr>
            </w:pPr>
          </w:p>
        </w:tc>
        <w:tc>
          <w:tcPr>
            <w:tcW w:w="300" w:type="dxa"/>
            <w:vAlign w:val="bottom"/>
            <w:tcBorders>
              <w:bottom w:val="single" w:sz="8" w:color="auto"/>
            </w:tcBorders>
            <w:shd w:val="clear" w:color="auto" w:fill="EAEAEA"/>
          </w:tcPr>
          <w:p>
            <w:pPr>
              <w:spacing w:after="0"/>
              <w:rPr>
                <w:sz w:val="22"/>
                <w:szCs w:val="22"/>
                <w:color w:val="auto"/>
              </w:rPr>
            </w:pPr>
          </w:p>
        </w:tc>
        <w:tc>
          <w:tcPr>
            <w:tcW w:w="11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1,858</w:t>
            </w:r>
          </w:p>
        </w:tc>
        <w:tc>
          <w:tcPr>
            <w:tcW w:w="160" w:type="dxa"/>
            <w:vAlign w:val="bottom"/>
            <w:tcBorders>
              <w:bottom w:val="single" w:sz="8" w:color="EAEAEA"/>
            </w:tcBorders>
            <w:shd w:val="clear" w:color="auto" w:fill="EAEAEA"/>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20" w:type="dxa"/>
            <w:vAlign w:val="bottom"/>
            <w:tcBorders>
              <w:bottom w:val="single" w:sz="8" w:color="auto"/>
            </w:tcBorders>
            <w:shd w:val="clear" w:color="auto" w:fill="EAEAEA"/>
          </w:tcPr>
          <w:p>
            <w:pPr>
              <w:spacing w:after="0"/>
              <w:rPr>
                <w:sz w:val="22"/>
                <w:szCs w:val="22"/>
                <w:color w:val="auto"/>
              </w:rPr>
            </w:pPr>
          </w:p>
        </w:tc>
        <w:tc>
          <w:tcPr>
            <w:tcW w:w="280" w:type="dxa"/>
            <w:vAlign w:val="bottom"/>
            <w:tcBorders>
              <w:bottom w:val="single" w:sz="8" w:color="auto"/>
            </w:tcBorders>
            <w:shd w:val="clear" w:color="auto" w:fill="EAEAEA"/>
          </w:tcPr>
          <w:p>
            <w:pPr>
              <w:spacing w:after="0"/>
              <w:rPr>
                <w:sz w:val="22"/>
                <w:szCs w:val="22"/>
                <w:color w:val="auto"/>
              </w:rPr>
            </w:pPr>
          </w:p>
        </w:tc>
        <w:tc>
          <w:tcPr>
            <w:tcW w:w="10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5,644</w:t>
            </w:r>
          </w:p>
        </w:tc>
        <w:tc>
          <w:tcPr>
            <w:tcW w:w="40" w:type="dxa"/>
            <w:vAlign w:val="bottom"/>
            <w:tcBorders>
              <w:bottom w:val="single" w:sz="8" w:color="EAEAEA"/>
            </w:tcBorders>
            <w:shd w:val="clear" w:color="auto" w:fill="EAEAEA"/>
          </w:tcPr>
          <w:p>
            <w:pPr>
              <w:spacing w:after="0"/>
              <w:rPr>
                <w:sz w:val="22"/>
                <w:szCs w:val="22"/>
                <w:color w:val="auto"/>
              </w:rPr>
            </w:pPr>
          </w:p>
        </w:tc>
        <w:tc>
          <w:tcPr>
            <w:tcW w:w="220" w:type="dxa"/>
            <w:vAlign w:val="bottom"/>
            <w:tcBorders>
              <w:bottom w:val="single" w:sz="8" w:color="EAEAEA"/>
            </w:tcBorders>
            <w:shd w:val="clear" w:color="auto" w:fill="EAEAEA"/>
          </w:tcPr>
          <w:p>
            <w:pPr>
              <w:spacing w:after="0"/>
              <w:rPr>
                <w:sz w:val="22"/>
                <w:szCs w:val="22"/>
                <w:color w:val="auto"/>
              </w:rPr>
            </w:pPr>
          </w:p>
        </w:tc>
        <w:tc>
          <w:tcPr>
            <w:tcW w:w="20" w:type="dxa"/>
            <w:vAlign w:val="bottom"/>
            <w:tcBorders>
              <w:bottom w:val="single" w:sz="8" w:color="auto"/>
            </w:tcBorders>
            <w:shd w:val="clear" w:color="auto" w:fill="EAEAEA"/>
          </w:tcPr>
          <w:p>
            <w:pPr>
              <w:spacing w:after="0"/>
              <w:rPr>
                <w:sz w:val="22"/>
                <w:szCs w:val="22"/>
                <w:color w:val="auto"/>
              </w:rPr>
            </w:pPr>
          </w:p>
        </w:tc>
        <w:tc>
          <w:tcPr>
            <w:tcW w:w="220" w:type="dxa"/>
            <w:vAlign w:val="bottom"/>
            <w:tcBorders>
              <w:bottom w:val="single" w:sz="8" w:color="auto"/>
            </w:tcBorders>
            <w:shd w:val="clear" w:color="auto" w:fill="EAEAEA"/>
          </w:tcPr>
          <w:p>
            <w:pPr>
              <w:spacing w:after="0"/>
              <w:rPr>
                <w:sz w:val="22"/>
                <w:szCs w:val="22"/>
                <w:color w:val="auto"/>
              </w:rPr>
            </w:pPr>
          </w:p>
        </w:tc>
        <w:tc>
          <w:tcPr>
            <w:tcW w:w="92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8,880</w:t>
            </w:r>
          </w:p>
        </w:tc>
        <w:tc>
          <w:tcPr>
            <w:tcW w:w="20" w:type="dxa"/>
            <w:vAlign w:val="bottom"/>
            <w:tcBorders>
              <w:bottom w:val="single" w:sz="8" w:color="EAEAEA"/>
            </w:tcBorders>
            <w:shd w:val="clear" w:color="auto" w:fill="EAEAEA"/>
          </w:tcPr>
          <w:p>
            <w:pPr>
              <w:spacing w:after="0"/>
              <w:rPr>
                <w:sz w:val="22"/>
                <w:szCs w:val="22"/>
                <w:color w:val="auto"/>
              </w:rPr>
            </w:pPr>
          </w:p>
        </w:tc>
        <w:tc>
          <w:tcPr>
            <w:tcW w:w="60" w:type="dxa"/>
            <w:vAlign w:val="bottom"/>
            <w:tcBorders>
              <w:bottom w:val="single" w:sz="8" w:color="EAEAEA"/>
            </w:tcBorders>
            <w:shd w:val="clear" w:color="auto" w:fill="EAEAEA"/>
          </w:tcPr>
          <w:p>
            <w:pPr>
              <w:spacing w:after="0"/>
              <w:rPr>
                <w:sz w:val="22"/>
                <w:szCs w:val="22"/>
                <w:color w:val="auto"/>
              </w:rPr>
            </w:pPr>
          </w:p>
        </w:tc>
      </w:tr>
      <w:tr>
        <w:trPr>
          <w:trHeight w:val="219"/>
        </w:trPr>
        <w:tc>
          <w:tcPr>
            <w:tcW w:w="55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Net loss</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(61,797)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5"/>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(138,426)</w:t>
            </w:r>
          </w:p>
        </w:tc>
        <w:tc>
          <w:tcPr>
            <w:tcW w:w="260" w:type="dxa"/>
            <w:vAlign w:val="bottom"/>
            <w:gridSpan w:val="2"/>
          </w:tcPr>
          <w:p>
            <w:pPr>
              <w:spacing w:after="0"/>
              <w:rPr>
                <w:sz w:val="19"/>
                <w:szCs w:val="19"/>
                <w:color w:val="auto"/>
              </w:rPr>
            </w:pPr>
          </w:p>
        </w:tc>
        <w:tc>
          <w:tcPr>
            <w:tcW w:w="240" w:type="dxa"/>
            <w:vAlign w:val="bottom"/>
            <w:tcBorders>
              <w:bottom w:val="single" w:sz="8" w:color="auto"/>
            </w:tcBorders>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(117,255</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-1627505</wp:posOffset>
            </wp:positionV>
            <wp:extent cx="288988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9">
                      <a:extLst>
                        <a:ext uri="{28A0092B-C50C-407E-A947-70E740481C1C}"/>
                      </a:extLst>
                    </a:blip>
                    <a:srcRect/>
                    <a:stretch>
                      <a:fillRect/>
                    </a:stretch>
                  </pic:blipFill>
                  <pic:spPr bwMode="auto">
                    <a:xfrm>
                      <a:off x="0" y="0"/>
                      <a:ext cx="2889885" cy="3810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-845820</wp:posOffset>
            </wp:positionV>
            <wp:extent cx="286575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0">
                      <a:extLst>
                        <a:ext uri="{28A0092B-C50C-407E-A947-70E740481C1C}"/>
                      </a:extLst>
                    </a:blip>
                    <a:srcRect/>
                    <a:stretch>
                      <a:fillRect/>
                    </a:stretch>
                  </pic:blipFill>
                  <pic:spPr bwMode="auto">
                    <a:xfrm>
                      <a:off x="0" y="0"/>
                      <a:ext cx="2865755" cy="3810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Subsequent Events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080"/>
          </w:cols>
          <w:pgMar w:left="1080" w:top="1060" w:right="1080" w:bottom="175" w:gutter="0" w:footer="0" w:header="0"/>
          <w:type w:val="continuous"/>
        </w:sectPr>
      </w:pPr>
    </w:p>
    <w:bookmarkStart w:id="119" w:name="page120"/>
    <w:bookmarkEnd w:id="119"/>
    <w:p>
      <w:pPr>
        <w:ind w:left="58"/>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4"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0"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4" w:lineRule="exact"/>
        <w:rPr>
          <w:sz w:val="20"/>
          <w:szCs w:val="20"/>
          <w:color w:val="auto"/>
        </w:rPr>
      </w:pPr>
    </w:p>
    <w:p>
      <w:pPr>
        <w:ind w:left="58"/>
        <w:spacing w:after="0" w:line="243"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interim Chief Executive Officer and our Chief Operating Officer, our principal executive officer and principal financial officer, respectively, conducted an evaluation of the effectiveness of the design and operation of our disclosure controls and procedures, as defined in Rules 13a-15(e) and 15d-15(e) under the Exchange Act as of the end of the period covered by this Annual Report on Form 10-K. Based on this evaluation, our interim Chief Executive Officer and our Chief Operating Officer have concluded that as of such date our disclosure controls and procedures were effective at a reasonable assurance level (a) to ensure that information that we are required to disclose in reports that we file or submit under the Exchange Act is recorded, processed, summarized and reported within the time periods specified in SEC rules and forms and (b) to ensure that information required to be disclosed by us in reports filed or submitted under the Exchange Act is accumulated and communicated to our management, including our interim Chief Executive Officer and Chief Operating Officer, as appropriate, to allow timely decisions regarding required disclosure.</w:t>
      </w:r>
    </w:p>
    <w:p>
      <w:pPr>
        <w:spacing w:after="0" w:line="85"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24" w:lineRule="exact"/>
        <w:rPr>
          <w:sz w:val="20"/>
          <w:szCs w:val="20"/>
          <w:color w:val="auto"/>
        </w:rPr>
      </w:pPr>
    </w:p>
    <w:p>
      <w:pPr>
        <w:ind w:left="58" w:right="20"/>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94" w:lineRule="exact"/>
        <w:rPr>
          <w:sz w:val="20"/>
          <w:szCs w:val="20"/>
          <w:color w:val="auto"/>
        </w:rPr>
      </w:pPr>
    </w:p>
    <w:p>
      <w:pPr>
        <w:ind w:left="278" w:right="40" w:hanging="278"/>
        <w:spacing w:after="0" w:line="276" w:lineRule="auto"/>
        <w:tabs>
          <w:tab w:leader="none" w:pos="278"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a company’s assets;</w:t>
      </w:r>
    </w:p>
    <w:p>
      <w:pPr>
        <w:spacing w:after="0" w:line="64" w:lineRule="exact"/>
        <w:rPr>
          <w:rFonts w:ascii="Arial" w:cs="Arial" w:eastAsia="Arial" w:hAnsi="Arial"/>
          <w:sz w:val="20"/>
          <w:szCs w:val="20"/>
          <w:color w:val="auto"/>
        </w:rPr>
      </w:pPr>
    </w:p>
    <w:p>
      <w:pPr>
        <w:ind w:left="278" w:right="80" w:hanging="278"/>
        <w:spacing w:after="0" w:line="258" w:lineRule="auto"/>
        <w:tabs>
          <w:tab w:leader="none" w:pos="278"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81" w:lineRule="exact"/>
        <w:rPr>
          <w:rFonts w:ascii="Arial" w:cs="Arial" w:eastAsia="Arial" w:hAnsi="Arial"/>
          <w:sz w:val="20"/>
          <w:szCs w:val="20"/>
          <w:color w:val="auto"/>
        </w:rPr>
      </w:pPr>
    </w:p>
    <w:p>
      <w:pPr>
        <w:ind w:left="278" w:right="260" w:hanging="278"/>
        <w:spacing w:after="0" w:line="276" w:lineRule="auto"/>
        <w:tabs>
          <w:tab w:leader="none" w:pos="278"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the financial statements.</w:t>
      </w:r>
    </w:p>
    <w:p>
      <w:pPr>
        <w:spacing w:after="0" w:line="50" w:lineRule="exact"/>
        <w:rPr>
          <w:sz w:val="20"/>
          <w:szCs w:val="20"/>
          <w:color w:val="auto"/>
        </w:rPr>
      </w:pPr>
    </w:p>
    <w:p>
      <w:pPr>
        <w:ind w:left="58" w:right="260"/>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left="58" w:right="80"/>
        <w:spacing w:after="0" w:line="249" w:lineRule="auto"/>
        <w:rPr>
          <w:sz w:val="20"/>
          <w:szCs w:val="20"/>
          <w:color w:val="auto"/>
        </w:rPr>
      </w:pPr>
      <w:r>
        <w:rPr>
          <w:rFonts w:ascii="Times New Roman" w:cs="Times New Roman" w:eastAsia="Times New Roman" w:hAnsi="Times New Roman"/>
          <w:sz w:val="20"/>
          <w:szCs w:val="20"/>
          <w:color w:val="auto"/>
        </w:rPr>
        <w:t>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 — Integrated Framework (2013 framework). Based on this assessment, management concluded that our internal control over financial reporting was effective as of December 31, 2025.</w:t>
      </w:r>
    </w:p>
    <w:p>
      <w:pPr>
        <w:spacing w:after="0" w:line="77" w:lineRule="exact"/>
        <w:rPr>
          <w:sz w:val="20"/>
          <w:szCs w:val="20"/>
          <w:color w:val="auto"/>
        </w:rPr>
      </w:pPr>
    </w:p>
    <w:p>
      <w:pPr>
        <w:ind w:left="58" w:right="20"/>
        <w:spacing w:after="0" w:line="277"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independent registered public accounting firm due to our status as an emerging growth company under the JOBS Act.</w:t>
      </w:r>
    </w:p>
    <w:p>
      <w:pPr>
        <w:spacing w:after="0" w:line="45"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4" w:lineRule="exact"/>
        <w:rPr>
          <w:sz w:val="20"/>
          <w:szCs w:val="20"/>
          <w:color w:val="auto"/>
        </w:rPr>
      </w:pPr>
    </w:p>
    <w:p>
      <w:pPr>
        <w:ind w:left="58" w:right="500"/>
        <w:spacing w:after="0" w:line="274" w:lineRule="auto"/>
        <w:rPr>
          <w:sz w:val="20"/>
          <w:szCs w:val="20"/>
          <w:color w:val="auto"/>
        </w:rPr>
      </w:pPr>
      <w:r>
        <w:rPr>
          <w:rFonts w:ascii="Times New Roman" w:cs="Times New Roman" w:eastAsia="Times New Roman" w:hAnsi="Times New Roman"/>
          <w:sz w:val="20"/>
          <w:szCs w:val="20"/>
          <w:color w:val="auto"/>
        </w:rPr>
        <w:t>There were no other changes in our internal control over financial reporting identified in connection with the evaluation required by Rules 13a</w:t>
      </w:r>
      <w:r>
        <w:rPr>
          <w:rFonts w:ascii="Arial" w:cs="Arial" w:eastAsia="Arial" w:hAnsi="Arial"/>
          <w:sz w:val="20"/>
          <w:szCs w:val="20"/>
          <w:color w:val="auto"/>
        </w:rPr>
        <w:t>̻</w:t>
      </w:r>
      <w:r>
        <w:rPr>
          <w:rFonts w:ascii="Times New Roman" w:cs="Times New Roman" w:eastAsia="Times New Roman" w:hAnsi="Times New Roman"/>
          <w:sz w:val="20"/>
          <w:szCs w:val="20"/>
          <w:color w:val="auto"/>
        </w:rPr>
        <w:t>15(d) and 15d</w:t>
      </w:r>
      <w:r>
        <w:rPr>
          <w:rFonts w:ascii="Arial" w:cs="Arial" w:eastAsia="Arial" w:hAnsi="Arial"/>
          <w:sz w:val="20"/>
          <w:szCs w:val="20"/>
          <w:color w:val="auto"/>
        </w:rPr>
        <w:t>̻</w:t>
      </w:r>
      <w:r>
        <w:rPr>
          <w:rFonts w:ascii="Times New Roman" w:cs="Times New Roman" w:eastAsia="Times New Roman" w:hAnsi="Times New Roman"/>
          <w:sz w:val="20"/>
          <w:szCs w:val="20"/>
          <w:color w:val="auto"/>
        </w:rPr>
        <w:t>15(d) of the Exchange Act during the quarter ended December 31, 2025, that materially affected, or are reasonably likely to materially affect, our internal control over financial reporting.</w:t>
      </w:r>
    </w:p>
    <w:p>
      <w:pPr>
        <w:spacing w:after="0" w:line="47"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0"/>
          <w:szCs w:val="20"/>
          <w:b w:val="1"/>
          <w:bCs w:val="1"/>
          <w:color w:val="auto"/>
        </w:rPr>
        <w:t>Limitations on Effectiveness of Controls and Procedures</w:t>
      </w:r>
    </w:p>
    <w:p>
      <w:pPr>
        <w:spacing w:after="0" w:line="124" w:lineRule="exact"/>
        <w:rPr>
          <w:sz w:val="20"/>
          <w:szCs w:val="20"/>
          <w:color w:val="auto"/>
        </w:rPr>
      </w:pPr>
    </w:p>
    <w:p>
      <w:pPr>
        <w:ind w:left="58"/>
        <w:spacing w:after="0" w:line="249" w:lineRule="auto"/>
        <w:rPr>
          <w:sz w:val="20"/>
          <w:szCs w:val="20"/>
          <w:color w:val="auto"/>
        </w:rPr>
      </w:pPr>
      <w:r>
        <w:rPr>
          <w:rFonts w:ascii="Times New Roman" w:cs="Times New Roman" w:eastAsia="Times New Roman" w:hAnsi="Times New Roman"/>
          <w:sz w:val="20"/>
          <w:szCs w:val="20"/>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pgSz w:w="12240" w:h="15840" w:orient="portrait"/>
          <w:cols w:equalWidth="0" w:num="1">
            <w:col w:w="10138"/>
          </w:cols>
          <w:pgMar w:left="1022" w:top="1056" w:right="1080" w:bottom="175"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10138"/>
          </w:cols>
          <w:pgMar w:left="1022" w:top="1056" w:right="1080" w:bottom="175"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4" w:lineRule="exact"/>
        <w:rPr>
          <w:sz w:val="20"/>
          <w:szCs w:val="20"/>
          <w:color w:val="auto"/>
        </w:rPr>
      </w:pPr>
    </w:p>
    <w:p>
      <w:pPr>
        <w:ind w:left="280" w:hanging="280"/>
        <w:spacing w:after="0"/>
        <w:tabs>
          <w:tab w:leader="none" w:pos="2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w:t>
      </w:r>
    </w:p>
    <w:p>
      <w:pPr>
        <w:spacing w:after="0" w:line="120" w:lineRule="exact"/>
        <w:rPr>
          <w:rFonts w:ascii="Times New Roman" w:cs="Times New Roman" w:eastAsia="Times New Roman" w:hAnsi="Times New Roman"/>
          <w:sz w:val="20"/>
          <w:szCs w:val="20"/>
          <w:color w:val="auto"/>
        </w:rPr>
      </w:pPr>
    </w:p>
    <w:p>
      <w:pPr>
        <w:spacing w:after="0" w:line="258" w:lineRule="auto"/>
        <w:tabs>
          <w:tab w:leader="none" w:pos="28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quarter ended December 31, 2025, none of the Company’s directors or officers (as defined in Rule 16a-1(f) under the Exchange Act) adopted, modified or terminated a plan or other arrangement intended to satisfy the affirmative defense conditions of Rule 10b5-1(c) or any non-Rule 10b5-1 trading arrangements under the Exchange Act.</w:t>
      </w:r>
    </w:p>
    <w:p>
      <w:pPr>
        <w:spacing w:after="0" w:line="64" w:lineRule="exact"/>
        <w:rPr>
          <w:sz w:val="20"/>
          <w:szCs w:val="20"/>
          <w:color w:val="auto"/>
        </w:rPr>
      </w:pPr>
    </w:p>
    <w:p>
      <w:pPr>
        <w:ind w:right="3160"/>
        <w:spacing w:after="0" w:line="407"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sectPr>
          <w:pgSz w:w="12240" w:h="15840" w:orient="portrait"/>
          <w:cols w:equalWidth="0" w:num="1">
            <w:col w:w="9780"/>
          </w:cols>
          <w:pgMar w:left="1080" w:top="1056" w:right="13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780"/>
          </w:cols>
          <w:pgMar w:left="1080" w:top="1056" w:right="1380" w:bottom="175" w:gutter="0" w:footer="0" w:header="0"/>
          <w:type w:val="continuous"/>
        </w:sectPr>
      </w:pPr>
    </w:p>
    <w:bookmarkStart w:id="121" w:name="page122"/>
    <w:bookmarkEnd w:id="121"/>
    <w:p>
      <w:pPr>
        <w:ind w:left="46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6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have adopted a written code of business conduct and ethics that applies to our directors, officers and employees, including our principal executive officer and principal financial and accounting officer, or persons performing similar functions. A current copy of the code is posted on the Governance section of our website, which is located at investors.biomeafusion.com. If we make any substantive amendments to, or grant any waivers from, the code of business conduct and ethics for our principal executive officer, principal financial and accounting officer, or persons performing similar functions, or any officer or director, we will disclose the nature of such amendment or waiver on our website or in a current report on Form 8-K.</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have adopted an insider trading policy that applies to our director, officers, employees and selected consultants. We believe that our insider trading policy is reasonably designed to promote compliance with insider trading laws, rules and regulations, and listing standards applicable to us. A copy of our insider trading policy is filed as Exhibit 19.1 to this Annual Report on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ectPr>
          <w:pgSz w:w="12240" w:h="15840" w:orient="portrait"/>
          <w:cols w:equalWidth="0" w:num="1">
            <w:col w:w="9960"/>
          </w:cols>
          <w:pgMar w:left="1080" w:top="1056" w:right="12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960"/>
          </w:cols>
          <w:pgMar w:left="1080" w:top="1056" w:right="1200" w:bottom="175"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24" w:lineRule="exact"/>
        <w:rPr>
          <w:sz w:val="20"/>
          <w:szCs w:val="20"/>
          <w:color w:val="auto"/>
        </w:rPr>
      </w:pPr>
    </w:p>
    <w:p>
      <w:pPr>
        <w:ind w:left="720" w:hanging="720"/>
        <w:spacing w:after="0"/>
        <w:tabs>
          <w:tab w:leader="none" w:pos="7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 the following documents filed as a part of the report:</w:t>
      </w:r>
    </w:p>
    <w:p>
      <w:pPr>
        <w:spacing w:after="0" w:line="120" w:lineRule="exact"/>
        <w:rPr>
          <w:rFonts w:ascii="Times New Roman" w:cs="Times New Roman" w:eastAsia="Times New Roman" w:hAnsi="Times New Roman"/>
          <w:sz w:val="20"/>
          <w:szCs w:val="20"/>
          <w:color w:val="auto"/>
        </w:rPr>
      </w:pPr>
    </w:p>
    <w:p>
      <w:pPr>
        <w:ind w:left="1720" w:hanging="460"/>
        <w:spacing w:after="0"/>
        <w:tabs>
          <w:tab w:leader="none" w:pos="17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135" w:lineRule="exact"/>
        <w:rPr>
          <w:rFonts w:ascii="Times New Roman" w:cs="Times New Roman" w:eastAsia="Times New Roman" w:hAnsi="Times New Roman"/>
          <w:sz w:val="20"/>
          <w:szCs w:val="20"/>
          <w:color w:val="auto"/>
        </w:rPr>
      </w:pPr>
    </w:p>
    <w:p>
      <w:pPr>
        <w:ind w:left="1720" w:right="320"/>
        <w:spacing w:after="0" w:line="30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statements filed as part of this Annual Report on Form 10</w:t>
      </w:r>
      <w:r>
        <w:rPr>
          <w:rFonts w:ascii="Arial" w:cs="Arial" w:eastAsia="Arial" w:hAnsi="Arial"/>
          <w:sz w:val="20"/>
          <w:szCs w:val="20"/>
          <w:color w:val="auto"/>
        </w:rPr>
        <w:t>̻</w:t>
      </w:r>
      <w:r>
        <w:rPr>
          <w:rFonts w:ascii="Times New Roman" w:cs="Times New Roman" w:eastAsia="Times New Roman" w:hAnsi="Times New Roman"/>
          <w:sz w:val="20"/>
          <w:szCs w:val="20"/>
          <w:color w:val="auto"/>
        </w:rPr>
        <w:t>K are listed in the “Index to Financial Statements” under Part II, Item 8 of this Annual Report on Form 10</w:t>
      </w:r>
      <w:r>
        <w:rPr>
          <w:rFonts w:ascii="Arial" w:cs="Arial" w:eastAsia="Arial" w:hAnsi="Arial"/>
          <w:sz w:val="20"/>
          <w:szCs w:val="20"/>
          <w:color w:val="auto"/>
        </w:rPr>
        <w:t>̻</w:t>
      </w:r>
      <w:r>
        <w:rPr>
          <w:rFonts w:ascii="Times New Roman" w:cs="Times New Roman" w:eastAsia="Times New Roman" w:hAnsi="Times New Roman"/>
          <w:sz w:val="20"/>
          <w:szCs w:val="20"/>
          <w:color w:val="auto"/>
        </w:rPr>
        <w:t>K.</w:t>
      </w:r>
    </w:p>
    <w:p>
      <w:pPr>
        <w:spacing w:after="0" w:line="34" w:lineRule="exact"/>
        <w:rPr>
          <w:rFonts w:ascii="Times New Roman" w:cs="Times New Roman" w:eastAsia="Times New Roman" w:hAnsi="Times New Roman"/>
          <w:sz w:val="20"/>
          <w:szCs w:val="20"/>
          <w:color w:val="auto"/>
        </w:rPr>
      </w:pPr>
    </w:p>
    <w:p>
      <w:pPr>
        <w:ind w:left="1720" w:hanging="460"/>
        <w:spacing w:after="0"/>
        <w:tabs>
          <w:tab w:leader="none" w:pos="17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w:t>
      </w:r>
    </w:p>
    <w:p>
      <w:pPr>
        <w:spacing w:after="0" w:line="120" w:lineRule="exact"/>
        <w:rPr>
          <w:rFonts w:ascii="Times New Roman" w:cs="Times New Roman" w:eastAsia="Times New Roman" w:hAnsi="Times New Roman"/>
          <w:sz w:val="20"/>
          <w:szCs w:val="20"/>
          <w:color w:val="auto"/>
        </w:rPr>
      </w:pPr>
    </w:p>
    <w:p>
      <w:pPr>
        <w:ind w:left="1720" w:right="12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have been omitted in this Annual Report on Form 10-K because they are not applicable, not required under the instructions, or the information requested is set forth in the financial statements or related notes thereto.</w:t>
      </w:r>
    </w:p>
    <w:p>
      <w:pPr>
        <w:spacing w:after="0" w:line="68" w:lineRule="exact"/>
        <w:rPr>
          <w:rFonts w:ascii="Times New Roman" w:cs="Times New Roman" w:eastAsia="Times New Roman" w:hAnsi="Times New Roman"/>
          <w:sz w:val="20"/>
          <w:szCs w:val="20"/>
          <w:color w:val="auto"/>
        </w:rPr>
      </w:pPr>
    </w:p>
    <w:p>
      <w:pPr>
        <w:ind w:left="1720" w:hanging="460"/>
        <w:spacing w:after="0"/>
        <w:tabs>
          <w:tab w:leader="none" w:pos="17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20" w:lineRule="exact"/>
        <w:rPr>
          <w:rFonts w:ascii="Times New Roman" w:cs="Times New Roman" w:eastAsia="Times New Roman" w:hAnsi="Times New Roman"/>
          <w:sz w:val="20"/>
          <w:szCs w:val="20"/>
          <w:color w:val="auto"/>
        </w:rPr>
      </w:pPr>
    </w:p>
    <w:p>
      <w:pPr>
        <w:ind w:left="1720" w:right="4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sectPr>
          <w:pgSz w:w="12240" w:h="15840" w:orient="portrait"/>
          <w:cols w:equalWidth="0" w:num="1">
            <w:col w:w="10080"/>
          </w:cols>
          <w:pgMar w:left="1080" w:top="1056" w:right="1080" w:bottom="175" w:gutter="0" w:footer="0" w:header="0"/>
        </w:sectPr>
      </w:pPr>
    </w:p>
    <w:p>
      <w:pPr>
        <w:spacing w:after="0" w:line="310" w:lineRule="exact"/>
        <w:rPr>
          <w:sz w:val="20"/>
          <w:szCs w:val="20"/>
          <w:color w:val="auto"/>
        </w:rPr>
      </w:pPr>
    </w:p>
    <w:p>
      <w:pPr>
        <w:ind w:right="1920"/>
        <w:spacing w:after="0" w:line="407" w:lineRule="auto"/>
        <w:rPr>
          <w:sz w:val="20"/>
          <w:szCs w:val="20"/>
          <w:color w:val="auto"/>
        </w:rPr>
      </w:pPr>
      <w:r>
        <w:rPr>
          <w:rFonts w:ascii="Times New Roman" w:cs="Times New Roman" w:eastAsia="Times New Roman" w:hAnsi="Times New Roman"/>
          <w:sz w:val="20"/>
          <w:szCs w:val="20"/>
          <w:b w:val="1"/>
          <w:bCs w:val="1"/>
          <w:color w:val="auto"/>
        </w:rPr>
        <w:t xml:space="preserve">Item 16. Form 10-K Summary </w:t>
      </w:r>
      <w:r>
        <w:rPr>
          <w:rFonts w:ascii="Times New Roman" w:cs="Times New Roman" w:eastAsia="Times New Roman" w:hAnsi="Times New Roman"/>
          <w:sz w:val="20"/>
          <w:szCs w:val="20"/>
          <w:color w:val="auto"/>
        </w:rPr>
        <w:t>Not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tcBorders>
              <w:bottom w:val="single" w:sz="8" w:color="auto"/>
            </w:tcBorders>
            <w:gridSpan w:val="16"/>
          </w:tcPr>
          <w:p>
            <w:pPr>
              <w:ind w:left="12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18"/>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16"/>
          </w:tcPr>
          <w:p>
            <w:pPr>
              <w:spacing w:after="0" w:line="218" w:lineRule="exact"/>
              <w:rPr>
                <w:sz w:val="20"/>
                <w:szCs w:val="20"/>
                <w:color w:val="auto"/>
              </w:rPr>
            </w:pPr>
            <w:r>
              <w:rPr>
                <w:rFonts w:ascii="Times New Roman" w:cs="Times New Roman" w:eastAsia="Times New Roman" w:hAnsi="Times New Roman"/>
                <w:sz w:val="20"/>
                <w:szCs w:val="20"/>
                <w:color w:val="4C4C4C"/>
              </w:rPr>
              <w:t>Amended and Restated Certificate of</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40" w:type="dxa"/>
            <w:vAlign w:val="bottom"/>
            <w:tcBorders>
              <w:top w:val="single" w:sz="8" w:color="4C4C4C"/>
            </w:tcBorders>
            <w:gridSpan w:val="7"/>
            <w:vMerge w:val="restart"/>
          </w:tcPr>
          <w:p>
            <w:pPr>
              <w:spacing w:after="0" w:line="210" w:lineRule="exact"/>
              <w:rPr>
                <w:sz w:val="20"/>
                <w:szCs w:val="20"/>
                <w:color w:val="auto"/>
              </w:rPr>
            </w:pPr>
            <w:r>
              <w:rPr>
                <w:rFonts w:ascii="Times New Roman" w:cs="Times New Roman" w:eastAsia="Times New Roman" w:hAnsi="Times New Roman"/>
                <w:sz w:val="20"/>
                <w:szCs w:val="20"/>
                <w:color w:val="4C4C4C"/>
                <w:w w:val="99"/>
              </w:rPr>
              <w:t>Incorporation, as currently in effect</w:t>
            </w:r>
          </w:p>
        </w:tc>
        <w:tc>
          <w:tcPr>
            <w:tcW w:w="120" w:type="dxa"/>
            <w:vAlign w:val="bottom"/>
            <w:tcBorders>
              <w:top w:val="single" w:sz="8" w:color="4C4C4C"/>
            </w:tcBorders>
            <w:gridSpan w:val="2"/>
            <w:vMerge w:val="restart"/>
          </w:tcPr>
          <w:p>
            <w:pPr>
              <w:spacing w:after="0"/>
              <w:rPr>
                <w:sz w:val="11"/>
                <w:szCs w:val="11"/>
                <w:color w:val="auto"/>
              </w:rPr>
            </w:pPr>
          </w:p>
        </w:tc>
        <w:tc>
          <w:tcPr>
            <w:tcW w:w="56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40" w:type="dxa"/>
            <w:vAlign w:val="bottom"/>
            <w:tcBorders>
              <w:bottom w:val="single" w:sz="8" w:color="4C4C4C"/>
            </w:tcBorders>
            <w:gridSpan w:val="7"/>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5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w:t>
            </w:r>
          </w:p>
        </w:tc>
        <w:tc>
          <w:tcPr>
            <w:tcW w:w="200" w:type="dxa"/>
            <w:vAlign w:val="bottom"/>
          </w:tcPr>
          <w:p>
            <w:pPr>
              <w:spacing w:after="0"/>
              <w:rPr>
                <w:sz w:val="24"/>
                <w:szCs w:val="24"/>
                <w:color w:val="auto"/>
              </w:rPr>
            </w:pPr>
          </w:p>
        </w:tc>
        <w:tc>
          <w:tcPr>
            <w:tcW w:w="2780" w:type="dxa"/>
            <w:vAlign w:val="bottom"/>
            <w:tcBorders>
              <w:bottom w:val="single" w:sz="8" w:color="4C4C4C"/>
            </w:tcBorders>
            <w:gridSpan w:val="6"/>
          </w:tcPr>
          <w:p>
            <w:pPr>
              <w:spacing w:after="0"/>
              <w:rPr>
                <w:sz w:val="20"/>
                <w:szCs w:val="20"/>
                <w:color w:val="auto"/>
              </w:rPr>
            </w:pPr>
            <w:r>
              <w:rPr>
                <w:rFonts w:ascii="Times New Roman" w:cs="Times New Roman" w:eastAsia="Times New Roman" w:hAnsi="Times New Roman"/>
                <w:sz w:val="20"/>
                <w:szCs w:val="20"/>
                <w:color w:val="4C4C4C"/>
                <w:w w:val="99"/>
              </w:rPr>
              <w:t>Amended and Restated Bylaws, as</w:t>
            </w:r>
          </w:p>
        </w:tc>
        <w:tc>
          <w:tcPr>
            <w:tcW w:w="7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vMerge w:val="restart"/>
          </w:tcPr>
          <w:p>
            <w:pPr>
              <w:spacing w:after="0" w:line="210" w:lineRule="exact"/>
              <w:rPr>
                <w:sz w:val="20"/>
                <w:szCs w:val="20"/>
                <w:color w:val="auto"/>
              </w:rPr>
            </w:pPr>
            <w:r>
              <w:rPr>
                <w:rFonts w:ascii="Times New Roman" w:cs="Times New Roman" w:eastAsia="Times New Roman" w:hAnsi="Times New Roman"/>
                <w:sz w:val="20"/>
                <w:szCs w:val="20"/>
                <w:color w:val="4C4C4C"/>
                <w:w w:val="99"/>
              </w:rPr>
              <w:t>currently in effect</w:t>
            </w:r>
          </w:p>
        </w:tc>
        <w:tc>
          <w:tcPr>
            <w:tcW w:w="208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tcBorders>
              <w:bottom w:val="single" w:sz="8" w:color="4C4C4C"/>
            </w:tcBorders>
            <w:gridSpan w:val="2"/>
            <w:vMerge w:val="continue"/>
          </w:tcPr>
          <w:p>
            <w:pPr>
              <w:spacing w:after="0"/>
              <w:rPr>
                <w:sz w:val="7"/>
                <w:szCs w:val="7"/>
                <w:color w:val="auto"/>
              </w:rPr>
            </w:pPr>
          </w:p>
        </w:tc>
        <w:tc>
          <w:tcPr>
            <w:tcW w:w="2080" w:type="dxa"/>
            <w:vAlign w:val="bottom"/>
            <w:gridSpan w:val="1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4"/>
                <w:szCs w:val="24"/>
                <w:color w:val="auto"/>
              </w:rPr>
            </w:pPr>
          </w:p>
        </w:tc>
        <w:tc>
          <w:tcPr>
            <w:tcW w:w="2860" w:type="dxa"/>
            <w:vAlign w:val="bottom"/>
            <w:tcBorders>
              <w:bottom w:val="single" w:sz="8" w:color="4C4C4C"/>
            </w:tcBorders>
            <w:gridSpan w:val="8"/>
          </w:tcPr>
          <w:p>
            <w:pPr>
              <w:spacing w:after="0"/>
              <w:rPr>
                <w:sz w:val="20"/>
                <w:szCs w:val="20"/>
                <w:color w:val="auto"/>
              </w:rPr>
            </w:pPr>
            <w:r>
              <w:rPr>
                <w:rFonts w:ascii="Times New Roman" w:cs="Times New Roman" w:eastAsia="Times New Roman" w:hAnsi="Times New Roman"/>
                <w:sz w:val="20"/>
                <w:szCs w:val="20"/>
                <w:color w:val="4C4C4C"/>
                <w:w w:val="99"/>
              </w:rPr>
              <w:t>Form of Common Stock Certificate</w:t>
            </w:r>
          </w:p>
        </w:tc>
        <w:tc>
          <w:tcPr>
            <w:tcW w:w="6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gridSpan w:val="17"/>
          </w:tcPr>
          <w:p>
            <w:pPr>
              <w:spacing w:after="0"/>
              <w:rPr>
                <w:sz w:val="20"/>
                <w:szCs w:val="20"/>
                <w:color w:val="auto"/>
              </w:rPr>
            </w:pPr>
            <w:r>
              <w:rPr>
                <w:rFonts w:ascii="Times New Roman" w:cs="Times New Roman" w:eastAsia="Times New Roman" w:hAnsi="Times New Roman"/>
                <w:sz w:val="20"/>
                <w:szCs w:val="20"/>
                <w:color w:val="4C4C4C"/>
              </w:rPr>
              <w:t>Description of Registrant’s Securities</w:t>
            </w:r>
          </w:p>
        </w:tc>
        <w:tc>
          <w:tcPr>
            <w:tcW w:w="0" w:type="dxa"/>
            <w:vAlign w:val="bottom"/>
          </w:tcPr>
          <w:p>
            <w:pPr>
              <w:spacing w:after="0"/>
              <w:rPr>
                <w:sz w:val="1"/>
                <w:szCs w:val="1"/>
                <w:color w:val="auto"/>
              </w:rPr>
            </w:pPr>
          </w:p>
        </w:tc>
      </w:tr>
      <w:tr>
        <w:trPr>
          <w:trHeight w:val="210"/>
        </w:trPr>
        <w:tc>
          <w:tcPr>
            <w:tcW w:w="8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4.2</w:t>
            </w:r>
          </w:p>
        </w:tc>
        <w:tc>
          <w:tcPr>
            <w:tcW w:w="200" w:type="dxa"/>
            <w:vAlign w:val="bottom"/>
          </w:tcPr>
          <w:p>
            <w:pPr>
              <w:spacing w:after="0"/>
              <w:rPr>
                <w:sz w:val="18"/>
                <w:szCs w:val="18"/>
                <w:color w:val="auto"/>
              </w:rPr>
            </w:pPr>
          </w:p>
        </w:tc>
        <w:tc>
          <w:tcPr>
            <w:tcW w:w="3000" w:type="dxa"/>
            <w:vAlign w:val="bottom"/>
            <w:tcBorders>
              <w:top w:val="single" w:sz="8" w:color="4C4C4C"/>
            </w:tcBorders>
            <w:gridSpan w:val="10"/>
          </w:tcPr>
          <w:p>
            <w:pPr>
              <w:spacing w:after="0" w:line="210" w:lineRule="exact"/>
              <w:rPr>
                <w:sz w:val="20"/>
                <w:szCs w:val="20"/>
                <w:color w:val="auto"/>
              </w:rPr>
            </w:pPr>
            <w:r>
              <w:rPr>
                <w:rFonts w:ascii="Times New Roman" w:cs="Times New Roman" w:eastAsia="Times New Roman" w:hAnsi="Times New Roman"/>
                <w:sz w:val="20"/>
                <w:szCs w:val="20"/>
                <w:color w:val="4C4C4C"/>
              </w:rPr>
              <w:t>Registered pursuant to Section 12 of</w:t>
            </w:r>
          </w:p>
        </w:tc>
        <w:tc>
          <w:tcPr>
            <w:tcW w:w="520" w:type="dxa"/>
            <w:vAlign w:val="bottom"/>
            <w:gridSpan w:val="7"/>
          </w:tcPr>
          <w:p>
            <w:pPr>
              <w:spacing w:after="0" w:line="210" w:lineRule="exact"/>
              <w:rPr>
                <w:sz w:val="20"/>
                <w:szCs w:val="20"/>
                <w:color w:val="auto"/>
              </w:rPr>
            </w:pPr>
            <w:r>
              <w:rPr>
                <w:rFonts w:ascii="Times New Roman" w:cs="Times New Roman" w:eastAsia="Times New Roman" w:hAnsi="Times New Roman"/>
                <w:sz w:val="20"/>
                <w:szCs w:val="20"/>
                <w:color w:val="4C4C4C"/>
              </w:rPr>
              <w:t>the</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Borders>
              <w:top w:val="single" w:sz="8" w:color="4C4C4C"/>
              <w:bottom w:val="single" w:sz="8" w:color="4C4C4C"/>
            </w:tcBorders>
            <w:gridSpan w:val="4"/>
          </w:tcPr>
          <w:p>
            <w:pPr>
              <w:spacing w:after="0" w:line="210" w:lineRule="exact"/>
              <w:rPr>
                <w:sz w:val="20"/>
                <w:szCs w:val="20"/>
                <w:color w:val="auto"/>
              </w:rPr>
            </w:pPr>
            <w:r>
              <w:rPr>
                <w:rFonts w:ascii="Times New Roman" w:cs="Times New Roman" w:eastAsia="Times New Roman" w:hAnsi="Times New Roman"/>
                <w:sz w:val="20"/>
                <w:szCs w:val="20"/>
                <w:color w:val="4C4C4C"/>
                <w:w w:val="99"/>
              </w:rPr>
              <w:t>Securities Exchange Act of 1934</w:t>
            </w:r>
          </w:p>
        </w:tc>
        <w:tc>
          <w:tcPr>
            <w:tcW w:w="560" w:type="dxa"/>
            <w:vAlign w:val="bottom"/>
            <w:tcBorders>
              <w:top w:val="single" w:sz="8" w:color="4C4C4C"/>
            </w:tcBorders>
            <w:gridSpan w:val="9"/>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gridSpan w:val="17"/>
          </w:tcPr>
          <w:p>
            <w:pPr>
              <w:spacing w:after="0"/>
              <w:rPr>
                <w:sz w:val="20"/>
                <w:szCs w:val="20"/>
                <w:color w:val="auto"/>
              </w:rPr>
            </w:pPr>
            <w:r>
              <w:rPr>
                <w:rFonts w:ascii="Times New Roman" w:cs="Times New Roman" w:eastAsia="Times New Roman" w:hAnsi="Times New Roman"/>
                <w:sz w:val="20"/>
                <w:szCs w:val="20"/>
                <w:color w:val="4C4C4C"/>
              </w:rPr>
              <w:t>Investors’ Rights Agreement, dated</w:t>
            </w:r>
          </w:p>
        </w:tc>
        <w:tc>
          <w:tcPr>
            <w:tcW w:w="0" w:type="dxa"/>
            <w:vAlign w:val="bottom"/>
          </w:tcPr>
          <w:p>
            <w:pPr>
              <w:spacing w:after="0"/>
              <w:rPr>
                <w:sz w:val="1"/>
                <w:szCs w:val="1"/>
                <w:color w:val="auto"/>
              </w:rPr>
            </w:pPr>
          </w:p>
        </w:tc>
      </w:tr>
      <w:tr>
        <w:trPr>
          <w:trHeight w:val="210"/>
        </w:trPr>
        <w:tc>
          <w:tcPr>
            <w:tcW w:w="8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4.3</w:t>
            </w:r>
          </w:p>
        </w:tc>
        <w:tc>
          <w:tcPr>
            <w:tcW w:w="200" w:type="dxa"/>
            <w:vAlign w:val="bottom"/>
          </w:tcPr>
          <w:p>
            <w:pPr>
              <w:spacing w:after="0"/>
              <w:rPr>
                <w:sz w:val="18"/>
                <w:szCs w:val="18"/>
                <w:color w:val="auto"/>
              </w:rPr>
            </w:pPr>
          </w:p>
        </w:tc>
        <w:tc>
          <w:tcPr>
            <w:tcW w:w="2840" w:type="dxa"/>
            <w:vAlign w:val="bottom"/>
            <w:tcBorders>
              <w:top w:val="single" w:sz="8" w:color="4C4C4C"/>
              <w:bottom w:val="single" w:sz="8" w:color="4C4C4C"/>
            </w:tcBorders>
            <w:gridSpan w:val="7"/>
          </w:tcPr>
          <w:p>
            <w:pPr>
              <w:spacing w:after="0" w:line="210" w:lineRule="exact"/>
              <w:rPr>
                <w:sz w:val="20"/>
                <w:szCs w:val="20"/>
                <w:color w:val="auto"/>
              </w:rPr>
            </w:pPr>
            <w:r>
              <w:rPr>
                <w:rFonts w:ascii="Times New Roman" w:cs="Times New Roman" w:eastAsia="Times New Roman" w:hAnsi="Times New Roman"/>
                <w:sz w:val="20"/>
                <w:szCs w:val="20"/>
                <w:color w:val="4C4C4C"/>
              </w:rPr>
              <w:t>December 18, 2020, by and among</w:t>
            </w:r>
          </w:p>
        </w:tc>
        <w:tc>
          <w:tcPr>
            <w:tcW w:w="260" w:type="dxa"/>
            <w:vAlign w:val="bottom"/>
            <w:tcBorders>
              <w:bottom w:val="single" w:sz="8" w:color="4C4C4C"/>
            </w:tcBorders>
            <w:gridSpan w:val="5"/>
          </w:tcPr>
          <w:p>
            <w:pPr>
              <w:ind w:left="20"/>
              <w:spacing w:after="0" w:line="210" w:lineRule="exact"/>
              <w:rPr>
                <w:sz w:val="20"/>
                <w:szCs w:val="20"/>
                <w:color w:val="auto"/>
              </w:rPr>
            </w:pPr>
            <w:r>
              <w:rPr>
                <w:rFonts w:ascii="Times New Roman" w:cs="Times New Roman" w:eastAsia="Times New Roman" w:hAnsi="Times New Roman"/>
                <w:sz w:val="20"/>
                <w:szCs w:val="20"/>
                <w:color w:val="4C4C4C"/>
                <w:w w:val="89"/>
              </w:rPr>
              <w:t>the</w:t>
            </w:r>
          </w:p>
        </w:tc>
        <w:tc>
          <w:tcPr>
            <w:tcW w:w="4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Borders>
              <w:bottom w:val="single" w:sz="8" w:color="4C4C4C"/>
            </w:tcBorders>
            <w:gridSpan w:val="15"/>
          </w:tcPr>
          <w:p>
            <w:pPr>
              <w:spacing w:after="0" w:line="210" w:lineRule="exact"/>
              <w:rPr>
                <w:sz w:val="20"/>
                <w:szCs w:val="20"/>
                <w:color w:val="auto"/>
              </w:rPr>
            </w:pPr>
            <w:r>
              <w:rPr>
                <w:rFonts w:ascii="Times New Roman" w:cs="Times New Roman" w:eastAsia="Times New Roman" w:hAnsi="Times New Roman"/>
                <w:sz w:val="20"/>
                <w:szCs w:val="20"/>
                <w:color w:val="4C4C4C"/>
                <w:w w:val="99"/>
              </w:rPr>
              <w:t>Registrant and the investors listed therein</w:t>
            </w: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200" w:type="dxa"/>
            <w:vAlign w:val="bottom"/>
          </w:tcPr>
          <w:p>
            <w:pPr>
              <w:spacing w:after="0"/>
              <w:rPr>
                <w:sz w:val="24"/>
                <w:szCs w:val="24"/>
                <w:color w:val="auto"/>
              </w:rPr>
            </w:pPr>
          </w:p>
        </w:tc>
        <w:tc>
          <w:tcPr>
            <w:tcW w:w="2340" w:type="dxa"/>
            <w:vAlign w:val="bottom"/>
            <w:tcBorders>
              <w:bottom w:val="single" w:sz="8" w:color="4C4C4C"/>
            </w:tcBorders>
            <w:gridSpan w:val="3"/>
          </w:tcPr>
          <w:p>
            <w:pPr>
              <w:spacing w:after="0"/>
              <w:rPr>
                <w:sz w:val="20"/>
                <w:szCs w:val="20"/>
                <w:color w:val="auto"/>
              </w:rPr>
            </w:pPr>
            <w:r>
              <w:rPr>
                <w:rFonts w:ascii="Times New Roman" w:cs="Times New Roman" w:eastAsia="Times New Roman" w:hAnsi="Times New Roman"/>
                <w:sz w:val="20"/>
                <w:szCs w:val="20"/>
                <w:color w:val="4C4C4C"/>
                <w:w w:val="99"/>
              </w:rPr>
              <w:t>Form of Pre-Funded Warrant</w:t>
            </w:r>
          </w:p>
        </w:tc>
        <w:tc>
          <w:tcPr>
            <w:tcW w:w="11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200" w:type="dxa"/>
            <w:vAlign w:val="bottom"/>
          </w:tcPr>
          <w:p>
            <w:pPr>
              <w:spacing w:after="0"/>
              <w:rPr>
                <w:sz w:val="24"/>
                <w:szCs w:val="24"/>
                <w:color w:val="auto"/>
              </w:rPr>
            </w:pPr>
          </w:p>
        </w:tc>
        <w:tc>
          <w:tcPr>
            <w:tcW w:w="2660" w:type="dxa"/>
            <w:vAlign w:val="bottom"/>
            <w:tcBorders>
              <w:bottom w:val="single" w:sz="8" w:color="4C4C4C"/>
            </w:tcBorders>
            <w:gridSpan w:val="5"/>
          </w:tcPr>
          <w:p>
            <w:pPr>
              <w:spacing w:after="0"/>
              <w:rPr>
                <w:sz w:val="20"/>
                <w:szCs w:val="20"/>
                <w:color w:val="auto"/>
              </w:rPr>
            </w:pPr>
            <w:r>
              <w:rPr>
                <w:rFonts w:ascii="Times New Roman" w:cs="Times New Roman" w:eastAsia="Times New Roman" w:hAnsi="Times New Roman"/>
                <w:sz w:val="20"/>
                <w:szCs w:val="20"/>
                <w:color w:val="4C4C4C"/>
                <w:w w:val="99"/>
              </w:rPr>
              <w:t>Form of Common Stock Warrant</w:t>
            </w:r>
          </w:p>
        </w:tc>
        <w:tc>
          <w:tcPr>
            <w:tcW w:w="8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w:t>
            </w:r>
          </w:p>
        </w:tc>
        <w:tc>
          <w:tcPr>
            <w:tcW w:w="200" w:type="dxa"/>
            <w:vAlign w:val="bottom"/>
          </w:tcPr>
          <w:p>
            <w:pPr>
              <w:spacing w:after="0"/>
              <w:rPr>
                <w:sz w:val="24"/>
                <w:szCs w:val="24"/>
                <w:color w:val="auto"/>
              </w:rPr>
            </w:pPr>
          </w:p>
        </w:tc>
        <w:tc>
          <w:tcPr>
            <w:tcW w:w="3520" w:type="dxa"/>
            <w:vAlign w:val="bottom"/>
            <w:gridSpan w:val="17"/>
          </w:tcPr>
          <w:p>
            <w:pPr>
              <w:spacing w:after="0"/>
              <w:rPr>
                <w:sz w:val="20"/>
                <w:szCs w:val="20"/>
                <w:color w:val="auto"/>
              </w:rPr>
            </w:pPr>
            <w:r>
              <w:rPr>
                <w:rFonts w:ascii="Times New Roman" w:cs="Times New Roman" w:eastAsia="Times New Roman" w:hAnsi="Times New Roman"/>
                <w:sz w:val="20"/>
                <w:szCs w:val="20"/>
                <w:color w:val="4C4C4C"/>
              </w:rPr>
              <w:t>Secondary Sublease, dated August 18,</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gridSpan w:val="11"/>
            <w:shd w:val="clear" w:color="auto" w:fill="4C4C4C"/>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17"/>
          </w:tcPr>
          <w:p>
            <w:pPr>
              <w:spacing w:after="0" w:line="210" w:lineRule="exact"/>
              <w:rPr>
                <w:sz w:val="20"/>
                <w:szCs w:val="20"/>
                <w:color w:val="auto"/>
              </w:rPr>
            </w:pPr>
            <w:r>
              <w:rPr>
                <w:rFonts w:ascii="Times New Roman" w:cs="Times New Roman" w:eastAsia="Times New Roman" w:hAnsi="Times New Roman"/>
                <w:sz w:val="20"/>
                <w:szCs w:val="20"/>
                <w:color w:val="4C4C4C"/>
              </w:rPr>
              <w:t>2020, by and between the Registrant and</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Borders>
              <w:top w:val="single" w:sz="8" w:color="4C4C4C"/>
              <w:bottom w:val="single" w:sz="8" w:color="4C4C4C"/>
            </w:tcBorders>
            <w:gridSpan w:val="14"/>
          </w:tcPr>
          <w:p>
            <w:pPr>
              <w:spacing w:after="0" w:line="210" w:lineRule="exact"/>
              <w:rPr>
                <w:sz w:val="20"/>
                <w:szCs w:val="20"/>
                <w:color w:val="auto"/>
              </w:rPr>
            </w:pPr>
            <w:r>
              <w:rPr>
                <w:rFonts w:ascii="Times New Roman" w:cs="Times New Roman" w:eastAsia="Times New Roman" w:hAnsi="Times New Roman"/>
                <w:sz w:val="20"/>
                <w:szCs w:val="20"/>
                <w:color w:val="4C4C4C"/>
                <w:w w:val="96"/>
              </w:rPr>
              <w:t>Interactive Memories, Inc. d/b/a Mixbook</w:t>
            </w:r>
          </w:p>
        </w:tc>
        <w:tc>
          <w:tcPr>
            <w:tcW w:w="100" w:type="dxa"/>
            <w:vAlign w:val="bottom"/>
            <w:tcBorders>
              <w:bottom w:val="single" w:sz="8" w:color="4C4C4C"/>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37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65"/>
        </w:trPr>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0"/>
                <w:szCs w:val="20"/>
                <w:b w:val="1"/>
                <w:bCs w:val="1"/>
                <w:color w:val="auto"/>
              </w:rPr>
              <w:t>Form</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180" w:type="dxa"/>
            <w:vAlign w:val="bottom"/>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80" w:type="dxa"/>
            <w:vAlign w:val="bottom"/>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Filed Herewith</w:t>
            </w:r>
          </w:p>
        </w:tc>
      </w:tr>
      <w:tr>
        <w:trPr>
          <w:trHeight w:val="367"/>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4/20/2021</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2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4/20/2021</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1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4/12/2021</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13"/>
        </w:trPr>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97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3/26/2021</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2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6/20/2025</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6/20/2025</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2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4/12/2021</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-2655570</wp:posOffset>
            </wp:positionV>
            <wp:extent cx="6400800" cy="3832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1">
                      <a:extLst>
                        <a:ext uri="{28A0092B-C50C-407E-A947-70E740481C1C}"/>
                      </a:extLst>
                    </a:blip>
                    <a:srcRect/>
                    <a:stretch>
                      <a:fillRect/>
                    </a:stretch>
                  </pic:blipFill>
                  <pic:spPr bwMode="auto">
                    <a:xfrm>
                      <a:off x="0" y="0"/>
                      <a:ext cx="6400800" cy="3832225"/>
                    </a:xfrm>
                    <a:prstGeom prst="rect">
                      <a:avLst/>
                    </a:prstGeom>
                    <a:noFill/>
                  </pic:spPr>
                </pic:pic>
              </a:graphicData>
            </a:graphic>
          </wp:anchor>
        </w:drawing>
      </w:r>
    </w:p>
    <w:p>
      <w:pPr>
        <w:spacing w:after="0" w:line="361" w:lineRule="exact"/>
        <w:rPr>
          <w:sz w:val="20"/>
          <w:szCs w:val="20"/>
          <w:color w:val="auto"/>
        </w:rPr>
      </w:pPr>
    </w:p>
    <w:p>
      <w:pPr>
        <w:sectPr>
          <w:pgSz w:w="12240" w:h="15840" w:orient="portrait"/>
          <w:cols w:equalWidth="0" w:num="2">
            <w:col w:w="4520" w:space="180"/>
            <w:col w:w="5380"/>
          </w:cols>
          <w:pgMar w:left="1080" w:top="1056" w:right="1080" w:bottom="175"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1000" w:type="dxa"/>
            <w:vAlign w:val="bottom"/>
            <w:vMerge w:val="restart"/>
          </w:tcPr>
          <w:p>
            <w:pPr>
              <w:jc w:val="right"/>
              <w:ind w:right="540"/>
              <w:spacing w:after="0"/>
              <w:rPr>
                <w:sz w:val="20"/>
                <w:szCs w:val="20"/>
                <w:color w:val="auto"/>
              </w:rPr>
            </w:pPr>
            <w:r>
              <w:rPr>
                <w:rFonts w:ascii="Times New Roman" w:cs="Times New Roman" w:eastAsia="Times New Roman" w:hAnsi="Times New Roman"/>
                <w:sz w:val="20"/>
                <w:szCs w:val="20"/>
                <w:color w:val="auto"/>
                <w:w w:val="97"/>
              </w:rPr>
              <w:t>10.2</w:t>
            </w:r>
          </w:p>
        </w:tc>
        <w:tc>
          <w:tcPr>
            <w:tcW w:w="3480" w:type="dxa"/>
            <w:vAlign w:val="bottom"/>
            <w:tcBorders>
              <w:bottom w:val="single" w:sz="8" w:color="4C4C4C"/>
            </w:tcBorders>
            <w:gridSpan w:val="5"/>
          </w:tcPr>
          <w:p>
            <w:pPr>
              <w:spacing w:after="0"/>
              <w:rPr>
                <w:sz w:val="20"/>
                <w:szCs w:val="20"/>
                <w:color w:val="auto"/>
              </w:rPr>
            </w:pPr>
            <w:r>
              <w:rPr>
                <w:rFonts w:ascii="Times New Roman" w:cs="Times New Roman" w:eastAsia="Times New Roman" w:hAnsi="Times New Roman"/>
                <w:sz w:val="20"/>
                <w:szCs w:val="20"/>
                <w:color w:val="4C4C4C"/>
                <w:w w:val="99"/>
              </w:rPr>
              <w:t>Form of Indemnification and Advancement</w:t>
            </w: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480" w:type="dxa"/>
            <w:vAlign w:val="bottom"/>
            <w:gridSpan w:val="5"/>
            <w:vMerge w:val="restart"/>
          </w:tcPr>
          <w:p>
            <w:pPr>
              <w:spacing w:after="0" w:line="210" w:lineRule="exact"/>
              <w:rPr>
                <w:sz w:val="20"/>
                <w:szCs w:val="20"/>
                <w:color w:val="auto"/>
              </w:rPr>
            </w:pPr>
            <w:r>
              <w:rPr>
                <w:rFonts w:ascii="Times New Roman" w:cs="Times New Roman" w:eastAsia="Times New Roman" w:hAnsi="Times New Roman"/>
                <w:sz w:val="20"/>
                <w:szCs w:val="20"/>
                <w:color w:val="4C4C4C"/>
              </w:rPr>
              <w:t>Agreement for Directors and Officers</w:t>
            </w:r>
          </w:p>
        </w:tc>
        <w:tc>
          <w:tcPr>
            <w:tcW w:w="0" w:type="dxa"/>
            <w:vAlign w:val="bottom"/>
          </w:tcPr>
          <w:p>
            <w:pPr>
              <w:spacing w:after="0"/>
              <w:rPr>
                <w:sz w:val="1"/>
                <w:szCs w:val="1"/>
                <w:color w:val="auto"/>
              </w:rPr>
            </w:pPr>
          </w:p>
        </w:tc>
      </w:tr>
      <w:tr>
        <w:trPr>
          <w:trHeight w:val="82"/>
        </w:trPr>
        <w:tc>
          <w:tcPr>
            <w:tcW w:w="1000" w:type="dxa"/>
            <w:vAlign w:val="bottom"/>
          </w:tcPr>
          <w:p>
            <w:pPr>
              <w:spacing w:after="0"/>
              <w:rPr>
                <w:sz w:val="7"/>
                <w:szCs w:val="7"/>
                <w:color w:val="auto"/>
              </w:rPr>
            </w:pPr>
          </w:p>
        </w:tc>
        <w:tc>
          <w:tcPr>
            <w:tcW w:w="34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3000" w:type="dxa"/>
            <w:vAlign w:val="bottom"/>
            <w:tcBorders>
              <w:top w:val="single" w:sz="8" w:color="4C4C4C"/>
            </w:tcBorders>
            <w:gridSpan w:val="3"/>
          </w:tcPr>
          <w:p>
            <w:pPr>
              <w:spacing w:after="0"/>
              <w:rPr>
                <w:sz w:val="20"/>
                <w:szCs w:val="20"/>
                <w:color w:val="auto"/>
              </w:rPr>
            </w:pPr>
            <w:r>
              <w:rPr>
                <w:rFonts w:ascii="Times New Roman" w:cs="Times New Roman" w:eastAsia="Times New Roman" w:hAnsi="Times New Roman"/>
                <w:sz w:val="20"/>
                <w:szCs w:val="20"/>
                <w:color w:val="4C4C4C"/>
              </w:rPr>
              <w:t>Sublease Agreement between the</w:t>
            </w:r>
          </w:p>
        </w:tc>
        <w:tc>
          <w:tcPr>
            <w:tcW w:w="4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ind w:right="540"/>
              <w:spacing w:after="0" w:line="210" w:lineRule="exact"/>
              <w:rPr>
                <w:sz w:val="20"/>
                <w:szCs w:val="20"/>
                <w:color w:val="auto"/>
              </w:rPr>
            </w:pPr>
            <w:r>
              <w:rPr>
                <w:rFonts w:ascii="Times New Roman" w:cs="Times New Roman" w:eastAsia="Times New Roman" w:hAnsi="Times New Roman"/>
                <w:sz w:val="20"/>
                <w:szCs w:val="20"/>
                <w:color w:val="auto"/>
                <w:w w:val="97"/>
              </w:rPr>
              <w:t>10.3</w:t>
            </w:r>
          </w:p>
        </w:tc>
        <w:tc>
          <w:tcPr>
            <w:tcW w:w="2660" w:type="dxa"/>
            <w:vAlign w:val="bottom"/>
            <w:tcBorders>
              <w:top w:val="single" w:sz="8" w:color="4C4C4C"/>
            </w:tcBorders>
            <w:gridSpan w:val="2"/>
          </w:tcPr>
          <w:p>
            <w:pPr>
              <w:spacing w:after="0" w:line="210" w:lineRule="exact"/>
              <w:rPr>
                <w:sz w:val="20"/>
                <w:szCs w:val="20"/>
                <w:color w:val="auto"/>
              </w:rPr>
            </w:pPr>
            <w:r>
              <w:rPr>
                <w:rFonts w:ascii="Times New Roman" w:cs="Times New Roman" w:eastAsia="Times New Roman" w:hAnsi="Times New Roman"/>
                <w:sz w:val="20"/>
                <w:szCs w:val="20"/>
                <w:color w:val="4C4C4C"/>
              </w:rPr>
              <w:t>Registrant and Box, Inc., dated</w:t>
            </w:r>
          </w:p>
        </w:tc>
        <w:tc>
          <w:tcPr>
            <w:tcW w:w="8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4C4C4C"/>
                <w:w w:val="93"/>
              </w:rPr>
              <w:t>September</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00" w:type="dxa"/>
            <w:vAlign w:val="bottom"/>
            <w:tcBorders>
              <w:top w:val="single" w:sz="8" w:color="4C4C4C"/>
              <w:bottom w:val="single" w:sz="8" w:color="4C4C4C"/>
            </w:tcBorders>
          </w:tcPr>
          <w:p>
            <w:pPr>
              <w:spacing w:after="0" w:line="210" w:lineRule="exact"/>
              <w:rPr>
                <w:sz w:val="20"/>
                <w:szCs w:val="20"/>
                <w:color w:val="auto"/>
              </w:rPr>
            </w:pPr>
            <w:r>
              <w:rPr>
                <w:rFonts w:ascii="Times New Roman" w:cs="Times New Roman" w:eastAsia="Times New Roman" w:hAnsi="Times New Roman"/>
                <w:sz w:val="20"/>
                <w:szCs w:val="20"/>
                <w:color w:val="4C4C4C"/>
                <w:w w:val="96"/>
              </w:rPr>
              <w:t>7, 2022</w:t>
            </w:r>
          </w:p>
        </w:tc>
        <w:tc>
          <w:tcPr>
            <w:tcW w:w="2060" w:type="dxa"/>
            <w:vAlign w:val="bottom"/>
            <w:tcBorders>
              <w:top w:val="single" w:sz="8" w:color="4C4C4C"/>
            </w:tcBorders>
          </w:tcPr>
          <w:p>
            <w:pPr>
              <w:spacing w:after="0"/>
              <w:rPr>
                <w:sz w:val="18"/>
                <w:szCs w:val="18"/>
                <w:color w:val="auto"/>
              </w:rPr>
            </w:pPr>
          </w:p>
        </w:tc>
        <w:tc>
          <w:tcPr>
            <w:tcW w:w="340" w:type="dxa"/>
            <w:vAlign w:val="bottom"/>
            <w:tcBorders>
              <w:top w:val="single" w:sz="8" w:color="4C4C4C"/>
            </w:tcBorders>
          </w:tcPr>
          <w:p>
            <w:pPr>
              <w:spacing w:after="0"/>
              <w:rPr>
                <w:sz w:val="18"/>
                <w:szCs w:val="18"/>
                <w:color w:val="auto"/>
              </w:rPr>
            </w:pPr>
          </w:p>
        </w:tc>
        <w:tc>
          <w:tcPr>
            <w:tcW w:w="380" w:type="dxa"/>
            <w:vAlign w:val="bottom"/>
            <w:tcBorders>
              <w:top w:val="single" w:sz="8" w:color="4C4C4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5/16/2022</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74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9/9/2022</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bl>
    <w:p>
      <w:pPr>
        <w:spacing w:after="0" w:line="406" w:lineRule="exact"/>
        <w:rPr>
          <w:sz w:val="20"/>
          <w:szCs w:val="20"/>
          <w:color w:val="auto"/>
        </w:rPr>
      </w:pPr>
    </w:p>
    <w:p>
      <w:pPr>
        <w:sectPr>
          <w:pgSz w:w="12240" w:h="15840" w:orient="portrait"/>
          <w:cols w:equalWidth="0" w:num="2">
            <w:col w:w="4480" w:space="220"/>
            <w:col w:w="5380"/>
          </w:cols>
          <w:pgMar w:left="1080" w:top="1056" w:right="1080" w:bottom="175" w:gutter="0" w:footer="0" w:header="0"/>
          <w:type w:val="continuous"/>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10080"/>
          </w:cols>
          <w:pgMar w:left="1080" w:top="1056" w:right="1080" w:bottom="175"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p>
        </w:tc>
        <w:tc>
          <w:tcPr>
            <w:tcW w:w="3480" w:type="dxa"/>
            <w:vAlign w:val="bottom"/>
            <w:gridSpan w:val="36"/>
          </w:tcPr>
          <w:p>
            <w:pPr>
              <w:spacing w:after="0"/>
              <w:rPr>
                <w:sz w:val="20"/>
                <w:szCs w:val="20"/>
                <w:color w:val="auto"/>
              </w:rPr>
            </w:pPr>
            <w:r>
              <w:rPr>
                <w:rFonts w:ascii="Times New Roman" w:cs="Times New Roman" w:eastAsia="Times New Roman" w:hAnsi="Times New Roman"/>
                <w:sz w:val="20"/>
                <w:szCs w:val="20"/>
                <w:color w:val="4C4C4C"/>
              </w:rPr>
              <w:t>Equity Distribution Agreement, dated</w:t>
            </w:r>
          </w:p>
        </w:tc>
        <w:tc>
          <w:tcPr>
            <w:tcW w:w="0" w:type="dxa"/>
            <w:vAlign w:val="bottom"/>
          </w:tcPr>
          <w:p>
            <w:pPr>
              <w:spacing w:after="0"/>
              <w:rPr>
                <w:sz w:val="1"/>
                <w:szCs w:val="1"/>
                <w:color w:val="auto"/>
              </w:rPr>
            </w:pPr>
          </w:p>
        </w:tc>
      </w:tr>
      <w:tr>
        <w:trPr>
          <w:trHeight w:val="210"/>
        </w:trPr>
        <w:tc>
          <w:tcPr>
            <w:tcW w:w="10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10.4</w:t>
            </w:r>
          </w:p>
        </w:tc>
        <w:tc>
          <w:tcPr>
            <w:tcW w:w="3040" w:type="dxa"/>
            <w:vAlign w:val="bottom"/>
            <w:tcBorders>
              <w:top w:val="single" w:sz="8" w:color="4C4C4C"/>
            </w:tcBorders>
            <w:gridSpan w:val="21"/>
          </w:tcPr>
          <w:p>
            <w:pPr>
              <w:spacing w:after="0" w:line="210" w:lineRule="exact"/>
              <w:rPr>
                <w:sz w:val="20"/>
                <w:szCs w:val="20"/>
                <w:color w:val="auto"/>
              </w:rPr>
            </w:pPr>
            <w:r>
              <w:rPr>
                <w:rFonts w:ascii="Times New Roman" w:cs="Times New Roman" w:eastAsia="Times New Roman" w:hAnsi="Times New Roman"/>
                <w:sz w:val="20"/>
                <w:szCs w:val="20"/>
                <w:color w:val="4C4C4C"/>
              </w:rPr>
              <w:t>November 25, 2022, by and between</w:t>
            </w:r>
          </w:p>
        </w:tc>
        <w:tc>
          <w:tcPr>
            <w:tcW w:w="440" w:type="dxa"/>
            <w:vAlign w:val="bottom"/>
            <w:gridSpan w:val="15"/>
          </w:tcPr>
          <w:p>
            <w:pPr>
              <w:spacing w:after="0" w:line="210" w:lineRule="exact"/>
              <w:rPr>
                <w:sz w:val="20"/>
                <w:szCs w:val="20"/>
                <w:color w:val="auto"/>
              </w:rPr>
            </w:pPr>
            <w:r>
              <w:rPr>
                <w:rFonts w:ascii="Times New Roman" w:cs="Times New Roman" w:eastAsia="Times New Roman" w:hAnsi="Times New Roman"/>
                <w:sz w:val="20"/>
                <w:szCs w:val="20"/>
                <w:color w:val="4C4C4C"/>
              </w:rPr>
              <w:t>the</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300" w:type="dxa"/>
            <w:vAlign w:val="bottom"/>
            <w:tcBorders>
              <w:top w:val="single" w:sz="8" w:color="4C4C4C"/>
            </w:tcBorders>
            <w:gridSpan w:val="31"/>
          </w:tcPr>
          <w:p>
            <w:pPr>
              <w:spacing w:after="0" w:line="210" w:lineRule="exact"/>
              <w:rPr>
                <w:sz w:val="20"/>
                <w:szCs w:val="20"/>
                <w:color w:val="auto"/>
              </w:rPr>
            </w:pPr>
            <w:r>
              <w:rPr>
                <w:rFonts w:ascii="Times New Roman" w:cs="Times New Roman" w:eastAsia="Times New Roman" w:hAnsi="Times New Roman"/>
                <w:sz w:val="20"/>
                <w:szCs w:val="20"/>
                <w:color w:val="4C4C4C"/>
              </w:rPr>
              <w:t>Company and Piper Sandler &amp; Co.</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1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380" w:type="dxa"/>
            <w:vAlign w:val="bottom"/>
            <w:shd w:val="clear" w:color="auto" w:fill="4C4C4C"/>
          </w:tcPr>
          <w:p>
            <w:pPr>
              <w:spacing w:after="0" w:line="20" w:lineRule="exact"/>
              <w:rPr>
                <w:sz w:val="1"/>
                <w:szCs w:val="1"/>
                <w:color w:val="auto"/>
              </w:rPr>
            </w:pPr>
          </w:p>
        </w:tc>
        <w:tc>
          <w:tcPr>
            <w:tcW w:w="140" w:type="dxa"/>
            <w:vAlign w:val="bottom"/>
            <w:shd w:val="clear" w:color="auto" w:fill="4C4C4C"/>
          </w:tcPr>
          <w:p>
            <w:pPr>
              <w:spacing w:after="0" w:line="20" w:lineRule="exact"/>
              <w:rPr>
                <w:sz w:val="1"/>
                <w:szCs w:val="1"/>
                <w:color w:val="auto"/>
              </w:rPr>
            </w:pPr>
          </w:p>
        </w:tc>
        <w:tc>
          <w:tcPr>
            <w:tcW w:w="20" w:type="dxa"/>
            <w:vAlign w:val="bottom"/>
            <w:shd w:val="clear" w:color="auto" w:fill="4C4C4C"/>
          </w:tcPr>
          <w:p>
            <w:pPr>
              <w:spacing w:after="0" w:line="20" w:lineRule="exact"/>
              <w:rPr>
                <w:sz w:val="1"/>
                <w:szCs w:val="1"/>
                <w:color w:val="auto"/>
              </w:rPr>
            </w:pPr>
          </w:p>
        </w:tc>
        <w:tc>
          <w:tcPr>
            <w:tcW w:w="420" w:type="dxa"/>
            <w:vAlign w:val="bottom"/>
            <w:shd w:val="clear" w:color="auto" w:fill="4C4C4C"/>
          </w:tcPr>
          <w:p>
            <w:pPr>
              <w:spacing w:after="0" w:line="20" w:lineRule="exact"/>
              <w:rPr>
                <w:sz w:val="1"/>
                <w:szCs w:val="1"/>
                <w:color w:val="auto"/>
              </w:rPr>
            </w:pPr>
          </w:p>
        </w:tc>
        <w:tc>
          <w:tcPr>
            <w:tcW w:w="20" w:type="dxa"/>
            <w:vAlign w:val="bottom"/>
            <w:shd w:val="clear" w:color="auto" w:fill="4C4C4C"/>
          </w:tcPr>
          <w:p>
            <w:pPr>
              <w:spacing w:after="0" w:line="20" w:lineRule="exact"/>
              <w:rPr>
                <w:sz w:val="1"/>
                <w:szCs w:val="1"/>
                <w:color w:val="auto"/>
              </w:rPr>
            </w:pPr>
          </w:p>
        </w:tc>
        <w:tc>
          <w:tcPr>
            <w:tcW w:w="200" w:type="dxa"/>
            <w:vAlign w:val="bottom"/>
            <w:shd w:val="clear" w:color="auto" w:fill="4C4C4C"/>
          </w:tcPr>
          <w:p>
            <w:pPr>
              <w:spacing w:after="0" w:line="20" w:lineRule="exact"/>
              <w:rPr>
                <w:sz w:val="1"/>
                <w:szCs w:val="1"/>
                <w:color w:val="auto"/>
              </w:rPr>
            </w:pPr>
          </w:p>
        </w:tc>
        <w:tc>
          <w:tcPr>
            <w:tcW w:w="100" w:type="dxa"/>
            <w:vAlign w:val="bottom"/>
            <w:shd w:val="clear" w:color="auto" w:fill="4C4C4C"/>
          </w:tcPr>
          <w:p>
            <w:pPr>
              <w:spacing w:after="0" w:line="20" w:lineRule="exact"/>
              <w:rPr>
                <w:sz w:val="1"/>
                <w:szCs w:val="1"/>
                <w:color w:val="auto"/>
              </w:rPr>
            </w:pPr>
          </w:p>
        </w:tc>
        <w:tc>
          <w:tcPr>
            <w:tcW w:w="160" w:type="dxa"/>
            <w:vAlign w:val="bottom"/>
            <w:shd w:val="clear" w:color="auto" w:fill="4C4C4C"/>
          </w:tcPr>
          <w:p>
            <w:pPr>
              <w:spacing w:after="0" w:line="20" w:lineRule="exact"/>
              <w:rPr>
                <w:sz w:val="1"/>
                <w:szCs w:val="1"/>
                <w:color w:val="auto"/>
              </w:rPr>
            </w:pPr>
          </w:p>
        </w:tc>
        <w:tc>
          <w:tcPr>
            <w:tcW w:w="80" w:type="dxa"/>
            <w:vAlign w:val="bottom"/>
            <w:shd w:val="clear" w:color="auto" w:fill="4C4C4C"/>
          </w:tcPr>
          <w:p>
            <w:pPr>
              <w:spacing w:after="0" w:line="20" w:lineRule="exact"/>
              <w:rPr>
                <w:sz w:val="1"/>
                <w:szCs w:val="1"/>
                <w:color w:val="auto"/>
              </w:rPr>
            </w:pPr>
          </w:p>
        </w:tc>
        <w:tc>
          <w:tcPr>
            <w:tcW w:w="40" w:type="dxa"/>
            <w:vAlign w:val="bottom"/>
            <w:tcBorders>
              <w:right w:val="single" w:sz="8" w:color="4C4C4C"/>
            </w:tcBorders>
            <w:shd w:val="clear" w:color="auto" w:fill="4C4C4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10.5(a)#</w:t>
            </w:r>
          </w:p>
        </w:tc>
        <w:tc>
          <w:tcPr>
            <w:tcW w:w="3160" w:type="dxa"/>
            <w:vAlign w:val="bottom"/>
            <w:tcBorders>
              <w:bottom w:val="single" w:sz="8" w:color="4C4C4C"/>
            </w:tcBorders>
            <w:gridSpan w:val="24"/>
          </w:tcPr>
          <w:p>
            <w:pPr>
              <w:spacing w:after="0"/>
              <w:rPr>
                <w:sz w:val="20"/>
                <w:szCs w:val="20"/>
                <w:color w:val="auto"/>
              </w:rPr>
            </w:pPr>
            <w:r>
              <w:rPr>
                <w:rFonts w:ascii="Times New Roman" w:cs="Times New Roman" w:eastAsia="Times New Roman" w:hAnsi="Times New Roman"/>
                <w:sz w:val="20"/>
                <w:szCs w:val="20"/>
                <w:color w:val="4C4C4C"/>
                <w:w w:val="99"/>
              </w:rPr>
              <w:t>Form Executive Change in Control and</w:t>
            </w:r>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1760" w:type="dxa"/>
            <w:vAlign w:val="bottom"/>
            <w:gridSpan w:val="9"/>
            <w:vMerge w:val="restart"/>
          </w:tcPr>
          <w:p>
            <w:pPr>
              <w:spacing w:after="0" w:line="210" w:lineRule="exact"/>
              <w:rPr>
                <w:sz w:val="20"/>
                <w:szCs w:val="20"/>
                <w:color w:val="auto"/>
              </w:rPr>
            </w:pPr>
            <w:r>
              <w:rPr>
                <w:rFonts w:ascii="Times New Roman" w:cs="Times New Roman" w:eastAsia="Times New Roman" w:hAnsi="Times New Roman"/>
                <w:sz w:val="20"/>
                <w:szCs w:val="20"/>
                <w:color w:val="4C4C4C"/>
                <w:w w:val="98"/>
              </w:rPr>
              <w:t>Severance Agreement</w:t>
            </w:r>
          </w:p>
        </w:tc>
        <w:tc>
          <w:tcPr>
            <w:tcW w:w="1720" w:type="dxa"/>
            <w:vAlign w:val="bottom"/>
            <w:gridSpan w:val="2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000" w:type="dxa"/>
            <w:vAlign w:val="bottom"/>
          </w:tcPr>
          <w:p>
            <w:pPr>
              <w:spacing w:after="0"/>
              <w:rPr>
                <w:sz w:val="7"/>
                <w:szCs w:val="7"/>
                <w:color w:val="auto"/>
              </w:rPr>
            </w:pPr>
          </w:p>
        </w:tc>
        <w:tc>
          <w:tcPr>
            <w:tcW w:w="1760" w:type="dxa"/>
            <w:vAlign w:val="bottom"/>
            <w:tcBorders>
              <w:bottom w:val="single" w:sz="8" w:color="4C4C4C"/>
            </w:tcBorders>
            <w:gridSpan w:val="9"/>
            <w:vMerge w:val="continue"/>
          </w:tcPr>
          <w:p>
            <w:pPr>
              <w:spacing w:after="0"/>
              <w:rPr>
                <w:sz w:val="7"/>
                <w:szCs w:val="7"/>
                <w:color w:val="auto"/>
              </w:rPr>
            </w:pPr>
          </w:p>
        </w:tc>
        <w:tc>
          <w:tcPr>
            <w:tcW w:w="1720" w:type="dxa"/>
            <w:vAlign w:val="bottom"/>
            <w:gridSpan w:val="2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10.5(b)#</w:t>
            </w:r>
          </w:p>
        </w:tc>
        <w:tc>
          <w:tcPr>
            <w:tcW w:w="3180" w:type="dxa"/>
            <w:vAlign w:val="bottom"/>
            <w:tcBorders>
              <w:bottom w:val="single" w:sz="8" w:color="4C4C4C"/>
            </w:tcBorders>
            <w:gridSpan w:val="25"/>
          </w:tcPr>
          <w:p>
            <w:pPr>
              <w:spacing w:after="0"/>
              <w:rPr>
                <w:sz w:val="20"/>
                <w:szCs w:val="20"/>
                <w:color w:val="auto"/>
              </w:rPr>
            </w:pPr>
            <w:r>
              <w:rPr>
                <w:rFonts w:ascii="Times New Roman" w:cs="Times New Roman" w:eastAsia="Times New Roman" w:hAnsi="Times New Roman"/>
                <w:sz w:val="20"/>
                <w:szCs w:val="20"/>
                <w:color w:val="4C4C4C"/>
                <w:w w:val="99"/>
              </w:rPr>
              <w:t>Form of First Amendment to Change in</w:t>
            </w:r>
          </w:p>
        </w:tc>
        <w:tc>
          <w:tcPr>
            <w:tcW w:w="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2780" w:type="dxa"/>
            <w:vAlign w:val="bottom"/>
            <w:gridSpan w:val="16"/>
            <w:vMerge w:val="restart"/>
          </w:tcPr>
          <w:p>
            <w:pPr>
              <w:spacing w:after="0" w:line="210" w:lineRule="exact"/>
              <w:rPr>
                <w:sz w:val="20"/>
                <w:szCs w:val="20"/>
                <w:color w:val="auto"/>
              </w:rPr>
            </w:pPr>
            <w:r>
              <w:rPr>
                <w:rFonts w:ascii="Times New Roman" w:cs="Times New Roman" w:eastAsia="Times New Roman" w:hAnsi="Times New Roman"/>
                <w:sz w:val="20"/>
                <w:szCs w:val="20"/>
                <w:color w:val="4C4C4C"/>
                <w:w w:val="99"/>
              </w:rPr>
              <w:t>Control and Severance Agreement</w:t>
            </w:r>
          </w:p>
        </w:tc>
        <w:tc>
          <w:tcPr>
            <w:tcW w:w="700" w:type="dxa"/>
            <w:vAlign w:val="bottom"/>
            <w:gridSpan w:val="2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000" w:type="dxa"/>
            <w:vAlign w:val="bottom"/>
          </w:tcPr>
          <w:p>
            <w:pPr>
              <w:spacing w:after="0"/>
              <w:rPr>
                <w:sz w:val="7"/>
                <w:szCs w:val="7"/>
                <w:color w:val="auto"/>
              </w:rPr>
            </w:pPr>
          </w:p>
        </w:tc>
        <w:tc>
          <w:tcPr>
            <w:tcW w:w="2780" w:type="dxa"/>
            <w:vAlign w:val="bottom"/>
            <w:tcBorders>
              <w:bottom w:val="single" w:sz="8" w:color="4C4C4C"/>
            </w:tcBorders>
            <w:gridSpan w:val="16"/>
            <w:vMerge w:val="continue"/>
          </w:tcPr>
          <w:p>
            <w:pPr>
              <w:spacing w:after="0"/>
              <w:rPr>
                <w:sz w:val="7"/>
                <w:szCs w:val="7"/>
                <w:color w:val="auto"/>
              </w:rPr>
            </w:pPr>
          </w:p>
        </w:tc>
        <w:tc>
          <w:tcPr>
            <w:tcW w:w="700" w:type="dxa"/>
            <w:vAlign w:val="bottom"/>
            <w:gridSpan w:val="2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3480" w:type="dxa"/>
            <w:vAlign w:val="bottom"/>
            <w:gridSpan w:val="36"/>
          </w:tcPr>
          <w:p>
            <w:pPr>
              <w:spacing w:after="0"/>
              <w:rPr>
                <w:sz w:val="20"/>
                <w:szCs w:val="20"/>
                <w:color w:val="auto"/>
              </w:rPr>
            </w:pPr>
            <w:r>
              <w:rPr>
                <w:rFonts w:ascii="Times New Roman" w:cs="Times New Roman" w:eastAsia="Times New Roman" w:hAnsi="Times New Roman"/>
                <w:sz w:val="20"/>
                <w:szCs w:val="20"/>
                <w:color w:val="4C4C4C"/>
              </w:rPr>
              <w:t>Updated Form Executive Change in</w:t>
            </w:r>
          </w:p>
        </w:tc>
        <w:tc>
          <w:tcPr>
            <w:tcW w:w="0" w:type="dxa"/>
            <w:vAlign w:val="bottom"/>
          </w:tcPr>
          <w:p>
            <w:pPr>
              <w:spacing w:after="0"/>
              <w:rPr>
                <w:sz w:val="1"/>
                <w:szCs w:val="1"/>
                <w:color w:val="auto"/>
              </w:rPr>
            </w:pPr>
          </w:p>
        </w:tc>
      </w:tr>
      <w:tr>
        <w:trPr>
          <w:trHeight w:val="210"/>
        </w:trPr>
        <w:tc>
          <w:tcPr>
            <w:tcW w:w="10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10.5(c)#</w:t>
            </w:r>
          </w:p>
        </w:tc>
        <w:tc>
          <w:tcPr>
            <w:tcW w:w="2880" w:type="dxa"/>
            <w:vAlign w:val="bottom"/>
            <w:tcBorders>
              <w:top w:val="single" w:sz="8" w:color="4C4C4C"/>
            </w:tcBorders>
            <w:gridSpan w:val="18"/>
          </w:tcPr>
          <w:p>
            <w:pPr>
              <w:spacing w:after="0" w:line="210" w:lineRule="exact"/>
              <w:rPr>
                <w:sz w:val="20"/>
                <w:szCs w:val="20"/>
                <w:color w:val="auto"/>
              </w:rPr>
            </w:pPr>
            <w:r>
              <w:rPr>
                <w:rFonts w:ascii="Times New Roman" w:cs="Times New Roman" w:eastAsia="Times New Roman" w:hAnsi="Times New Roman"/>
                <w:sz w:val="20"/>
                <w:szCs w:val="20"/>
                <w:color w:val="4C4C4C"/>
              </w:rPr>
              <w:t>Control and Severance Agreement</w:t>
            </w:r>
          </w:p>
        </w:tc>
        <w:tc>
          <w:tcPr>
            <w:tcW w:w="600" w:type="dxa"/>
            <w:vAlign w:val="bottom"/>
            <w:gridSpan w:val="18"/>
          </w:tcPr>
          <w:p>
            <w:pPr>
              <w:spacing w:after="0" w:line="210" w:lineRule="exact"/>
              <w:rPr>
                <w:sz w:val="20"/>
                <w:szCs w:val="20"/>
                <w:color w:val="auto"/>
              </w:rPr>
            </w:pPr>
            <w:r>
              <w:rPr>
                <w:rFonts w:ascii="Times New Roman" w:cs="Times New Roman" w:eastAsia="Times New Roman" w:hAnsi="Times New Roman"/>
                <w:sz w:val="20"/>
                <w:szCs w:val="20"/>
                <w:color w:val="4C4C4C"/>
                <w:w w:val="91"/>
              </w:rPr>
              <w:t>adopted</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600" w:type="dxa"/>
            <w:vAlign w:val="bottom"/>
            <w:tcBorders>
              <w:top w:val="single" w:sz="8" w:color="4C4C4C"/>
              <w:bottom w:val="single" w:sz="8" w:color="4C4C4C"/>
            </w:tcBorders>
            <w:gridSpan w:val="7"/>
          </w:tcPr>
          <w:p>
            <w:pPr>
              <w:spacing w:after="0" w:line="210" w:lineRule="exact"/>
              <w:rPr>
                <w:sz w:val="20"/>
                <w:szCs w:val="20"/>
                <w:color w:val="auto"/>
              </w:rPr>
            </w:pPr>
            <w:r>
              <w:rPr>
                <w:rFonts w:ascii="Times New Roman" w:cs="Times New Roman" w:eastAsia="Times New Roman" w:hAnsi="Times New Roman"/>
                <w:sz w:val="20"/>
                <w:szCs w:val="20"/>
                <w:color w:val="4C4C4C"/>
                <w:w w:val="99"/>
              </w:rPr>
              <w:t>November 13, 2023</w:t>
            </w:r>
          </w:p>
        </w:tc>
        <w:tc>
          <w:tcPr>
            <w:tcW w:w="1860" w:type="dxa"/>
            <w:vAlign w:val="bottom"/>
            <w:tcBorders>
              <w:top w:val="single" w:sz="8" w:color="4C4C4C"/>
            </w:tcBorders>
            <w:gridSpan w:val="2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10.6(a)#</w:t>
            </w:r>
          </w:p>
        </w:tc>
        <w:tc>
          <w:tcPr>
            <w:tcW w:w="3480" w:type="dxa"/>
            <w:vAlign w:val="bottom"/>
            <w:gridSpan w:val="36"/>
          </w:tcPr>
          <w:p>
            <w:pPr>
              <w:spacing w:after="0"/>
              <w:rPr>
                <w:sz w:val="20"/>
                <w:szCs w:val="20"/>
                <w:color w:val="auto"/>
              </w:rPr>
            </w:pPr>
            <w:r>
              <w:rPr>
                <w:rFonts w:ascii="Times New Roman" w:cs="Times New Roman" w:eastAsia="Times New Roman" w:hAnsi="Times New Roman"/>
                <w:sz w:val="20"/>
                <w:szCs w:val="20"/>
                <w:color w:val="4C4C4C"/>
              </w:rPr>
              <w:t>2020 Equity Incentive Plan</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1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520" w:type="dxa"/>
            <w:vAlign w:val="bottom"/>
            <w:gridSpan w:val="2"/>
            <w:shd w:val="clear" w:color="auto" w:fill="4C4C4C"/>
          </w:tcPr>
          <w:p>
            <w:pPr>
              <w:spacing w:after="0" w:line="20" w:lineRule="exact"/>
              <w:rPr>
                <w:sz w:val="1"/>
                <w:szCs w:val="1"/>
                <w:color w:val="auto"/>
              </w:rPr>
            </w:pPr>
          </w:p>
        </w:tc>
        <w:tc>
          <w:tcPr>
            <w:tcW w:w="440" w:type="dxa"/>
            <w:vAlign w:val="bottom"/>
            <w:gridSpan w:val="2"/>
            <w:shd w:val="clear" w:color="auto" w:fill="4C4C4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10.6(b)#</w:t>
            </w:r>
          </w:p>
        </w:tc>
        <w:tc>
          <w:tcPr>
            <w:tcW w:w="3240" w:type="dxa"/>
            <w:vAlign w:val="bottom"/>
            <w:tcBorders>
              <w:bottom w:val="single" w:sz="8" w:color="4C4C4C"/>
            </w:tcBorders>
            <w:gridSpan w:val="28"/>
          </w:tcPr>
          <w:p>
            <w:pPr>
              <w:spacing w:after="0"/>
              <w:rPr>
                <w:sz w:val="20"/>
                <w:szCs w:val="20"/>
                <w:color w:val="auto"/>
              </w:rPr>
            </w:pPr>
            <w:r>
              <w:rPr>
                <w:rFonts w:ascii="Times New Roman" w:cs="Times New Roman" w:eastAsia="Times New Roman" w:hAnsi="Times New Roman"/>
                <w:sz w:val="20"/>
                <w:szCs w:val="20"/>
                <w:color w:val="4C4C4C"/>
              </w:rPr>
              <w:t>Form of Stock Option Agreement under</w:t>
            </w:r>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480" w:type="dxa"/>
            <w:vAlign w:val="bottom"/>
            <w:gridSpan w:val="36"/>
            <w:vMerge w:val="restart"/>
          </w:tcPr>
          <w:p>
            <w:pPr>
              <w:spacing w:after="0" w:line="210" w:lineRule="exact"/>
              <w:rPr>
                <w:sz w:val="20"/>
                <w:szCs w:val="20"/>
                <w:color w:val="auto"/>
              </w:rPr>
            </w:pPr>
            <w:r>
              <w:rPr>
                <w:rFonts w:ascii="Times New Roman" w:cs="Times New Roman" w:eastAsia="Times New Roman" w:hAnsi="Times New Roman"/>
                <w:sz w:val="20"/>
                <w:szCs w:val="20"/>
                <w:color w:val="4C4C4C"/>
              </w:rPr>
              <w:t>2020 Equity Incentive Plan</w:t>
            </w:r>
          </w:p>
        </w:tc>
        <w:tc>
          <w:tcPr>
            <w:tcW w:w="0" w:type="dxa"/>
            <w:vAlign w:val="bottom"/>
          </w:tcPr>
          <w:p>
            <w:pPr>
              <w:spacing w:after="0"/>
              <w:rPr>
                <w:sz w:val="1"/>
                <w:szCs w:val="1"/>
                <w:color w:val="auto"/>
              </w:rPr>
            </w:pPr>
          </w:p>
        </w:tc>
      </w:tr>
      <w:tr>
        <w:trPr>
          <w:trHeight w:val="82"/>
        </w:trPr>
        <w:tc>
          <w:tcPr>
            <w:tcW w:w="1000" w:type="dxa"/>
            <w:vAlign w:val="bottom"/>
          </w:tcPr>
          <w:p>
            <w:pPr>
              <w:spacing w:after="0"/>
              <w:rPr>
                <w:sz w:val="7"/>
                <w:szCs w:val="7"/>
                <w:color w:val="auto"/>
              </w:rPr>
            </w:pPr>
          </w:p>
        </w:tc>
        <w:tc>
          <w:tcPr>
            <w:tcW w:w="3480" w:type="dxa"/>
            <w:vAlign w:val="bottom"/>
            <w:gridSpan w:val="3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1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520" w:type="dxa"/>
            <w:vAlign w:val="bottom"/>
            <w:gridSpan w:val="2"/>
            <w:shd w:val="clear" w:color="auto" w:fill="4C4C4C"/>
          </w:tcPr>
          <w:p>
            <w:pPr>
              <w:spacing w:after="0" w:line="20" w:lineRule="exact"/>
              <w:rPr>
                <w:sz w:val="1"/>
                <w:szCs w:val="1"/>
                <w:color w:val="auto"/>
              </w:rPr>
            </w:pPr>
          </w:p>
        </w:tc>
        <w:tc>
          <w:tcPr>
            <w:tcW w:w="440" w:type="dxa"/>
            <w:vAlign w:val="bottom"/>
            <w:gridSpan w:val="2"/>
            <w:shd w:val="clear" w:color="auto" w:fill="4C4C4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10.7(a)#</w:t>
            </w:r>
          </w:p>
        </w:tc>
        <w:tc>
          <w:tcPr>
            <w:tcW w:w="2200" w:type="dxa"/>
            <w:vAlign w:val="bottom"/>
            <w:tcBorders>
              <w:bottom w:val="single" w:sz="8" w:color="4C4C4C"/>
            </w:tcBorders>
            <w:gridSpan w:val="11"/>
          </w:tcPr>
          <w:p>
            <w:pPr>
              <w:spacing w:after="0"/>
              <w:rPr>
                <w:sz w:val="20"/>
                <w:szCs w:val="20"/>
                <w:color w:val="auto"/>
              </w:rPr>
            </w:pPr>
            <w:r>
              <w:rPr>
                <w:rFonts w:ascii="Times New Roman" w:cs="Times New Roman" w:eastAsia="Times New Roman" w:hAnsi="Times New Roman"/>
                <w:sz w:val="20"/>
                <w:szCs w:val="20"/>
                <w:color w:val="4C4C4C"/>
                <w:w w:val="99"/>
              </w:rPr>
              <w:t>2021 Incentive Award Plan</w:t>
            </w:r>
          </w:p>
        </w:tc>
        <w:tc>
          <w:tcPr>
            <w:tcW w:w="128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10.7(b)#</w:t>
            </w:r>
          </w:p>
        </w:tc>
        <w:tc>
          <w:tcPr>
            <w:tcW w:w="3480" w:type="dxa"/>
            <w:vAlign w:val="bottom"/>
            <w:gridSpan w:val="36"/>
          </w:tcPr>
          <w:p>
            <w:pPr>
              <w:spacing w:after="0"/>
              <w:rPr>
                <w:sz w:val="20"/>
                <w:szCs w:val="20"/>
                <w:color w:val="auto"/>
              </w:rPr>
            </w:pPr>
            <w:r>
              <w:rPr>
                <w:rFonts w:ascii="Times New Roman" w:cs="Times New Roman" w:eastAsia="Times New Roman" w:hAnsi="Times New Roman"/>
                <w:sz w:val="20"/>
                <w:szCs w:val="20"/>
                <w:color w:val="4C4C4C"/>
              </w:rPr>
              <w:t>Form of Stock Option Grant Notice and</w:t>
            </w: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3200" w:type="dxa"/>
            <w:vAlign w:val="bottom"/>
            <w:tcBorders>
              <w:top w:val="single" w:sz="8" w:color="4C4C4C"/>
              <w:bottom w:val="single" w:sz="8" w:color="4C4C4C"/>
            </w:tcBorders>
            <w:gridSpan w:val="26"/>
          </w:tcPr>
          <w:p>
            <w:pPr>
              <w:spacing w:after="0" w:line="210" w:lineRule="exact"/>
              <w:rPr>
                <w:sz w:val="20"/>
                <w:szCs w:val="20"/>
                <w:color w:val="auto"/>
              </w:rPr>
            </w:pPr>
            <w:r>
              <w:rPr>
                <w:rFonts w:ascii="Times New Roman" w:cs="Times New Roman" w:eastAsia="Times New Roman" w:hAnsi="Times New Roman"/>
                <w:sz w:val="20"/>
                <w:szCs w:val="20"/>
                <w:color w:val="4C4C4C"/>
                <w:w w:val="97"/>
              </w:rPr>
              <w:t>Stock Option Agreement under the 2021</w:t>
            </w:r>
          </w:p>
        </w:tc>
        <w:tc>
          <w:tcPr>
            <w:tcW w:w="20" w:type="dxa"/>
            <w:vAlign w:val="bottom"/>
            <w:tcBorders>
              <w:bottom w:val="single" w:sz="8" w:color="4C4C4C"/>
            </w:tcBorders>
          </w:tcPr>
          <w:p>
            <w:pPr>
              <w:spacing w:after="0"/>
              <w:rPr>
                <w:sz w:val="18"/>
                <w:szCs w:val="18"/>
                <w:color w:val="auto"/>
              </w:rPr>
            </w:pPr>
          </w:p>
        </w:tc>
        <w:tc>
          <w:tcPr>
            <w:tcW w:w="20" w:type="dxa"/>
            <w:vAlign w:val="bottom"/>
            <w:tcBorders>
              <w:bottom w:val="single" w:sz="8" w:color="4C4C4C"/>
            </w:tcBorders>
          </w:tcPr>
          <w:p>
            <w:pPr>
              <w:spacing w:after="0"/>
              <w:rPr>
                <w:sz w:val="18"/>
                <w:szCs w:val="18"/>
                <w:color w:val="auto"/>
              </w:rPr>
            </w:pPr>
          </w:p>
        </w:tc>
        <w:tc>
          <w:tcPr>
            <w:tcW w:w="20" w:type="dxa"/>
            <w:vAlign w:val="bottom"/>
            <w:tcBorders>
              <w:bottom w:val="single" w:sz="8" w:color="4C4C4C"/>
            </w:tcBorders>
          </w:tcPr>
          <w:p>
            <w:pPr>
              <w:spacing w:after="0"/>
              <w:rPr>
                <w:sz w:val="18"/>
                <w:szCs w:val="18"/>
                <w:color w:val="auto"/>
              </w:rPr>
            </w:pPr>
          </w:p>
        </w:tc>
        <w:tc>
          <w:tcPr>
            <w:tcW w:w="20" w:type="dxa"/>
            <w:vAlign w:val="bottom"/>
            <w:tcBorders>
              <w:bottom w:val="single" w:sz="8" w:color="4C4C4C"/>
            </w:tcBorders>
          </w:tcPr>
          <w:p>
            <w:pPr>
              <w:spacing w:after="0"/>
              <w:rPr>
                <w:sz w:val="18"/>
                <w:szCs w:val="18"/>
                <w:color w:val="auto"/>
              </w:rPr>
            </w:pPr>
          </w:p>
        </w:tc>
        <w:tc>
          <w:tcPr>
            <w:tcW w:w="40" w:type="dxa"/>
            <w:vAlign w:val="bottom"/>
            <w:tcBorders>
              <w:bottom w:val="single" w:sz="8" w:color="4C4C4C"/>
            </w:tcBorders>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320" w:type="dxa"/>
            <w:vAlign w:val="bottom"/>
            <w:gridSpan w:val="32"/>
          </w:tcPr>
          <w:p>
            <w:pPr>
              <w:spacing w:after="0" w:line="210" w:lineRule="exact"/>
              <w:rPr>
                <w:sz w:val="20"/>
                <w:szCs w:val="20"/>
                <w:color w:val="auto"/>
              </w:rPr>
            </w:pPr>
            <w:r>
              <w:rPr>
                <w:rFonts w:ascii="Times New Roman" w:cs="Times New Roman" w:eastAsia="Times New Roman" w:hAnsi="Times New Roman"/>
                <w:sz w:val="20"/>
                <w:szCs w:val="20"/>
                <w:color w:val="4C4C4C"/>
              </w:rPr>
              <w:t>Incentive Award Plan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1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520" w:type="dxa"/>
            <w:vAlign w:val="bottom"/>
            <w:gridSpan w:val="2"/>
            <w:shd w:val="clear" w:color="auto" w:fill="4C4C4C"/>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0" w:type="dxa"/>
            <w:vAlign w:val="bottom"/>
          </w:tcPr>
          <w:p>
            <w:pPr>
              <w:spacing w:after="0"/>
              <w:rPr>
                <w:sz w:val="24"/>
                <w:szCs w:val="24"/>
                <w:color w:val="auto"/>
              </w:rPr>
            </w:pPr>
          </w:p>
        </w:tc>
        <w:tc>
          <w:tcPr>
            <w:tcW w:w="3480" w:type="dxa"/>
            <w:vAlign w:val="bottom"/>
            <w:gridSpan w:val="36"/>
          </w:tcPr>
          <w:p>
            <w:pPr>
              <w:spacing w:after="0"/>
              <w:rPr>
                <w:sz w:val="20"/>
                <w:szCs w:val="20"/>
                <w:color w:val="auto"/>
              </w:rPr>
            </w:pPr>
            <w:r>
              <w:rPr>
                <w:rFonts w:ascii="Times New Roman" w:cs="Times New Roman" w:eastAsia="Times New Roman" w:hAnsi="Times New Roman"/>
                <w:sz w:val="20"/>
                <w:szCs w:val="20"/>
                <w:color w:val="4C4C4C"/>
              </w:rPr>
              <w:t>Form of Restricted Stock Award Grant</w:t>
            </w: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10.7(c)#</w:t>
            </w:r>
          </w:p>
        </w:tc>
        <w:tc>
          <w:tcPr>
            <w:tcW w:w="2840" w:type="dxa"/>
            <w:vAlign w:val="bottom"/>
            <w:tcBorders>
              <w:top w:val="single" w:sz="8" w:color="4C4C4C"/>
              <w:bottom w:val="single" w:sz="8" w:color="4C4C4C"/>
            </w:tcBorders>
            <w:gridSpan w:val="17"/>
          </w:tcPr>
          <w:p>
            <w:pPr>
              <w:spacing w:after="0" w:line="210" w:lineRule="exact"/>
              <w:rPr>
                <w:sz w:val="20"/>
                <w:szCs w:val="20"/>
                <w:color w:val="auto"/>
              </w:rPr>
            </w:pPr>
            <w:r>
              <w:rPr>
                <w:rFonts w:ascii="Times New Roman" w:cs="Times New Roman" w:eastAsia="Times New Roman" w:hAnsi="Times New Roman"/>
                <w:sz w:val="20"/>
                <w:szCs w:val="20"/>
                <w:color w:val="4C4C4C"/>
                <w:w w:val="99"/>
              </w:rPr>
              <w:t>Notice and Restricted Stock Award</w:t>
            </w:r>
          </w:p>
        </w:tc>
        <w:tc>
          <w:tcPr>
            <w:tcW w:w="300" w:type="dxa"/>
            <w:vAlign w:val="bottom"/>
            <w:tcBorders>
              <w:top w:val="single" w:sz="8" w:color="4C4C4C"/>
            </w:tcBorders>
            <w:gridSpan w:val="6"/>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480" w:type="dxa"/>
            <w:vAlign w:val="bottom"/>
            <w:gridSpan w:val="36"/>
            <w:vMerge w:val="restart"/>
          </w:tcPr>
          <w:p>
            <w:pPr>
              <w:spacing w:after="0" w:line="210" w:lineRule="exact"/>
              <w:rPr>
                <w:sz w:val="20"/>
                <w:szCs w:val="20"/>
                <w:color w:val="auto"/>
              </w:rPr>
            </w:pPr>
            <w:r>
              <w:rPr>
                <w:rFonts w:ascii="Times New Roman" w:cs="Times New Roman" w:eastAsia="Times New Roman" w:hAnsi="Times New Roman"/>
                <w:sz w:val="20"/>
                <w:szCs w:val="20"/>
                <w:color w:val="4C4C4C"/>
              </w:rPr>
              <w:t>Agreement under the 2021 Incentive</w:t>
            </w:r>
          </w:p>
        </w:tc>
        <w:tc>
          <w:tcPr>
            <w:tcW w:w="0" w:type="dxa"/>
            <w:vAlign w:val="bottom"/>
          </w:tcPr>
          <w:p>
            <w:pPr>
              <w:spacing w:after="0"/>
              <w:rPr>
                <w:sz w:val="1"/>
                <w:szCs w:val="1"/>
                <w:color w:val="auto"/>
              </w:rPr>
            </w:pPr>
          </w:p>
        </w:tc>
      </w:tr>
      <w:tr>
        <w:trPr>
          <w:trHeight w:val="82"/>
        </w:trPr>
        <w:tc>
          <w:tcPr>
            <w:tcW w:w="1000" w:type="dxa"/>
            <w:vAlign w:val="bottom"/>
          </w:tcPr>
          <w:p>
            <w:pPr>
              <w:spacing w:after="0"/>
              <w:rPr>
                <w:sz w:val="7"/>
                <w:szCs w:val="7"/>
                <w:color w:val="auto"/>
              </w:rPr>
            </w:pPr>
          </w:p>
        </w:tc>
        <w:tc>
          <w:tcPr>
            <w:tcW w:w="3480" w:type="dxa"/>
            <w:vAlign w:val="bottom"/>
            <w:gridSpan w:val="3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940" w:type="dxa"/>
            <w:vAlign w:val="bottom"/>
            <w:tcBorders>
              <w:top w:val="single" w:sz="8" w:color="4C4C4C"/>
            </w:tcBorders>
            <w:gridSpan w:val="19"/>
          </w:tcPr>
          <w:p>
            <w:pPr>
              <w:spacing w:after="0" w:line="210" w:lineRule="exact"/>
              <w:rPr>
                <w:sz w:val="20"/>
                <w:szCs w:val="20"/>
                <w:color w:val="auto"/>
              </w:rPr>
            </w:pPr>
            <w:r>
              <w:rPr>
                <w:rFonts w:ascii="Times New Roman" w:cs="Times New Roman" w:eastAsia="Times New Roman" w:hAnsi="Times New Roman"/>
                <w:sz w:val="20"/>
                <w:szCs w:val="20"/>
                <w:color w:val="4C4C4C"/>
              </w:rPr>
              <w:t>Award Plan</w:t>
            </w: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160" w:type="dxa"/>
            <w:vAlign w:val="bottom"/>
            <w:shd w:val="clear" w:color="auto" w:fill="4C4C4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0" w:type="dxa"/>
            <w:vAlign w:val="bottom"/>
          </w:tcPr>
          <w:p>
            <w:pPr>
              <w:spacing w:after="0"/>
              <w:rPr>
                <w:sz w:val="24"/>
                <w:szCs w:val="24"/>
                <w:color w:val="auto"/>
              </w:rPr>
            </w:pPr>
          </w:p>
        </w:tc>
        <w:tc>
          <w:tcPr>
            <w:tcW w:w="3020" w:type="dxa"/>
            <w:vAlign w:val="bottom"/>
            <w:tcBorders>
              <w:bottom w:val="single" w:sz="8" w:color="4C4C4C"/>
            </w:tcBorders>
            <w:gridSpan w:val="20"/>
          </w:tcPr>
          <w:p>
            <w:pPr>
              <w:spacing w:after="0"/>
              <w:rPr>
                <w:sz w:val="20"/>
                <w:szCs w:val="20"/>
                <w:color w:val="auto"/>
              </w:rPr>
            </w:pPr>
            <w:r>
              <w:rPr>
                <w:rFonts w:ascii="Times New Roman" w:cs="Times New Roman" w:eastAsia="Times New Roman" w:hAnsi="Times New Roman"/>
                <w:sz w:val="20"/>
                <w:szCs w:val="20"/>
                <w:color w:val="4C4C4C"/>
                <w:w w:val="99"/>
              </w:rPr>
              <w:t>Form of Restricted Stock Unit Award</w:t>
            </w:r>
          </w:p>
        </w:tc>
        <w:tc>
          <w:tcPr>
            <w:tcW w:w="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10.7(d)#</w:t>
            </w:r>
          </w:p>
        </w:tc>
        <w:tc>
          <w:tcPr>
            <w:tcW w:w="3160" w:type="dxa"/>
            <w:vAlign w:val="bottom"/>
            <w:tcBorders>
              <w:bottom w:val="single" w:sz="8" w:color="4C4C4C"/>
            </w:tcBorders>
            <w:gridSpan w:val="24"/>
          </w:tcPr>
          <w:p>
            <w:pPr>
              <w:spacing w:after="0" w:line="210" w:lineRule="exact"/>
              <w:rPr>
                <w:sz w:val="20"/>
                <w:szCs w:val="20"/>
                <w:color w:val="auto"/>
              </w:rPr>
            </w:pPr>
            <w:r>
              <w:rPr>
                <w:rFonts w:ascii="Times New Roman" w:cs="Times New Roman" w:eastAsia="Times New Roman" w:hAnsi="Times New Roman"/>
                <w:sz w:val="20"/>
                <w:szCs w:val="20"/>
                <w:color w:val="4C4C4C"/>
                <w:w w:val="99"/>
              </w:rPr>
              <w:t>Grant Notice and Restricted Stock Unit</w:t>
            </w:r>
          </w:p>
        </w:tc>
        <w:tc>
          <w:tcPr>
            <w:tcW w:w="32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480" w:type="dxa"/>
            <w:vAlign w:val="bottom"/>
            <w:gridSpan w:val="36"/>
            <w:vMerge w:val="restart"/>
          </w:tcPr>
          <w:p>
            <w:pPr>
              <w:spacing w:after="0" w:line="210" w:lineRule="exact"/>
              <w:rPr>
                <w:sz w:val="20"/>
                <w:szCs w:val="20"/>
                <w:color w:val="auto"/>
              </w:rPr>
            </w:pPr>
            <w:r>
              <w:rPr>
                <w:rFonts w:ascii="Times New Roman" w:cs="Times New Roman" w:eastAsia="Times New Roman" w:hAnsi="Times New Roman"/>
                <w:sz w:val="20"/>
                <w:szCs w:val="20"/>
                <w:color w:val="4C4C4C"/>
              </w:rPr>
              <w:t>Award Agreement under the 2021</w:t>
            </w:r>
          </w:p>
        </w:tc>
        <w:tc>
          <w:tcPr>
            <w:tcW w:w="0" w:type="dxa"/>
            <w:vAlign w:val="bottom"/>
          </w:tcPr>
          <w:p>
            <w:pPr>
              <w:spacing w:after="0"/>
              <w:rPr>
                <w:sz w:val="1"/>
                <w:szCs w:val="1"/>
                <w:color w:val="auto"/>
              </w:rPr>
            </w:pPr>
          </w:p>
        </w:tc>
      </w:tr>
      <w:tr>
        <w:trPr>
          <w:trHeight w:val="82"/>
        </w:trPr>
        <w:tc>
          <w:tcPr>
            <w:tcW w:w="1000" w:type="dxa"/>
            <w:vAlign w:val="bottom"/>
          </w:tcPr>
          <w:p>
            <w:pPr>
              <w:spacing w:after="0"/>
              <w:rPr>
                <w:sz w:val="7"/>
                <w:szCs w:val="7"/>
                <w:color w:val="auto"/>
              </w:rPr>
            </w:pPr>
          </w:p>
        </w:tc>
        <w:tc>
          <w:tcPr>
            <w:tcW w:w="3480" w:type="dxa"/>
            <w:vAlign w:val="bottom"/>
            <w:gridSpan w:val="3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740" w:type="dxa"/>
            <w:vAlign w:val="bottom"/>
            <w:tcBorders>
              <w:top w:val="single" w:sz="8" w:color="4C4C4C"/>
            </w:tcBorders>
            <w:gridSpan w:val="15"/>
          </w:tcPr>
          <w:p>
            <w:pPr>
              <w:spacing w:after="0" w:line="210" w:lineRule="exact"/>
              <w:rPr>
                <w:sz w:val="20"/>
                <w:szCs w:val="20"/>
                <w:color w:val="auto"/>
              </w:rPr>
            </w:pPr>
            <w:r>
              <w:rPr>
                <w:rFonts w:ascii="Times New Roman" w:cs="Times New Roman" w:eastAsia="Times New Roman" w:hAnsi="Times New Roman"/>
                <w:sz w:val="20"/>
                <w:szCs w:val="20"/>
                <w:color w:val="4C4C4C"/>
              </w:rPr>
              <w:t>Incentive Award Plan</w:t>
            </w:r>
          </w:p>
        </w:tc>
        <w:tc>
          <w:tcPr>
            <w:tcW w:w="380" w:type="dxa"/>
            <w:vAlign w:val="bottom"/>
            <w:gridSpan w:val="7"/>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440" w:type="dxa"/>
            <w:vAlign w:val="bottom"/>
            <w:gridSpan w:val="2"/>
            <w:shd w:val="clear" w:color="auto" w:fill="4C4C4C"/>
          </w:tcPr>
          <w:p>
            <w:pPr>
              <w:spacing w:after="0" w:line="20" w:lineRule="exact"/>
              <w:rPr>
                <w:sz w:val="1"/>
                <w:szCs w:val="1"/>
                <w:color w:val="auto"/>
              </w:rPr>
            </w:pPr>
          </w:p>
        </w:tc>
        <w:tc>
          <w:tcPr>
            <w:tcW w:w="520" w:type="dxa"/>
            <w:vAlign w:val="bottom"/>
            <w:gridSpan w:val="2"/>
            <w:shd w:val="clear" w:color="auto" w:fill="4C4C4C"/>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2500" w:type="dxa"/>
            <w:vAlign w:val="bottom"/>
            <w:tcBorders>
              <w:bottom w:val="single" w:sz="8" w:color="4C4C4C"/>
            </w:tcBorders>
            <w:gridSpan w:val="13"/>
          </w:tcPr>
          <w:p>
            <w:pPr>
              <w:spacing w:after="0"/>
              <w:rPr>
                <w:sz w:val="20"/>
                <w:szCs w:val="20"/>
                <w:color w:val="auto"/>
              </w:rPr>
            </w:pPr>
            <w:r>
              <w:rPr>
                <w:rFonts w:ascii="Times New Roman" w:cs="Times New Roman" w:eastAsia="Times New Roman" w:hAnsi="Times New Roman"/>
                <w:sz w:val="20"/>
                <w:szCs w:val="20"/>
                <w:color w:val="4C4C4C"/>
                <w:w w:val="99"/>
              </w:rPr>
              <w:t>Employee Stock Purchase Plan</w:t>
            </w:r>
          </w:p>
        </w:tc>
        <w:tc>
          <w:tcPr>
            <w:tcW w:w="9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10.9#</w:t>
            </w:r>
          </w:p>
        </w:tc>
        <w:tc>
          <w:tcPr>
            <w:tcW w:w="3480" w:type="dxa"/>
            <w:vAlign w:val="bottom"/>
            <w:gridSpan w:val="36"/>
          </w:tcPr>
          <w:p>
            <w:pPr>
              <w:spacing w:after="0"/>
              <w:rPr>
                <w:sz w:val="20"/>
                <w:szCs w:val="20"/>
                <w:color w:val="auto"/>
              </w:rPr>
            </w:pPr>
            <w:r>
              <w:rPr>
                <w:rFonts w:ascii="Times New Roman" w:cs="Times New Roman" w:eastAsia="Times New Roman" w:hAnsi="Times New Roman"/>
                <w:sz w:val="20"/>
                <w:szCs w:val="20"/>
                <w:color w:val="4C4C4C"/>
              </w:rPr>
              <w:t>Employment Offer Letter Agreement by</w:t>
            </w: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3260" w:type="dxa"/>
            <w:vAlign w:val="bottom"/>
            <w:tcBorders>
              <w:top w:val="single" w:sz="8" w:color="4C4C4C"/>
            </w:tcBorders>
            <w:gridSpan w:val="29"/>
          </w:tcPr>
          <w:p>
            <w:pPr>
              <w:spacing w:after="0" w:line="210" w:lineRule="exact"/>
              <w:rPr>
                <w:sz w:val="20"/>
                <w:szCs w:val="20"/>
                <w:color w:val="auto"/>
              </w:rPr>
            </w:pPr>
            <w:r>
              <w:rPr>
                <w:rFonts w:ascii="Times New Roman" w:cs="Times New Roman" w:eastAsia="Times New Roman" w:hAnsi="Times New Roman"/>
                <w:sz w:val="20"/>
                <w:szCs w:val="20"/>
                <w:color w:val="4C4C4C"/>
              </w:rPr>
              <w:t>and between the Registrant and Thomas</w:t>
            </w: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00" w:type="dxa"/>
            <w:vAlign w:val="bottom"/>
            <w:tcBorders>
              <w:top w:val="single" w:sz="8" w:color="4C4C4C"/>
              <w:bottom w:val="single" w:sz="8" w:color="4C4C4C"/>
            </w:tcBorders>
            <w:gridSpan w:val="3"/>
          </w:tcPr>
          <w:p>
            <w:pPr>
              <w:spacing w:after="0" w:line="210" w:lineRule="exact"/>
              <w:rPr>
                <w:sz w:val="20"/>
                <w:szCs w:val="20"/>
                <w:color w:val="auto"/>
              </w:rPr>
            </w:pPr>
            <w:r>
              <w:rPr>
                <w:rFonts w:ascii="Times New Roman" w:cs="Times New Roman" w:eastAsia="Times New Roman" w:hAnsi="Times New Roman"/>
                <w:sz w:val="20"/>
                <w:szCs w:val="20"/>
                <w:color w:val="4C4C4C"/>
                <w:w w:val="95"/>
              </w:rPr>
              <w:t>Butler</w:t>
            </w:r>
          </w:p>
        </w:tc>
        <w:tc>
          <w:tcPr>
            <w:tcW w:w="2720" w:type="dxa"/>
            <w:vAlign w:val="bottom"/>
            <w:tcBorders>
              <w:top w:val="single" w:sz="8" w:color="4C4C4C"/>
            </w:tcBorders>
            <w:gridSpan w:val="24"/>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10.10#</w:t>
            </w:r>
          </w:p>
        </w:tc>
        <w:tc>
          <w:tcPr>
            <w:tcW w:w="3480" w:type="dxa"/>
            <w:vAlign w:val="bottom"/>
            <w:gridSpan w:val="36"/>
          </w:tcPr>
          <w:p>
            <w:pPr>
              <w:spacing w:after="0"/>
              <w:rPr>
                <w:sz w:val="20"/>
                <w:szCs w:val="20"/>
                <w:color w:val="auto"/>
              </w:rPr>
            </w:pPr>
            <w:r>
              <w:rPr>
                <w:rFonts w:ascii="Times New Roman" w:cs="Times New Roman" w:eastAsia="Times New Roman" w:hAnsi="Times New Roman"/>
                <w:sz w:val="20"/>
                <w:szCs w:val="20"/>
                <w:color w:val="4C4C4C"/>
              </w:rPr>
              <w:t>Separation Agreement and Release, dated</w:t>
            </w: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3340" w:type="dxa"/>
            <w:vAlign w:val="bottom"/>
            <w:tcBorders>
              <w:top w:val="single" w:sz="8" w:color="4C4C4C"/>
            </w:tcBorders>
            <w:gridSpan w:val="33"/>
          </w:tcPr>
          <w:p>
            <w:pPr>
              <w:spacing w:after="0" w:line="210" w:lineRule="exact"/>
              <w:rPr>
                <w:sz w:val="20"/>
                <w:szCs w:val="20"/>
                <w:color w:val="auto"/>
              </w:rPr>
            </w:pPr>
            <w:r>
              <w:rPr>
                <w:rFonts w:ascii="Times New Roman" w:cs="Times New Roman" w:eastAsia="Times New Roman" w:hAnsi="Times New Roman"/>
                <w:sz w:val="20"/>
                <w:szCs w:val="20"/>
                <w:color w:val="4C4C4C"/>
              </w:rPr>
              <w:t>May 1, 2025, by and between the</w:t>
            </w: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660" w:type="dxa"/>
            <w:vAlign w:val="bottom"/>
            <w:tcBorders>
              <w:top w:val="single" w:sz="8" w:color="4C4C4C"/>
            </w:tcBorders>
            <w:gridSpan w:val="14"/>
          </w:tcPr>
          <w:p>
            <w:pPr>
              <w:spacing w:after="0" w:line="210" w:lineRule="exact"/>
              <w:rPr>
                <w:sz w:val="20"/>
                <w:szCs w:val="20"/>
                <w:color w:val="auto"/>
              </w:rPr>
            </w:pPr>
            <w:r>
              <w:rPr>
                <w:rFonts w:ascii="Times New Roman" w:cs="Times New Roman" w:eastAsia="Times New Roman" w:hAnsi="Times New Roman"/>
                <w:sz w:val="20"/>
                <w:szCs w:val="20"/>
                <w:color w:val="4C4C4C"/>
              </w:rPr>
              <w:t>Registrant and Thomas Butler</w:t>
            </w:r>
          </w:p>
        </w:tc>
        <w:tc>
          <w:tcPr>
            <w:tcW w:w="460" w:type="dxa"/>
            <w:vAlign w:val="bottom"/>
            <w:gridSpan w:val="8"/>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340" w:type="dxa"/>
            <w:vAlign w:val="bottom"/>
            <w:gridSpan w:val="2"/>
            <w:shd w:val="clear" w:color="auto" w:fill="4C4C4C"/>
          </w:tcPr>
          <w:p>
            <w:pPr>
              <w:spacing w:after="0" w:line="20" w:lineRule="exact"/>
              <w:rPr>
                <w:sz w:val="1"/>
                <w:szCs w:val="1"/>
                <w:color w:val="auto"/>
              </w:rPr>
            </w:pPr>
          </w:p>
        </w:tc>
        <w:tc>
          <w:tcPr>
            <w:tcW w:w="440" w:type="dxa"/>
            <w:vAlign w:val="bottom"/>
            <w:gridSpan w:val="2"/>
            <w:shd w:val="clear" w:color="auto" w:fill="4C4C4C"/>
          </w:tcPr>
          <w:p>
            <w:pPr>
              <w:spacing w:after="0" w:line="20" w:lineRule="exact"/>
              <w:rPr>
                <w:sz w:val="1"/>
                <w:szCs w:val="1"/>
                <w:color w:val="auto"/>
              </w:rPr>
            </w:pPr>
          </w:p>
        </w:tc>
        <w:tc>
          <w:tcPr>
            <w:tcW w:w="1180" w:type="dxa"/>
            <w:vAlign w:val="bottom"/>
            <w:gridSpan w:val="6"/>
            <w:shd w:val="clear" w:color="auto" w:fill="4C4C4C"/>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10.11#</w:t>
            </w:r>
          </w:p>
        </w:tc>
        <w:tc>
          <w:tcPr>
            <w:tcW w:w="3480" w:type="dxa"/>
            <w:vAlign w:val="bottom"/>
            <w:gridSpan w:val="36"/>
          </w:tcPr>
          <w:p>
            <w:pPr>
              <w:spacing w:after="0"/>
              <w:rPr>
                <w:sz w:val="20"/>
                <w:szCs w:val="20"/>
                <w:color w:val="auto"/>
              </w:rPr>
            </w:pPr>
            <w:r>
              <w:rPr>
                <w:rFonts w:ascii="Times New Roman" w:cs="Times New Roman" w:eastAsia="Times New Roman" w:hAnsi="Times New Roman"/>
                <w:sz w:val="20"/>
                <w:szCs w:val="20"/>
                <w:color w:val="4C4C4C"/>
              </w:rPr>
              <w:t>Employment Offer Letter Agreement by</w:t>
            </w: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3260" w:type="dxa"/>
            <w:vAlign w:val="bottom"/>
            <w:tcBorders>
              <w:top w:val="single" w:sz="8" w:color="4C4C4C"/>
            </w:tcBorders>
            <w:gridSpan w:val="29"/>
          </w:tcPr>
          <w:p>
            <w:pPr>
              <w:spacing w:after="0" w:line="210" w:lineRule="exact"/>
              <w:rPr>
                <w:sz w:val="20"/>
                <w:szCs w:val="20"/>
                <w:color w:val="auto"/>
              </w:rPr>
            </w:pPr>
            <w:r>
              <w:rPr>
                <w:rFonts w:ascii="Times New Roman" w:cs="Times New Roman" w:eastAsia="Times New Roman" w:hAnsi="Times New Roman"/>
                <w:sz w:val="20"/>
                <w:szCs w:val="20"/>
                <w:color w:val="4C4C4C"/>
              </w:rPr>
              <w:t>and between the Registrant and Ramses</w:t>
            </w:r>
          </w:p>
        </w:tc>
        <w:tc>
          <w:tcPr>
            <w:tcW w:w="2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80" w:type="dxa"/>
            <w:vAlign w:val="bottom"/>
            <w:tcBorders>
              <w:top w:val="single" w:sz="8" w:color="4C4C4C"/>
            </w:tcBorders>
            <w:gridSpan w:val="25"/>
          </w:tcPr>
          <w:p>
            <w:pPr>
              <w:spacing w:after="0" w:line="210" w:lineRule="exact"/>
              <w:rPr>
                <w:sz w:val="20"/>
                <w:szCs w:val="20"/>
                <w:color w:val="auto"/>
              </w:rPr>
            </w:pPr>
            <w:r>
              <w:rPr>
                <w:rFonts w:ascii="Times New Roman" w:cs="Times New Roman" w:eastAsia="Times New Roman" w:hAnsi="Times New Roman"/>
                <w:sz w:val="20"/>
                <w:szCs w:val="20"/>
                <w:color w:val="4C4C4C"/>
              </w:rPr>
              <w:t>Erdtmann</w:t>
            </w: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340" w:type="dxa"/>
            <w:vAlign w:val="bottom"/>
            <w:gridSpan w:val="2"/>
            <w:shd w:val="clear" w:color="auto" w:fill="4C4C4C"/>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1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10.12#</w:t>
            </w:r>
          </w:p>
        </w:tc>
        <w:tc>
          <w:tcPr>
            <w:tcW w:w="3480" w:type="dxa"/>
            <w:vAlign w:val="bottom"/>
            <w:gridSpan w:val="36"/>
          </w:tcPr>
          <w:p>
            <w:pPr>
              <w:spacing w:after="0"/>
              <w:rPr>
                <w:sz w:val="20"/>
                <w:szCs w:val="20"/>
                <w:color w:val="auto"/>
              </w:rPr>
            </w:pPr>
            <w:r>
              <w:rPr>
                <w:rFonts w:ascii="Times New Roman" w:cs="Times New Roman" w:eastAsia="Times New Roman" w:hAnsi="Times New Roman"/>
                <w:sz w:val="20"/>
                <w:szCs w:val="20"/>
                <w:color w:val="4C4C4C"/>
              </w:rPr>
              <w:t>Employment Offer Letter Agreement by</w:t>
            </w: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3260" w:type="dxa"/>
            <w:vAlign w:val="bottom"/>
            <w:tcBorders>
              <w:top w:val="single" w:sz="8" w:color="4C4C4C"/>
            </w:tcBorders>
            <w:gridSpan w:val="29"/>
          </w:tcPr>
          <w:p>
            <w:pPr>
              <w:spacing w:after="0" w:line="210" w:lineRule="exact"/>
              <w:rPr>
                <w:sz w:val="20"/>
                <w:szCs w:val="20"/>
                <w:color w:val="auto"/>
              </w:rPr>
            </w:pPr>
            <w:r>
              <w:rPr>
                <w:rFonts w:ascii="Times New Roman" w:cs="Times New Roman" w:eastAsia="Times New Roman" w:hAnsi="Times New Roman"/>
                <w:sz w:val="20"/>
                <w:szCs w:val="20"/>
                <w:color w:val="4C4C4C"/>
              </w:rPr>
              <w:t>and between the Registrant and Franco</w:t>
            </w:r>
          </w:p>
        </w:tc>
        <w:tc>
          <w:tcPr>
            <w:tcW w:w="2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40" w:type="dxa"/>
            <w:vAlign w:val="bottom"/>
            <w:tcBorders>
              <w:top w:val="single" w:sz="8" w:color="4C4C4C"/>
              <w:bottom w:val="single" w:sz="8" w:color="4C4C4C"/>
            </w:tcBorders>
            <w:gridSpan w:val="2"/>
          </w:tcPr>
          <w:p>
            <w:pPr>
              <w:spacing w:after="0" w:line="210" w:lineRule="exact"/>
              <w:rPr>
                <w:sz w:val="20"/>
                <w:szCs w:val="20"/>
                <w:color w:val="auto"/>
              </w:rPr>
            </w:pPr>
            <w:r>
              <w:rPr>
                <w:rFonts w:ascii="Times New Roman" w:cs="Times New Roman" w:eastAsia="Times New Roman" w:hAnsi="Times New Roman"/>
                <w:sz w:val="20"/>
                <w:szCs w:val="20"/>
                <w:color w:val="4C4C4C"/>
                <w:w w:val="96"/>
              </w:rPr>
              <w:t>Valle</w:t>
            </w:r>
          </w:p>
        </w:tc>
        <w:tc>
          <w:tcPr>
            <w:tcW w:w="2680" w:type="dxa"/>
            <w:vAlign w:val="bottom"/>
            <w:tcBorders>
              <w:top w:val="single" w:sz="8" w:color="4C4C4C"/>
            </w:tcBorders>
            <w:gridSpan w:val="20"/>
          </w:tcPr>
          <w:p>
            <w:pPr>
              <w:spacing w:after="0"/>
              <w:rPr>
                <w:sz w:val="18"/>
                <w:szCs w:val="18"/>
                <w:color w:val="auto"/>
              </w:rPr>
            </w:pPr>
          </w:p>
        </w:tc>
        <w:tc>
          <w:tcPr>
            <w:tcW w:w="120" w:type="dxa"/>
            <w:vAlign w:val="bottom"/>
            <w:gridSpan w:val="6"/>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10.13#</w:t>
            </w:r>
          </w:p>
        </w:tc>
        <w:tc>
          <w:tcPr>
            <w:tcW w:w="3280" w:type="dxa"/>
            <w:vAlign w:val="bottom"/>
            <w:tcBorders>
              <w:bottom w:val="single" w:sz="8" w:color="4C4C4C"/>
            </w:tcBorders>
            <w:gridSpan w:val="30"/>
          </w:tcPr>
          <w:p>
            <w:pPr>
              <w:spacing w:after="0"/>
              <w:rPr>
                <w:sz w:val="20"/>
                <w:szCs w:val="20"/>
                <w:color w:val="auto"/>
              </w:rPr>
            </w:pPr>
            <w:r>
              <w:rPr>
                <w:rFonts w:ascii="Times New Roman" w:cs="Times New Roman" w:eastAsia="Times New Roman" w:hAnsi="Times New Roman"/>
                <w:sz w:val="20"/>
                <w:szCs w:val="20"/>
                <w:color w:val="4C4C4C"/>
              </w:rPr>
              <w:t>Employment Offer Letter Agreement by</w:t>
            </w:r>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3480" w:type="dxa"/>
            <w:vAlign w:val="bottom"/>
            <w:gridSpan w:val="36"/>
          </w:tcPr>
          <w:p>
            <w:pPr>
              <w:spacing w:after="0" w:line="210" w:lineRule="exact"/>
              <w:rPr>
                <w:sz w:val="20"/>
                <w:szCs w:val="20"/>
                <w:color w:val="auto"/>
              </w:rPr>
            </w:pPr>
            <w:r>
              <w:rPr>
                <w:rFonts w:ascii="Times New Roman" w:cs="Times New Roman" w:eastAsia="Times New Roman" w:hAnsi="Times New Roman"/>
                <w:sz w:val="20"/>
                <w:szCs w:val="20"/>
                <w:color w:val="4C4C4C"/>
              </w:rPr>
              <w:t>and between the Registrant and Juan Pablo</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00" w:type="dxa"/>
            <w:vAlign w:val="bottom"/>
            <w:tcBorders>
              <w:top w:val="single" w:sz="8" w:color="4C4C4C"/>
              <w:bottom w:val="single" w:sz="8" w:color="4C4C4C"/>
            </w:tcBorders>
          </w:tcPr>
          <w:p>
            <w:pPr>
              <w:spacing w:after="0" w:line="210" w:lineRule="exact"/>
              <w:rPr>
                <w:sz w:val="20"/>
                <w:szCs w:val="20"/>
                <w:color w:val="auto"/>
              </w:rPr>
            </w:pPr>
            <w:r>
              <w:rPr>
                <w:rFonts w:ascii="Times New Roman" w:cs="Times New Roman" w:eastAsia="Times New Roman" w:hAnsi="Times New Roman"/>
                <w:sz w:val="20"/>
                <w:szCs w:val="20"/>
                <w:color w:val="4C4C4C"/>
                <w:w w:val="94"/>
              </w:rPr>
              <w:t>Frias</w:t>
            </w:r>
          </w:p>
        </w:tc>
        <w:tc>
          <w:tcPr>
            <w:tcW w:w="3040" w:type="dxa"/>
            <w:vAlign w:val="bottom"/>
            <w:tcBorders>
              <w:top w:val="single" w:sz="8" w:color="4C4C4C"/>
            </w:tcBorders>
            <w:gridSpan w:val="33"/>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10.14#</w:t>
            </w:r>
          </w:p>
        </w:tc>
        <w:tc>
          <w:tcPr>
            <w:tcW w:w="3480" w:type="dxa"/>
            <w:vAlign w:val="bottom"/>
            <w:gridSpan w:val="36"/>
          </w:tcPr>
          <w:p>
            <w:pPr>
              <w:spacing w:after="0"/>
              <w:rPr>
                <w:sz w:val="20"/>
                <w:szCs w:val="20"/>
                <w:color w:val="auto"/>
              </w:rPr>
            </w:pPr>
            <w:r>
              <w:rPr>
                <w:rFonts w:ascii="Times New Roman" w:cs="Times New Roman" w:eastAsia="Times New Roman" w:hAnsi="Times New Roman"/>
                <w:sz w:val="20"/>
                <w:szCs w:val="20"/>
                <w:color w:val="4C4C4C"/>
              </w:rPr>
              <w:t>Employment Offer Letter Agreement by</w:t>
            </w: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3260" w:type="dxa"/>
            <w:vAlign w:val="bottom"/>
            <w:tcBorders>
              <w:top w:val="single" w:sz="8" w:color="4C4C4C"/>
            </w:tcBorders>
            <w:gridSpan w:val="29"/>
          </w:tcPr>
          <w:p>
            <w:pPr>
              <w:spacing w:after="0" w:line="210" w:lineRule="exact"/>
              <w:rPr>
                <w:sz w:val="20"/>
                <w:szCs w:val="20"/>
                <w:color w:val="auto"/>
              </w:rPr>
            </w:pPr>
            <w:r>
              <w:rPr>
                <w:rFonts w:ascii="Times New Roman" w:cs="Times New Roman" w:eastAsia="Times New Roman" w:hAnsi="Times New Roman"/>
                <w:sz w:val="20"/>
                <w:szCs w:val="20"/>
                <w:color w:val="4C4C4C"/>
              </w:rPr>
              <w:t>and between the Registrant and Michael</w:t>
            </w:r>
          </w:p>
        </w:tc>
        <w:tc>
          <w:tcPr>
            <w:tcW w:w="2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40" w:type="dxa"/>
            <w:vAlign w:val="bottom"/>
            <w:tcBorders>
              <w:top w:val="single" w:sz="8" w:color="4C4C4C"/>
            </w:tcBorders>
            <w:gridSpan w:val="28"/>
          </w:tcPr>
          <w:p>
            <w:pPr>
              <w:spacing w:after="0" w:line="210" w:lineRule="exact"/>
              <w:rPr>
                <w:sz w:val="20"/>
                <w:szCs w:val="20"/>
                <w:color w:val="auto"/>
              </w:rPr>
            </w:pPr>
            <w:r>
              <w:rPr>
                <w:rFonts w:ascii="Times New Roman" w:cs="Times New Roman" w:eastAsia="Times New Roman" w:hAnsi="Times New Roman"/>
                <w:sz w:val="20"/>
                <w:szCs w:val="20"/>
                <w:color w:val="4C4C4C"/>
              </w:rPr>
              <w:t>J.M. Hitchcock</w:t>
            </w:r>
          </w:p>
        </w:tc>
        <w:tc>
          <w:tcPr>
            <w:tcW w:w="2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4C4C4C"/>
          </w:tcPr>
          <w:p>
            <w:pPr>
              <w:spacing w:after="0" w:line="20" w:lineRule="exact"/>
              <w:rPr>
                <w:sz w:val="1"/>
                <w:szCs w:val="1"/>
                <w:color w:val="auto"/>
              </w:rPr>
            </w:pPr>
          </w:p>
        </w:tc>
        <w:tc>
          <w:tcPr>
            <w:tcW w:w="40" w:type="dxa"/>
            <w:vAlign w:val="bottom"/>
            <w:shd w:val="clear" w:color="auto" w:fill="4C4C4C"/>
          </w:tcPr>
          <w:p>
            <w:pPr>
              <w:spacing w:after="0" w:line="20" w:lineRule="exact"/>
              <w:rPr>
                <w:sz w:val="1"/>
                <w:szCs w:val="1"/>
                <w:color w:val="auto"/>
              </w:rPr>
            </w:pPr>
          </w:p>
        </w:tc>
        <w:tc>
          <w:tcPr>
            <w:tcW w:w="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16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11/25/2022</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1.1</w:t>
            </w:r>
          </w:p>
        </w:tc>
      </w:tr>
      <w:tr>
        <w:trPr>
          <w:trHeight w:val="83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4/12/2021</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10.11</w:t>
            </w:r>
          </w:p>
        </w:tc>
      </w:tr>
      <w:tr>
        <w:trPr>
          <w:trHeight w:val="62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4/22/2022</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99.1</w:t>
            </w:r>
          </w:p>
        </w:tc>
      </w:tr>
      <w:tr>
        <w:trPr>
          <w:trHeight w:val="74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3/24/2024</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3"/>
              </w:rPr>
              <w:t>10.5(C)</w:t>
            </w:r>
          </w:p>
        </w:tc>
      </w:tr>
      <w:tr>
        <w:trPr>
          <w:trHeight w:val="62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3/26/2021</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10.3(a)</w:t>
            </w:r>
          </w:p>
        </w:tc>
      </w:tr>
      <w:tr>
        <w:trPr>
          <w:trHeight w:val="51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3/26/2021</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10.3(b)</w:t>
            </w:r>
          </w:p>
        </w:tc>
      </w:tr>
      <w:tr>
        <w:trPr>
          <w:trHeight w:val="51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4/12/2021</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10.4(a)</w:t>
            </w:r>
          </w:p>
        </w:tc>
      </w:tr>
      <w:tr>
        <w:trPr>
          <w:trHeight w:val="62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4/12/2021</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10.4(b)</w:t>
            </w:r>
          </w:p>
        </w:tc>
      </w:tr>
      <w:tr>
        <w:trPr>
          <w:trHeight w:val="97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4/12/2021</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10.4(c)</w:t>
            </w:r>
          </w:p>
        </w:tc>
      </w:tr>
      <w:tr>
        <w:trPr>
          <w:trHeight w:val="108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4/12/2021</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10.4(d)</w:t>
            </w:r>
          </w:p>
        </w:tc>
      </w:tr>
      <w:tr>
        <w:trPr>
          <w:trHeight w:val="74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4/12/2021</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10.5</w:t>
            </w:r>
          </w:p>
        </w:tc>
      </w:tr>
      <w:tr>
        <w:trPr>
          <w:trHeight w:val="62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5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3/26/2021</w:t>
            </w: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-5340985</wp:posOffset>
            </wp:positionV>
            <wp:extent cx="6400800" cy="65665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2">
                      <a:extLst>
                        <a:ext uri="{28A0092B-C50C-407E-A947-70E740481C1C}"/>
                      </a:extLst>
                    </a:blip>
                    <a:srcRect/>
                    <a:stretch>
                      <a:fillRect/>
                    </a:stretch>
                  </pic:blipFill>
                  <pic:spPr bwMode="auto">
                    <a:xfrm>
                      <a:off x="0" y="0"/>
                      <a:ext cx="6400800" cy="656653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3/26/2021</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8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8/11/2021</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8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5/2/2024</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95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8/5/2025</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-1557020</wp:posOffset>
            </wp:positionV>
            <wp:extent cx="6400800" cy="1848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3">
                      <a:extLst>
                        <a:ext uri="{28A0092B-C50C-407E-A947-70E740481C1C}"/>
                      </a:extLst>
                    </a:blip>
                    <a:srcRect/>
                    <a:stretch>
                      <a:fillRect/>
                    </a:stretch>
                  </pic:blipFill>
                  <pic:spPr bwMode="auto">
                    <a:xfrm>
                      <a:off x="0" y="0"/>
                      <a:ext cx="6400800" cy="1848485"/>
                    </a:xfrm>
                    <a:prstGeom prst="rect">
                      <a:avLst/>
                    </a:prstGeom>
                    <a:noFill/>
                  </pic:spPr>
                </pic:pic>
              </a:graphicData>
            </a:graphic>
          </wp:anchor>
        </w:drawing>
      </w:r>
    </w:p>
    <w:p>
      <w:pPr>
        <w:spacing w:after="0" w:line="406" w:lineRule="exact"/>
        <w:rPr>
          <w:sz w:val="20"/>
          <w:szCs w:val="20"/>
          <w:color w:val="auto"/>
        </w:rPr>
      </w:pPr>
    </w:p>
    <w:p>
      <w:pPr>
        <w:sectPr>
          <w:pgSz w:w="12240" w:h="15840" w:orient="portrait"/>
          <w:cols w:equalWidth="0" w:num="2">
            <w:col w:w="4440" w:space="260"/>
            <w:col w:w="5020"/>
          </w:cols>
          <w:pgMar w:left="1080" w:top="1075" w:right="1440" w:bottom="175"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720"/>
          </w:cols>
          <w:pgMar w:left="1080" w:top="1075" w:right="1440" w:bottom="175" w:gutter="0" w:footer="0" w:header="0"/>
          <w:type w:val="continuous"/>
        </w:sectPr>
      </w:pPr>
    </w:p>
    <w:bookmarkStart w:id="124" w:name="page125"/>
    <w:bookmarkEnd w:id="124"/>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10.16#</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10.17(a)#</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10.17(b)#</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10.17(c)#</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4C4C4C"/>
        </w:rPr>
        <w:t>Amendment to Employment Offer Letter Agreement by and between the Registrant and Michael J.M. Hitchcock</w:t>
      </w:r>
    </w:p>
    <w:p>
      <w:pPr>
        <w:spacing w:after="0" w:line="20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u w:val="single" w:color="auto"/>
          <w:color w:val="4C4C4C"/>
        </w:rPr>
        <w:t>Non-Employee Director Compensation Program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C4C4C"/>
        </w:rPr>
        <w:t>2023 Inducement Plan</w:t>
      </w:r>
    </w:p>
    <w:p>
      <w:pPr>
        <w:spacing w:after="0" w:line="1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u w:val="single" w:color="auto"/>
          <w:color w:val="4C4C4C"/>
        </w:rPr>
        <w:t>Form of Non-Qualified Stock Option Agreement under the 2023 Inducement Plan</w:t>
      </w:r>
    </w:p>
    <w:p>
      <w:pPr>
        <w:spacing w:after="0" w:line="11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u w:val="single" w:color="auto"/>
          <w:color w:val="4C4C4C"/>
        </w:rPr>
        <w:t>Form of Restricted Stock Award Agreement under the 2023 Inducement Plan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10-Q</w:t>
            </w:r>
          </w:p>
        </w:tc>
        <w:tc>
          <w:tcPr>
            <w:tcW w:w="1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11/4/2025</w:t>
            </w:r>
          </w:p>
        </w:tc>
        <w:tc>
          <w:tcPr>
            <w:tcW w:w="8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10.1</w:t>
            </w:r>
          </w:p>
        </w:tc>
      </w:tr>
      <w:tr>
        <w:trPr>
          <w:trHeight w:val="83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S-1/A</w:t>
            </w:r>
          </w:p>
        </w:tc>
        <w:tc>
          <w:tcPr>
            <w:tcW w:w="1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4/12/2021</w:t>
            </w:r>
          </w:p>
        </w:tc>
        <w:tc>
          <w:tcPr>
            <w:tcW w:w="8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10.9</w:t>
            </w:r>
          </w:p>
        </w:tc>
      </w:tr>
      <w:tr>
        <w:trPr>
          <w:trHeight w:val="51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S-8</w:t>
            </w:r>
          </w:p>
        </w:tc>
        <w:tc>
          <w:tcPr>
            <w:tcW w:w="1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1/5/2024</w:t>
            </w:r>
          </w:p>
        </w:tc>
        <w:tc>
          <w:tcPr>
            <w:tcW w:w="8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7"/>
              </w:rPr>
              <w:t>99.3(a)</w:t>
            </w:r>
          </w:p>
        </w:tc>
      </w:tr>
      <w:tr>
        <w:trPr>
          <w:trHeight w:val="62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S-8</w:t>
            </w:r>
          </w:p>
        </w:tc>
        <w:tc>
          <w:tcPr>
            <w:tcW w:w="1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1/5/2024</w:t>
            </w:r>
          </w:p>
        </w:tc>
        <w:tc>
          <w:tcPr>
            <w:tcW w:w="8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5"/>
              </w:rPr>
              <w:t>99.3(b)</w:t>
            </w:r>
          </w:p>
        </w:tc>
      </w:tr>
      <w:tr>
        <w:trPr>
          <w:trHeight w:val="8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S-8</w:t>
            </w:r>
          </w:p>
        </w:tc>
        <w:tc>
          <w:tcPr>
            <w:tcW w:w="1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1/5/2024</w:t>
            </w:r>
          </w:p>
        </w:tc>
        <w:tc>
          <w:tcPr>
            <w:tcW w:w="8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7"/>
              </w:rPr>
              <w:t>99.3(c)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-2111375</wp:posOffset>
            </wp:positionV>
            <wp:extent cx="6400800" cy="7121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4">
                      <a:extLst>
                        <a:ext uri="{28A0092B-C50C-407E-A947-70E740481C1C}"/>
                      </a:extLst>
                    </a:blip>
                    <a:srcRect/>
                    <a:stretch>
                      <a:fillRect/>
                    </a:stretch>
                  </pic:blipFill>
                  <pic:spPr bwMode="auto">
                    <a:xfrm>
                      <a:off x="0" y="0"/>
                      <a:ext cx="6400800" cy="7121525"/>
                    </a:xfrm>
                    <a:prstGeom prst="rect">
                      <a:avLst/>
                    </a:prstGeom>
                    <a:noFill/>
                  </pic:spPr>
                </pic:pic>
              </a:graphicData>
            </a:graphic>
          </wp:anchor>
        </w:drawing>
      </w:r>
    </w:p>
    <w:p>
      <w:pPr>
        <w:spacing w:after="0" w:line="361" w:lineRule="exact"/>
        <w:rPr>
          <w:sz w:val="20"/>
          <w:szCs w:val="20"/>
          <w:color w:val="auto"/>
        </w:rPr>
      </w:pPr>
    </w:p>
    <w:p>
      <w:pPr>
        <w:sectPr>
          <w:pgSz w:w="12240" w:h="15840" w:orient="portrait"/>
          <w:cols w:equalWidth="0" w:num="3">
            <w:col w:w="780" w:space="220"/>
            <w:col w:w="3360" w:space="340"/>
            <w:col w:w="5380"/>
          </w:cols>
          <w:pgMar w:left="1080" w:top="1075" w:right="1080" w:bottom="175" w:gutter="0" w:footer="0" w:header="0"/>
        </w:sectPr>
      </w:pPr>
    </w:p>
    <w:tbl>
      <w:tblPr>
        <w:tblLayout w:type="fixed"/>
        <w:tblInd w:w="0" w:type="dxa"/>
        <w:tblCellMar>
          <w:top w:w="0" w:type="dxa"/>
          <w:left w:w="0" w:type="dxa"/>
          <w:bottom w:w="0" w:type="dxa"/>
          <w:right w:w="0" w:type="dxa"/>
        </w:tblCellMar>
      </w:tblPr>
      <w:tr>
        <w:trPr>
          <w:trHeight w:val="233"/>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10.17(d)#</w:t>
            </w:r>
          </w:p>
        </w:tc>
        <w:tc>
          <w:tcPr>
            <w:tcW w:w="3520" w:type="dxa"/>
            <w:vAlign w:val="bottom"/>
            <w:gridSpan w:val="13"/>
          </w:tcPr>
          <w:p>
            <w:pPr>
              <w:spacing w:after="0"/>
              <w:rPr>
                <w:sz w:val="20"/>
                <w:szCs w:val="20"/>
                <w:color w:val="auto"/>
              </w:rPr>
            </w:pPr>
            <w:r>
              <w:rPr>
                <w:rFonts w:ascii="Times New Roman" w:cs="Times New Roman" w:eastAsia="Times New Roman" w:hAnsi="Times New Roman"/>
                <w:sz w:val="20"/>
                <w:szCs w:val="20"/>
                <w:color w:val="4C4C4C"/>
              </w:rPr>
              <w:t>Form of Restricted Stock Unit Agreement</w:t>
            </w: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2600" w:type="dxa"/>
            <w:vAlign w:val="bottom"/>
            <w:tcBorders>
              <w:top w:val="single" w:sz="8" w:color="4C4C4C"/>
            </w:tcBorders>
            <w:gridSpan w:val="4"/>
            <w:vMerge w:val="restart"/>
          </w:tcPr>
          <w:p>
            <w:pPr>
              <w:spacing w:after="0" w:line="210" w:lineRule="exact"/>
              <w:rPr>
                <w:sz w:val="20"/>
                <w:szCs w:val="20"/>
                <w:color w:val="auto"/>
              </w:rPr>
            </w:pPr>
            <w:r>
              <w:rPr>
                <w:rFonts w:ascii="Times New Roman" w:cs="Times New Roman" w:eastAsia="Times New Roman" w:hAnsi="Times New Roman"/>
                <w:sz w:val="20"/>
                <w:szCs w:val="20"/>
                <w:color w:val="4C4C4C"/>
                <w:w w:val="99"/>
              </w:rPr>
              <w:t>under the 2023 Inducement Plan</w:t>
            </w:r>
          </w:p>
        </w:tc>
        <w:tc>
          <w:tcPr>
            <w:tcW w:w="760" w:type="dxa"/>
            <w:vAlign w:val="bottom"/>
            <w:tcBorders>
              <w:top w:val="single" w:sz="8" w:color="4C4C4C"/>
            </w:tcBorders>
            <w:gridSpan w:val="2"/>
            <w:vMerge w:val="restart"/>
          </w:tcPr>
          <w:p>
            <w:pPr>
              <w:spacing w:after="0"/>
              <w:rPr>
                <w:sz w:val="11"/>
                <w:szCs w:val="11"/>
                <w:color w:val="auto"/>
              </w:rPr>
            </w:pPr>
          </w:p>
        </w:tc>
        <w:tc>
          <w:tcPr>
            <w:tcW w:w="16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000" w:type="dxa"/>
            <w:vAlign w:val="bottom"/>
          </w:tcPr>
          <w:p>
            <w:pPr>
              <w:spacing w:after="0"/>
              <w:rPr>
                <w:sz w:val="7"/>
                <w:szCs w:val="7"/>
                <w:color w:val="auto"/>
              </w:rPr>
            </w:pPr>
          </w:p>
        </w:tc>
        <w:tc>
          <w:tcPr>
            <w:tcW w:w="2600" w:type="dxa"/>
            <w:vAlign w:val="bottom"/>
            <w:tcBorders>
              <w:bottom w:val="single" w:sz="8" w:color="4C4C4C"/>
            </w:tcBorders>
            <w:gridSpan w:val="4"/>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800" w:type="dxa"/>
            <w:vAlign w:val="bottom"/>
            <w:tcBorders>
              <w:bottom w:val="single" w:sz="8" w:color="4C4C4C"/>
            </w:tcBorders>
            <w:gridSpan w:val="2"/>
          </w:tcPr>
          <w:p>
            <w:pPr>
              <w:spacing w:after="0"/>
              <w:rPr>
                <w:sz w:val="20"/>
                <w:szCs w:val="20"/>
                <w:color w:val="auto"/>
              </w:rPr>
            </w:pPr>
            <w:r>
              <w:rPr>
                <w:rFonts w:ascii="Times New Roman" w:cs="Times New Roman" w:eastAsia="Times New Roman" w:hAnsi="Times New Roman"/>
                <w:sz w:val="20"/>
                <w:szCs w:val="20"/>
                <w:color w:val="4C4C4C"/>
                <w:w w:val="98"/>
              </w:rPr>
              <w:t>Insider Trading Policy</w:t>
            </w:r>
          </w:p>
        </w:tc>
        <w:tc>
          <w:tcPr>
            <w:tcW w:w="17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3520" w:type="dxa"/>
            <w:vAlign w:val="bottom"/>
            <w:gridSpan w:val="13"/>
          </w:tcPr>
          <w:p>
            <w:pPr>
              <w:spacing w:after="0"/>
              <w:rPr>
                <w:sz w:val="20"/>
                <w:szCs w:val="20"/>
                <w:color w:val="auto"/>
              </w:rPr>
            </w:pPr>
            <w:r>
              <w:rPr>
                <w:rFonts w:ascii="Times New Roman" w:cs="Times New Roman" w:eastAsia="Times New Roman" w:hAnsi="Times New Roman"/>
                <w:sz w:val="20"/>
                <w:szCs w:val="20"/>
                <w:color w:val="4C4C4C"/>
              </w:rPr>
              <w:t>Subsidiaries of the Registrant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80" w:type="dxa"/>
            <w:vAlign w:val="bottom"/>
            <w:shd w:val="clear" w:color="auto" w:fill="4C4C4C"/>
          </w:tcPr>
          <w:p>
            <w:pPr>
              <w:spacing w:after="0" w:line="20" w:lineRule="exact"/>
              <w:rPr>
                <w:sz w:val="1"/>
                <w:szCs w:val="1"/>
                <w:color w:val="auto"/>
              </w:rPr>
            </w:pPr>
          </w:p>
        </w:tc>
        <w:tc>
          <w:tcPr>
            <w:tcW w:w="980" w:type="dxa"/>
            <w:vAlign w:val="bottom"/>
            <w:tcBorders>
              <w:right w:val="single" w:sz="8" w:color="4C4C4C"/>
            </w:tcBorders>
            <w:gridSpan w:val="2"/>
            <w:shd w:val="clear" w:color="auto" w:fill="4C4C4C"/>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23.1</w:t>
            </w:r>
          </w:p>
        </w:tc>
        <w:tc>
          <w:tcPr>
            <w:tcW w:w="3400" w:type="dxa"/>
            <w:vAlign w:val="bottom"/>
            <w:tcBorders>
              <w:bottom w:val="single" w:sz="8" w:color="4C4C4C"/>
            </w:tcBorders>
            <w:gridSpan w:val="8"/>
          </w:tcPr>
          <w:p>
            <w:pPr>
              <w:spacing w:after="0"/>
              <w:rPr>
                <w:sz w:val="20"/>
                <w:szCs w:val="20"/>
                <w:color w:val="auto"/>
              </w:rPr>
            </w:pPr>
            <w:r>
              <w:rPr>
                <w:rFonts w:ascii="Times New Roman" w:cs="Times New Roman" w:eastAsia="Times New Roman" w:hAnsi="Times New Roman"/>
                <w:sz w:val="20"/>
                <w:szCs w:val="20"/>
                <w:color w:val="4C4C4C"/>
              </w:rPr>
              <w:t>Consent of Independent Registered Public</w:t>
            </w:r>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1380" w:type="dxa"/>
            <w:vAlign w:val="bottom"/>
            <w:vMerge w:val="restart"/>
          </w:tcPr>
          <w:p>
            <w:pPr>
              <w:spacing w:after="0" w:line="210" w:lineRule="exact"/>
              <w:rPr>
                <w:sz w:val="20"/>
                <w:szCs w:val="20"/>
                <w:color w:val="auto"/>
              </w:rPr>
            </w:pPr>
            <w:r>
              <w:rPr>
                <w:rFonts w:ascii="Times New Roman" w:cs="Times New Roman" w:eastAsia="Times New Roman" w:hAnsi="Times New Roman"/>
                <w:sz w:val="20"/>
                <w:szCs w:val="20"/>
                <w:color w:val="4C4C4C"/>
                <w:w w:val="99"/>
              </w:rPr>
              <w:t>Accounting Firm</w:t>
            </w:r>
          </w:p>
        </w:tc>
        <w:tc>
          <w:tcPr>
            <w:tcW w:w="2140" w:type="dxa"/>
            <w:vAlign w:val="bottom"/>
            <w:gridSpan w:val="1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000" w:type="dxa"/>
            <w:vAlign w:val="bottom"/>
          </w:tcPr>
          <w:p>
            <w:pPr>
              <w:spacing w:after="0"/>
              <w:rPr>
                <w:sz w:val="7"/>
                <w:szCs w:val="7"/>
                <w:color w:val="auto"/>
              </w:rPr>
            </w:pPr>
          </w:p>
        </w:tc>
        <w:tc>
          <w:tcPr>
            <w:tcW w:w="1380" w:type="dxa"/>
            <w:vAlign w:val="bottom"/>
            <w:tcBorders>
              <w:bottom w:val="single" w:sz="8" w:color="4C4C4C"/>
            </w:tcBorders>
            <w:vMerge w:val="continue"/>
          </w:tcPr>
          <w:p>
            <w:pPr>
              <w:spacing w:after="0"/>
              <w:rPr>
                <w:sz w:val="7"/>
                <w:szCs w:val="7"/>
                <w:color w:val="auto"/>
              </w:rPr>
            </w:pPr>
          </w:p>
        </w:tc>
        <w:tc>
          <w:tcPr>
            <w:tcW w:w="214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24.1</w:t>
            </w:r>
          </w:p>
        </w:tc>
        <w:tc>
          <w:tcPr>
            <w:tcW w:w="3520" w:type="dxa"/>
            <w:vAlign w:val="bottom"/>
            <w:gridSpan w:val="13"/>
          </w:tcPr>
          <w:p>
            <w:pPr>
              <w:spacing w:after="0"/>
              <w:rPr>
                <w:sz w:val="20"/>
                <w:szCs w:val="20"/>
                <w:color w:val="auto"/>
              </w:rPr>
            </w:pPr>
            <w:r>
              <w:rPr>
                <w:rFonts w:ascii="Times New Roman" w:cs="Times New Roman" w:eastAsia="Times New Roman" w:hAnsi="Times New Roman"/>
                <w:sz w:val="20"/>
                <w:szCs w:val="20"/>
                <w:color w:val="4C4C4C"/>
              </w:rPr>
              <w:t>Power of Attorney (included on signature</w:t>
            </w: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1380" w:type="dxa"/>
            <w:vAlign w:val="bottom"/>
            <w:shd w:val="clear" w:color="auto" w:fill="4C4C4C"/>
          </w:tcPr>
          <w:p>
            <w:pPr>
              <w:spacing w:after="0" w:line="20" w:lineRule="exact"/>
              <w:rPr>
                <w:sz w:val="1"/>
                <w:szCs w:val="1"/>
                <w:color w:val="auto"/>
              </w:rPr>
            </w:pPr>
          </w:p>
        </w:tc>
        <w:tc>
          <w:tcPr>
            <w:tcW w:w="420" w:type="dxa"/>
            <w:vAlign w:val="bottom"/>
            <w:shd w:val="clear" w:color="auto" w:fill="4C4C4C"/>
          </w:tcPr>
          <w:p>
            <w:pPr>
              <w:spacing w:after="0" w:line="20" w:lineRule="exact"/>
              <w:rPr>
                <w:sz w:val="1"/>
                <w:szCs w:val="1"/>
                <w:color w:val="auto"/>
              </w:rPr>
            </w:pPr>
          </w:p>
        </w:tc>
        <w:tc>
          <w:tcPr>
            <w:tcW w:w="560" w:type="dxa"/>
            <w:vAlign w:val="bottom"/>
            <w:tcBorders>
              <w:right w:val="single" w:sz="8" w:color="4C4C4C"/>
            </w:tcBorders>
            <w:shd w:val="clear" w:color="auto" w:fill="4C4C4C"/>
          </w:tcPr>
          <w:p>
            <w:pPr>
              <w:spacing w:after="0" w:line="20" w:lineRule="exact"/>
              <w:rPr>
                <w:sz w:val="1"/>
                <w:szCs w:val="1"/>
                <w:color w:val="auto"/>
              </w:rPr>
            </w:pPr>
          </w:p>
        </w:tc>
        <w:tc>
          <w:tcPr>
            <w:tcW w:w="240" w:type="dxa"/>
            <w:vAlign w:val="bottom"/>
            <w:shd w:val="clear" w:color="auto" w:fill="4C4C4C"/>
          </w:tcPr>
          <w:p>
            <w:pPr>
              <w:spacing w:after="0" w:line="20" w:lineRule="exact"/>
              <w:rPr>
                <w:sz w:val="1"/>
                <w:szCs w:val="1"/>
                <w:color w:val="auto"/>
              </w:rPr>
            </w:pPr>
          </w:p>
        </w:tc>
        <w:tc>
          <w:tcPr>
            <w:tcW w:w="720" w:type="dxa"/>
            <w:vAlign w:val="bottom"/>
            <w:shd w:val="clear" w:color="auto" w:fill="4C4C4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440" w:type="dxa"/>
            <w:vAlign w:val="bottom"/>
            <w:gridSpan w:val="10"/>
            <w:vMerge w:val="restart"/>
          </w:tcPr>
          <w:p>
            <w:pPr>
              <w:spacing w:after="0" w:line="210" w:lineRule="exact"/>
              <w:rPr>
                <w:sz w:val="20"/>
                <w:szCs w:val="20"/>
                <w:color w:val="auto"/>
              </w:rPr>
            </w:pPr>
            <w:r>
              <w:rPr>
                <w:rFonts w:ascii="Times New Roman" w:cs="Times New Roman" w:eastAsia="Times New Roman" w:hAnsi="Times New Roman"/>
                <w:sz w:val="20"/>
                <w:szCs w:val="20"/>
                <w:color w:val="4C4C4C"/>
              </w:rPr>
              <w:t>page to this Annual Report on Form 10-K)</w:t>
            </w:r>
          </w:p>
        </w:tc>
        <w:tc>
          <w:tcPr>
            <w:tcW w:w="8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000" w:type="dxa"/>
            <w:vAlign w:val="bottom"/>
          </w:tcPr>
          <w:p>
            <w:pPr>
              <w:spacing w:after="0"/>
              <w:rPr>
                <w:sz w:val="7"/>
                <w:szCs w:val="7"/>
                <w:color w:val="auto"/>
              </w:rPr>
            </w:pPr>
          </w:p>
        </w:tc>
        <w:tc>
          <w:tcPr>
            <w:tcW w:w="3440" w:type="dxa"/>
            <w:vAlign w:val="bottom"/>
            <w:tcBorders>
              <w:bottom w:val="single" w:sz="8" w:color="4C4C4C"/>
            </w:tcBorders>
            <w:gridSpan w:val="10"/>
            <w:vMerge w:val="continue"/>
          </w:tcPr>
          <w:p>
            <w:pPr>
              <w:spacing w:after="0"/>
              <w:rPr>
                <w:sz w:val="7"/>
                <w:szCs w:val="7"/>
                <w:color w:val="auto"/>
              </w:rPr>
            </w:pPr>
          </w:p>
        </w:tc>
        <w:tc>
          <w:tcPr>
            <w:tcW w:w="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3520" w:type="dxa"/>
            <w:vAlign w:val="bottom"/>
            <w:gridSpan w:val="13"/>
          </w:tcPr>
          <w:p>
            <w:pPr>
              <w:spacing w:after="0"/>
              <w:rPr>
                <w:sz w:val="20"/>
                <w:szCs w:val="20"/>
                <w:color w:val="auto"/>
              </w:rPr>
            </w:pPr>
            <w:r>
              <w:rPr>
                <w:rFonts w:ascii="Times New Roman" w:cs="Times New Roman" w:eastAsia="Times New Roman" w:hAnsi="Times New Roman"/>
                <w:sz w:val="20"/>
                <w:szCs w:val="20"/>
                <w:color w:val="4C4C4C"/>
              </w:rPr>
              <w:t>Certification of Principal Executive Officer</w:t>
            </w: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31.1</w:t>
            </w:r>
          </w:p>
        </w:tc>
        <w:tc>
          <w:tcPr>
            <w:tcW w:w="3480" w:type="dxa"/>
            <w:vAlign w:val="bottom"/>
            <w:tcBorders>
              <w:top w:val="single" w:sz="8" w:color="4C4C4C"/>
            </w:tcBorders>
            <w:gridSpan w:val="11"/>
          </w:tcPr>
          <w:p>
            <w:pPr>
              <w:spacing w:after="0" w:line="210" w:lineRule="exact"/>
              <w:rPr>
                <w:sz w:val="20"/>
                <w:szCs w:val="20"/>
                <w:color w:val="auto"/>
              </w:rPr>
            </w:pPr>
            <w:r>
              <w:rPr>
                <w:rFonts w:ascii="Times New Roman" w:cs="Times New Roman" w:eastAsia="Times New Roman" w:hAnsi="Times New Roman"/>
                <w:sz w:val="20"/>
                <w:szCs w:val="20"/>
                <w:color w:val="4C4C4C"/>
              </w:rPr>
              <w:t>Pursuant to Rules 13a-14(a) and 15d-14(a)</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3420" w:type="dxa"/>
            <w:vAlign w:val="bottom"/>
            <w:tcBorders>
              <w:top w:val="single" w:sz="8" w:color="4C4C4C"/>
              <w:bottom w:val="single" w:sz="8" w:color="4C4C4C"/>
            </w:tcBorders>
            <w:gridSpan w:val="9"/>
          </w:tcPr>
          <w:p>
            <w:pPr>
              <w:spacing w:after="0" w:line="210" w:lineRule="exact"/>
              <w:rPr>
                <w:sz w:val="20"/>
                <w:szCs w:val="20"/>
                <w:color w:val="auto"/>
              </w:rPr>
            </w:pPr>
            <w:r>
              <w:rPr>
                <w:rFonts w:ascii="Times New Roman" w:cs="Times New Roman" w:eastAsia="Times New Roman" w:hAnsi="Times New Roman"/>
                <w:sz w:val="20"/>
                <w:szCs w:val="20"/>
                <w:color w:val="4C4C4C"/>
                <w:w w:val="97"/>
              </w:rPr>
              <w:t>under the Securities Exchange Act of 1934,</w:t>
            </w:r>
          </w:p>
        </w:tc>
        <w:tc>
          <w:tcPr>
            <w:tcW w:w="20" w:type="dxa"/>
            <w:vAlign w:val="bottom"/>
            <w:tcBorders>
              <w:bottom w:val="single" w:sz="8" w:color="4C4C4C"/>
            </w:tcBorders>
          </w:tcPr>
          <w:p>
            <w:pPr>
              <w:spacing w:after="0"/>
              <w:rPr>
                <w:sz w:val="18"/>
                <w:szCs w:val="18"/>
                <w:color w:val="auto"/>
              </w:rPr>
            </w:pPr>
          </w:p>
        </w:tc>
        <w:tc>
          <w:tcPr>
            <w:tcW w:w="60" w:type="dxa"/>
            <w:vAlign w:val="bottom"/>
            <w:tcBorders>
              <w:bottom w:val="single" w:sz="8" w:color="4C4C4C"/>
            </w:tcBorders>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00" w:type="dxa"/>
            <w:vAlign w:val="bottom"/>
            <w:gridSpan w:val="12"/>
          </w:tcPr>
          <w:p>
            <w:pPr>
              <w:spacing w:after="0" w:line="210" w:lineRule="exact"/>
              <w:rPr>
                <w:sz w:val="20"/>
                <w:szCs w:val="20"/>
                <w:color w:val="auto"/>
              </w:rPr>
            </w:pPr>
            <w:r>
              <w:rPr>
                <w:rFonts w:ascii="Times New Roman" w:cs="Times New Roman" w:eastAsia="Times New Roman" w:hAnsi="Times New Roman"/>
                <w:sz w:val="20"/>
                <w:szCs w:val="20"/>
                <w:color w:val="4C4C4C"/>
              </w:rPr>
              <w:t>as Adopted Pursuant to Section 302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360" w:type="dxa"/>
            <w:vAlign w:val="bottom"/>
            <w:tcBorders>
              <w:top w:val="single" w:sz="8" w:color="4C4C4C"/>
              <w:bottom w:val="single" w:sz="8" w:color="4C4C4C"/>
            </w:tcBorders>
            <w:gridSpan w:val="3"/>
          </w:tcPr>
          <w:p>
            <w:pPr>
              <w:spacing w:after="0" w:line="210" w:lineRule="exact"/>
              <w:rPr>
                <w:sz w:val="20"/>
                <w:szCs w:val="20"/>
                <w:color w:val="auto"/>
              </w:rPr>
            </w:pPr>
            <w:r>
              <w:rPr>
                <w:rFonts w:ascii="Times New Roman" w:cs="Times New Roman" w:eastAsia="Times New Roman" w:hAnsi="Times New Roman"/>
                <w:sz w:val="20"/>
                <w:szCs w:val="20"/>
                <w:color w:val="4C4C4C"/>
                <w:w w:val="99"/>
              </w:rPr>
              <w:t>Sarbanes-Oxley Act of 2002.</w:t>
            </w:r>
          </w:p>
        </w:tc>
        <w:tc>
          <w:tcPr>
            <w:tcW w:w="1020" w:type="dxa"/>
            <w:vAlign w:val="bottom"/>
            <w:tcBorders>
              <w:top w:val="single" w:sz="8" w:color="4C4C4C"/>
            </w:tcBorders>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1000" w:type="dxa"/>
            <w:vAlign w:val="bottom"/>
          </w:tcPr>
          <w:p>
            <w:pPr>
              <w:spacing w:after="0"/>
              <w:rPr>
                <w:sz w:val="24"/>
                <w:szCs w:val="24"/>
                <w:color w:val="auto"/>
              </w:rPr>
            </w:pPr>
          </w:p>
        </w:tc>
        <w:tc>
          <w:tcPr>
            <w:tcW w:w="3520" w:type="dxa"/>
            <w:vAlign w:val="bottom"/>
            <w:gridSpan w:val="13"/>
          </w:tcPr>
          <w:p>
            <w:pPr>
              <w:spacing w:after="0"/>
              <w:rPr>
                <w:sz w:val="20"/>
                <w:szCs w:val="20"/>
                <w:color w:val="auto"/>
              </w:rPr>
            </w:pPr>
            <w:r>
              <w:rPr>
                <w:rFonts w:ascii="Times New Roman" w:cs="Times New Roman" w:eastAsia="Times New Roman" w:hAnsi="Times New Roman"/>
                <w:sz w:val="20"/>
                <w:szCs w:val="20"/>
                <w:color w:val="4C4C4C"/>
              </w:rPr>
              <w:t>Certification of Principal Financial Officer</w:t>
            </w: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31.2</w:t>
            </w:r>
          </w:p>
        </w:tc>
        <w:tc>
          <w:tcPr>
            <w:tcW w:w="3440" w:type="dxa"/>
            <w:vAlign w:val="bottom"/>
            <w:tcBorders>
              <w:top w:val="single" w:sz="8" w:color="4C4C4C"/>
            </w:tcBorders>
            <w:gridSpan w:val="10"/>
          </w:tcPr>
          <w:p>
            <w:pPr>
              <w:spacing w:after="0" w:line="210" w:lineRule="exact"/>
              <w:rPr>
                <w:sz w:val="20"/>
                <w:szCs w:val="20"/>
                <w:color w:val="auto"/>
              </w:rPr>
            </w:pPr>
            <w:r>
              <w:rPr>
                <w:rFonts w:ascii="Times New Roman" w:cs="Times New Roman" w:eastAsia="Times New Roman" w:hAnsi="Times New Roman"/>
                <w:sz w:val="20"/>
                <w:szCs w:val="20"/>
                <w:color w:val="4C4C4C"/>
              </w:rPr>
              <w:t>Pursuant to Rules 13a-14(a) and 15d-14(a)</w:t>
            </w: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3420" w:type="dxa"/>
            <w:vAlign w:val="bottom"/>
            <w:tcBorders>
              <w:top w:val="single" w:sz="8" w:color="4C4C4C"/>
            </w:tcBorders>
            <w:gridSpan w:val="9"/>
          </w:tcPr>
          <w:p>
            <w:pPr>
              <w:spacing w:after="0" w:line="210" w:lineRule="exact"/>
              <w:rPr>
                <w:sz w:val="20"/>
                <w:szCs w:val="20"/>
                <w:color w:val="auto"/>
              </w:rPr>
            </w:pPr>
            <w:r>
              <w:rPr>
                <w:rFonts w:ascii="Times New Roman" w:cs="Times New Roman" w:eastAsia="Times New Roman" w:hAnsi="Times New Roman"/>
                <w:sz w:val="20"/>
                <w:szCs w:val="20"/>
                <w:color w:val="4C4C4C"/>
                <w:w w:val="97"/>
              </w:rPr>
              <w:t>under the Securities Exchange Act of 1934,</w:t>
            </w:r>
          </w:p>
        </w:tc>
        <w:tc>
          <w:tcPr>
            <w:tcW w:w="1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00" w:type="dxa"/>
            <w:vAlign w:val="bottom"/>
            <w:tcBorders>
              <w:top w:val="single" w:sz="8" w:color="4C4C4C"/>
            </w:tcBorders>
            <w:gridSpan w:val="12"/>
          </w:tcPr>
          <w:p>
            <w:pPr>
              <w:spacing w:after="0" w:line="210" w:lineRule="exact"/>
              <w:rPr>
                <w:sz w:val="20"/>
                <w:szCs w:val="20"/>
                <w:color w:val="auto"/>
              </w:rPr>
            </w:pPr>
            <w:r>
              <w:rPr>
                <w:rFonts w:ascii="Times New Roman" w:cs="Times New Roman" w:eastAsia="Times New Roman" w:hAnsi="Times New Roman"/>
                <w:sz w:val="20"/>
                <w:szCs w:val="20"/>
                <w:color w:val="4C4C4C"/>
              </w:rPr>
              <w:t>as Adopted Pursuant to Section 302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360" w:type="dxa"/>
            <w:vAlign w:val="bottom"/>
            <w:tcBorders>
              <w:top w:val="single" w:sz="8" w:color="4C4C4C"/>
              <w:bottom w:val="single" w:sz="8" w:color="4C4C4C"/>
            </w:tcBorders>
            <w:gridSpan w:val="3"/>
          </w:tcPr>
          <w:p>
            <w:pPr>
              <w:spacing w:after="0" w:line="210" w:lineRule="exact"/>
              <w:rPr>
                <w:sz w:val="20"/>
                <w:szCs w:val="20"/>
                <w:color w:val="auto"/>
              </w:rPr>
            </w:pPr>
            <w:r>
              <w:rPr>
                <w:rFonts w:ascii="Times New Roman" w:cs="Times New Roman" w:eastAsia="Times New Roman" w:hAnsi="Times New Roman"/>
                <w:sz w:val="20"/>
                <w:szCs w:val="20"/>
                <w:color w:val="4C4C4C"/>
                <w:w w:val="99"/>
              </w:rPr>
              <w:t>Sarbanes-Oxley Act of 2002.</w:t>
            </w:r>
          </w:p>
        </w:tc>
        <w:tc>
          <w:tcPr>
            <w:tcW w:w="1020" w:type="dxa"/>
            <w:vAlign w:val="bottom"/>
            <w:tcBorders>
              <w:top w:val="single" w:sz="8" w:color="4C4C4C"/>
            </w:tcBorders>
            <w:gridSpan w:val="4"/>
          </w:tcPr>
          <w:p>
            <w:pPr>
              <w:spacing w:after="0"/>
              <w:rPr>
                <w:sz w:val="18"/>
                <w:szCs w:val="18"/>
                <w:color w:val="auto"/>
              </w:rPr>
            </w:pPr>
          </w:p>
        </w:tc>
        <w:tc>
          <w:tcPr>
            <w:tcW w:w="1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S-8</w:t>
            </w: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1/5/2024</w:t>
            </w:r>
          </w:p>
        </w:tc>
        <w:tc>
          <w:tcPr>
            <w:tcW w:w="8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5"/>
              </w:rPr>
              <w:t>99.3(d)</w:t>
            </w:r>
          </w:p>
        </w:tc>
      </w:tr>
      <w:tr>
        <w:trPr>
          <w:trHeight w:val="51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3/31/2025</w:t>
            </w:r>
          </w:p>
        </w:tc>
        <w:tc>
          <w:tcPr>
            <w:tcW w:w="8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19.1</w:t>
            </w:r>
          </w:p>
        </w:tc>
      </w:tr>
      <w:tr>
        <w:trPr>
          <w:trHeight w:val="49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15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3/31/2025</w:t>
            </w:r>
          </w:p>
        </w:tc>
        <w:tc>
          <w:tcPr>
            <w:tcW w:w="8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21.1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639" w:lineRule="exact"/>
        <w:rPr>
          <w:sz w:val="20"/>
          <w:szCs w:val="20"/>
          <w:color w:val="auto"/>
        </w:rPr>
      </w:pPr>
    </w:p>
    <w:p>
      <w:pPr>
        <w:sectPr>
          <w:pgSz w:w="12240" w:h="15840" w:orient="portrait"/>
          <w:cols w:equalWidth="0" w:num="3">
            <w:col w:w="4480" w:space="220"/>
            <w:col w:w="3840" w:space="720"/>
            <w:col w:w="820"/>
          </w:cols>
          <w:pgMar w:left="1080" w:top="1075" w:right="1080" w:bottom="175" w:gutter="0" w:footer="0" w:header="0"/>
          <w:type w:val="continuous"/>
        </w:sect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u w:val="single" w:color="auto"/>
          <w:color w:val="4C4C4C"/>
        </w:rPr>
        <w:t>Certification of Principal Executive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C4C4C"/>
        </w:rPr>
        <w:t>Pursuant to 18 U.S.C. Section 1350, as</w:t>
      </w:r>
    </w:p>
    <w:p>
      <w:pPr>
        <w:spacing w:after="0"/>
        <w:rPr>
          <w:sz w:val="20"/>
          <w:szCs w:val="20"/>
          <w:color w:val="auto"/>
        </w:rPr>
      </w:pPr>
      <w:r>
        <w:rPr>
          <w:rFonts w:ascii="Times New Roman" w:cs="Times New Roman" w:eastAsia="Times New Roman" w:hAnsi="Times New Roman"/>
          <w:sz w:val="20"/>
          <w:szCs w:val="20"/>
          <w:u w:val="single" w:color="auto"/>
          <w:color w:val="4C4C4C"/>
        </w:rPr>
        <w:t>Adopted Pursuant to Section 906 of the</w:t>
      </w:r>
    </w:p>
    <w:p>
      <w:pPr>
        <w:spacing w:after="0"/>
        <w:rPr>
          <w:sz w:val="20"/>
          <w:szCs w:val="20"/>
          <w:color w:val="auto"/>
        </w:rPr>
      </w:pPr>
      <w:r>
        <w:rPr>
          <w:rFonts w:ascii="Times New Roman" w:cs="Times New Roman" w:eastAsia="Times New Roman" w:hAnsi="Times New Roman"/>
          <w:sz w:val="20"/>
          <w:szCs w:val="20"/>
          <w:u w:val="single" w:color="auto"/>
          <w:color w:val="4C4C4C"/>
        </w:rPr>
        <w:t>Sarbanes-Oxley Act of 2002.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C4C4C"/>
        </w:rPr>
        <w:t>Certification of Principal Financial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C4C4C"/>
        </w:rPr>
        <w:t>Pursuant to 18 U.S.C. Section 1350, as</w:t>
      </w:r>
    </w:p>
    <w:p>
      <w:pPr>
        <w:spacing w:after="0"/>
        <w:rPr>
          <w:sz w:val="20"/>
          <w:szCs w:val="20"/>
          <w:color w:val="auto"/>
        </w:rPr>
      </w:pPr>
      <w:r>
        <w:rPr>
          <w:rFonts w:ascii="Times New Roman" w:cs="Times New Roman" w:eastAsia="Times New Roman" w:hAnsi="Times New Roman"/>
          <w:sz w:val="20"/>
          <w:szCs w:val="20"/>
          <w:u w:val="single" w:color="auto"/>
          <w:color w:val="4C4C4C"/>
        </w:rPr>
        <w:t>Adopted Pursuant to Section 906 of the</w:t>
      </w:r>
    </w:p>
    <w:p>
      <w:pPr>
        <w:spacing w:after="0" w:line="213" w:lineRule="auto"/>
        <w:rPr>
          <w:sz w:val="20"/>
          <w:szCs w:val="20"/>
          <w:color w:val="auto"/>
        </w:rPr>
      </w:pPr>
      <w:r>
        <w:rPr>
          <w:rFonts w:ascii="Times New Roman" w:cs="Times New Roman" w:eastAsia="Times New Roman" w:hAnsi="Times New Roman"/>
          <w:sz w:val="20"/>
          <w:szCs w:val="20"/>
          <w:color w:val="4C4C4C"/>
        </w:rPr>
        <w:t>Sarbanes-Oxley Act of 2002.</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379" w:lineRule="exact"/>
        <w:rPr>
          <w:sz w:val="20"/>
          <w:szCs w:val="20"/>
          <w:color w:val="auto"/>
        </w:rPr>
      </w:pPr>
    </w:p>
    <w:p>
      <w:pPr>
        <w:sectPr>
          <w:pgSz w:w="12240" w:h="15840" w:orient="portrait"/>
          <w:cols w:equalWidth="0" w:num="3">
            <w:col w:w="460" w:space="540"/>
            <w:col w:w="7540" w:space="720"/>
            <w:col w:w="820"/>
          </w:cols>
          <w:pgMar w:left="1080" w:top="1075" w:right="1080" w:bottom="175"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000" w:type="dxa"/>
            <w:vAlign w:val="bottom"/>
          </w:tcPr>
          <w:p>
            <w:pPr>
              <w:spacing w:after="0" w:line="20" w:lineRule="exact"/>
              <w:rPr>
                <w:sz w:val="1"/>
                <w:szCs w:val="1"/>
                <w:color w:val="auto"/>
              </w:rPr>
            </w:pPr>
          </w:p>
        </w:tc>
        <w:tc>
          <w:tcPr>
            <w:tcW w:w="1320" w:type="dxa"/>
            <w:vAlign w:val="bottom"/>
            <w:shd w:val="clear" w:color="auto" w:fill="4C4C4C"/>
          </w:tcPr>
          <w:p>
            <w:pPr>
              <w:spacing w:after="0" w:line="20" w:lineRule="exact"/>
              <w:rPr>
                <w:sz w:val="1"/>
                <w:szCs w:val="1"/>
                <w:color w:val="auto"/>
              </w:rPr>
            </w:pPr>
          </w:p>
        </w:tc>
        <w:tc>
          <w:tcPr>
            <w:tcW w:w="1020" w:type="dxa"/>
            <w:vAlign w:val="bottom"/>
            <w:shd w:val="clear" w:color="auto" w:fill="4C4C4C"/>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97.1</w:t>
            </w:r>
          </w:p>
        </w:tc>
        <w:tc>
          <w:tcPr>
            <w:tcW w:w="2980" w:type="dxa"/>
            <w:vAlign w:val="bottom"/>
            <w:tcBorders>
              <w:bottom w:val="single" w:sz="8" w:color="4C4C4C"/>
            </w:tcBorders>
            <w:gridSpan w:val="3"/>
          </w:tcPr>
          <w:p>
            <w:pPr>
              <w:spacing w:after="0"/>
              <w:rPr>
                <w:sz w:val="20"/>
                <w:szCs w:val="20"/>
                <w:color w:val="auto"/>
              </w:rPr>
            </w:pPr>
            <w:r>
              <w:rPr>
                <w:rFonts w:ascii="Times New Roman" w:cs="Times New Roman" w:eastAsia="Times New Roman" w:hAnsi="Times New Roman"/>
                <w:sz w:val="20"/>
                <w:szCs w:val="20"/>
                <w:color w:val="4C4C4C"/>
                <w:w w:val="99"/>
              </w:rPr>
              <w:t>Biomea Fusion, Inc.’s Compensation</w:t>
            </w:r>
          </w:p>
        </w:tc>
        <w:tc>
          <w:tcPr>
            <w:tcW w:w="520" w:type="dxa"/>
            <w:vAlign w:val="bottom"/>
          </w:tcPr>
          <w:p>
            <w:pPr>
              <w:spacing w:after="0"/>
              <w:rPr>
                <w:sz w:val="24"/>
                <w:szCs w:val="24"/>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10-K</w:t>
            </w:r>
          </w:p>
        </w:tc>
        <w:tc>
          <w:tcPr>
            <w:tcW w:w="15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3/31/2025</w:t>
            </w:r>
          </w:p>
        </w:tc>
        <w:tc>
          <w:tcPr>
            <w:tcW w:w="3040" w:type="dxa"/>
            <w:vAlign w:val="bottom"/>
            <w:vMerge w:val="restart"/>
          </w:tcPr>
          <w:p>
            <w:pPr>
              <w:jc w:val="right"/>
              <w:ind w:right="2320"/>
              <w:spacing w:after="0"/>
              <w:rPr>
                <w:sz w:val="20"/>
                <w:szCs w:val="20"/>
                <w:color w:val="auto"/>
              </w:rPr>
            </w:pPr>
            <w:r>
              <w:rPr>
                <w:rFonts w:ascii="Times New Roman" w:cs="Times New Roman" w:eastAsia="Times New Roman" w:hAnsi="Times New Roman"/>
                <w:sz w:val="20"/>
                <w:szCs w:val="20"/>
                <w:color w:val="auto"/>
              </w:rPr>
              <w:t>97.1</w:t>
            </w: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500" w:type="dxa"/>
            <w:vAlign w:val="bottom"/>
            <w:gridSpan w:val="4"/>
            <w:vMerge w:val="restart"/>
          </w:tcPr>
          <w:p>
            <w:pPr>
              <w:spacing w:after="0" w:line="210" w:lineRule="exact"/>
              <w:rPr>
                <w:sz w:val="20"/>
                <w:szCs w:val="20"/>
                <w:color w:val="auto"/>
              </w:rPr>
            </w:pPr>
            <w:r>
              <w:rPr>
                <w:rFonts w:ascii="Times New Roman" w:cs="Times New Roman" w:eastAsia="Times New Roman" w:hAnsi="Times New Roman"/>
                <w:sz w:val="20"/>
                <w:szCs w:val="20"/>
                <w:color w:val="4C4C4C"/>
              </w:rPr>
              <w:t>Recovery Policy</w:t>
            </w:r>
          </w:p>
        </w:tc>
        <w:tc>
          <w:tcPr>
            <w:tcW w:w="104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000" w:type="dxa"/>
            <w:vAlign w:val="bottom"/>
          </w:tcPr>
          <w:p>
            <w:pPr>
              <w:spacing w:after="0"/>
              <w:rPr>
                <w:sz w:val="7"/>
                <w:szCs w:val="7"/>
                <w:color w:val="auto"/>
              </w:rPr>
            </w:pPr>
          </w:p>
        </w:tc>
        <w:tc>
          <w:tcPr>
            <w:tcW w:w="350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20" w:type="dxa"/>
            <w:vAlign w:val="bottom"/>
            <w:shd w:val="clear" w:color="auto" w:fill="4C4C4C"/>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000" w:type="dxa"/>
            <w:vAlign w:val="bottom"/>
          </w:tcPr>
          <w:p>
            <w:pPr>
              <w:spacing w:after="0"/>
              <w:rPr>
                <w:sz w:val="24"/>
                <w:szCs w:val="24"/>
                <w:color w:val="auto"/>
              </w:rPr>
            </w:pPr>
          </w:p>
        </w:tc>
        <w:tc>
          <w:tcPr>
            <w:tcW w:w="3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Inline XBRL Instance Document – the</w:t>
            </w: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instance document does not appear in the</w:t>
            </w: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3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Interactive Data File because XBRL tags</w:t>
            </w: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4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are embedded within the Inline XBRL</w:t>
            </w: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3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document.</w:t>
            </w:r>
          </w:p>
        </w:tc>
        <w:tc>
          <w:tcPr>
            <w:tcW w:w="10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75" w:right="1080" w:bottom="175"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10080"/>
          </w:cols>
          <w:pgMar w:left="1080" w:top="1075" w:right="1080" w:bottom="175"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101.SCH</w:t>
            </w:r>
          </w:p>
        </w:tc>
        <w:tc>
          <w:tcPr>
            <w:tcW w:w="364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9"/>
              </w:rPr>
              <w:t>Inline XBRL Taxonomy Extension Schema</w:t>
            </w:r>
          </w:p>
        </w:tc>
        <w:tc>
          <w:tcPr>
            <w:tcW w:w="0" w:type="dxa"/>
            <w:vAlign w:val="bottom"/>
          </w:tcPr>
          <w:p>
            <w:pPr>
              <w:spacing w:after="0"/>
              <w:rPr>
                <w:sz w:val="1"/>
                <w:szCs w:val="1"/>
                <w:color w:val="auto"/>
              </w:rPr>
            </w:pPr>
          </w:p>
        </w:tc>
      </w:tr>
      <w:tr>
        <w:trPr>
          <w:trHeight w:val="151"/>
        </w:trPr>
        <w:tc>
          <w:tcPr>
            <w:tcW w:w="860" w:type="dxa"/>
            <w:vAlign w:val="bottom"/>
            <w:vMerge w:val="continue"/>
          </w:tcPr>
          <w:p>
            <w:pPr>
              <w:spacing w:after="0"/>
              <w:rPr>
                <w:sz w:val="13"/>
                <w:szCs w:val="13"/>
                <w:color w:val="auto"/>
              </w:rPr>
            </w:pPr>
          </w:p>
        </w:tc>
        <w:tc>
          <w:tcPr>
            <w:tcW w:w="36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Document</w:t>
            </w: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Cover Page Interactive Data File</w:t>
            </w:r>
          </w:p>
        </w:tc>
        <w:tc>
          <w:tcPr>
            <w:tcW w:w="0" w:type="dxa"/>
            <w:vAlign w:val="bottom"/>
          </w:tcPr>
          <w:p>
            <w:pPr>
              <w:spacing w:after="0"/>
              <w:rPr>
                <w:sz w:val="1"/>
                <w:szCs w:val="1"/>
                <w:color w:val="auto"/>
              </w:rPr>
            </w:pPr>
          </w:p>
        </w:tc>
      </w:tr>
    </w:tbl>
    <w:p>
      <w:pPr>
        <w:ind w:left="1000" w:right="4700" w:hanging="1000"/>
        <w:spacing w:after="0" w:line="248" w:lineRule="auto"/>
        <w:tabs>
          <w:tab w:leader="none" w:pos="10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(embedded within the Inline XBRL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88265</wp:posOffset>
                </wp:positionV>
                <wp:extent cx="4572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95pt" to="36pt,6.9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450" w:lineRule="exact"/>
        <w:rPr>
          <w:sz w:val="20"/>
          <w:szCs w:val="20"/>
          <w:color w:val="auto"/>
        </w:rPr>
      </w:pPr>
    </w:p>
    <w:p>
      <w:pPr>
        <w:sectPr>
          <w:pgSz w:w="12240" w:h="15840" w:orient="portrait"/>
          <w:cols w:equalWidth="0" w:num="2">
            <w:col w:w="8540" w:space="720"/>
            <w:col w:w="780"/>
          </w:cols>
          <w:pgMar w:left="1080" w:top="1075" w:right="1120" w:bottom="175" w:gutter="0" w:footer="0" w:header="0"/>
        </w:sectPr>
      </w:pPr>
    </w:p>
    <w:p>
      <w:pPr>
        <w:ind w:left="500" w:hanging="500"/>
        <w:spacing w:after="0"/>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compensation plan, contract or arrangement</w:t>
      </w:r>
    </w:p>
    <w:p>
      <w:pPr>
        <w:spacing w:after="0" w:line="40" w:lineRule="exact"/>
        <w:rPr>
          <w:sz w:val="20"/>
          <w:szCs w:val="20"/>
          <w:color w:val="auto"/>
        </w:rPr>
      </w:pPr>
    </w:p>
    <w:p>
      <w:pPr>
        <w:ind w:left="500" w:hanging="500"/>
        <w:spacing w:after="0" w:line="281" w:lineRule="auto"/>
        <w:tabs>
          <w:tab w:leader="none" w:pos="5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and 32.2 that accompany this Annual Report on Form 10-K are not deemed filed with the SEC and are not to be incorporated by reference into any filing of the Registrant under the Securities Act or the Exchange Act, whether made before or after the date of this Form 10-K, irrespective of any general incorporation language contained in such filing.</w:t>
      </w:r>
    </w:p>
    <w:p>
      <w:pPr>
        <w:sectPr>
          <w:pgSz w:w="12240" w:h="15840" w:orient="portrait"/>
          <w:cols w:equalWidth="0" w:num="1">
            <w:col w:w="10040"/>
          </w:cols>
          <w:pgMar w:left="1080" w:top="1075" w:right="112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10040"/>
          </w:cols>
          <w:pgMar w:left="1080" w:top="1075" w:right="1120" w:bottom="175"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400" w:type="dxa"/>
            <w:vAlign w:val="bottom"/>
          </w:tcPr>
          <w:p>
            <w:pPr>
              <w:spacing w:after="0"/>
              <w:rPr>
                <w:sz w:val="23"/>
                <w:szCs w:val="23"/>
                <w:color w:val="auto"/>
              </w:rPr>
            </w:pPr>
          </w:p>
        </w:tc>
        <w:tc>
          <w:tcPr>
            <w:tcW w:w="668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auto"/>
              </w:rPr>
              <w:t>Biomea Fusion, Inc.</w:t>
            </w:r>
          </w:p>
        </w:tc>
      </w:tr>
      <w:tr>
        <w:trPr>
          <w:trHeight w:val="473"/>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Date: March 24, 2026</w:t>
            </w:r>
          </w:p>
        </w:tc>
        <w:tc>
          <w:tcPr>
            <w:tcW w:w="2040" w:type="dxa"/>
            <w:vAlign w:val="bottom"/>
          </w:tcPr>
          <w:p>
            <w:pPr>
              <w:ind w:left="1640"/>
              <w:spacing w:after="0"/>
              <w:rPr>
                <w:sz w:val="20"/>
                <w:szCs w:val="20"/>
                <w:color w:val="auto"/>
              </w:rPr>
            </w:pPr>
            <w:r>
              <w:rPr>
                <w:rFonts w:ascii="Times New Roman" w:cs="Times New Roman" w:eastAsia="Times New Roman" w:hAnsi="Times New Roman"/>
                <w:sz w:val="20"/>
                <w:szCs w:val="20"/>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Michael J.M. Hitchcock</w:t>
            </w:r>
          </w:p>
        </w:tc>
      </w:tr>
      <w:tr>
        <w:trPr>
          <w:trHeight w:val="233"/>
        </w:trPr>
        <w:tc>
          <w:tcPr>
            <w:tcW w:w="3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Interim Chief Executive Officer, Director</w:t>
            </w:r>
          </w:p>
        </w:tc>
      </w:tr>
      <w:tr>
        <w:trPr>
          <w:trHeight w:val="264"/>
        </w:trPr>
        <w:tc>
          <w:tcPr>
            <w:tcW w:w="34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r>
        <w:trPr>
          <w:trHeight w:val="228"/>
        </w:trPr>
        <w:tc>
          <w:tcPr>
            <w:tcW w:w="34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r>
      <w:tr>
        <w:trPr>
          <w:trHeight w:val="480"/>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Date: March 24, 2026</w:t>
            </w:r>
          </w:p>
        </w:tc>
        <w:tc>
          <w:tcPr>
            <w:tcW w:w="2040" w:type="dxa"/>
            <w:vAlign w:val="bottom"/>
          </w:tcPr>
          <w:p>
            <w:pPr>
              <w:ind w:left="1640"/>
              <w:spacing w:after="0"/>
              <w:rPr>
                <w:sz w:val="20"/>
                <w:szCs w:val="20"/>
                <w:color w:val="auto"/>
              </w:rPr>
            </w:pPr>
            <w:r>
              <w:rPr>
                <w:rFonts w:ascii="Times New Roman" w:cs="Times New Roman" w:eastAsia="Times New Roman" w:hAnsi="Times New Roman"/>
                <w:sz w:val="20"/>
                <w:szCs w:val="20"/>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Rainer Erdtmann</w:t>
            </w:r>
          </w:p>
        </w:tc>
      </w:tr>
      <w:tr>
        <w:trPr>
          <w:trHeight w:val="254"/>
        </w:trPr>
        <w:tc>
          <w:tcPr>
            <w:tcW w:w="34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Chief Operating Officer, Director</w:t>
            </w:r>
          </w:p>
        </w:tc>
      </w:tr>
    </w:tbl>
    <w:p>
      <w:pPr>
        <w:ind w:left="5940"/>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KNOW ALL BY THESE PRESENTS, that each person whose signature appears below constitutes and appoints each of Michael J.M. Hitchcock and Rainer Erdtmann as his or her true and lawful attorneys-in-fact and agents, each with the full power of substitution, for him or her in his or her name, place or stead, in any and all capacities, to sign any and all amendments to this Annual Report on Form 10-K, and to file the same, with all exhibits thereto, and other documents in connection therewith, with the U.S.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said attorneys-in-fact and agents, or his or her substitute or substitutes, may lawfully do or cause to be done by virtue hereof.</w:t>
      </w:r>
    </w:p>
    <w:p>
      <w:pPr>
        <w:spacing w:after="0" w:line="27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w:t>
            </w:r>
          </w:p>
        </w:tc>
        <w:tc>
          <w:tcPr>
            <w:tcW w:w="4500" w:type="dxa"/>
            <w:vAlign w:val="bottom"/>
          </w:tcPr>
          <w:p>
            <w:pPr>
              <w:ind w:left="208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360" w:type="dxa"/>
            <w:vAlign w:val="bottom"/>
          </w:tcPr>
          <w:p>
            <w:pPr>
              <w:ind w:left="960"/>
              <w:spacing w:after="0"/>
              <w:rPr>
                <w:sz w:val="20"/>
                <w:szCs w:val="20"/>
                <w:color w:val="auto"/>
              </w:rPr>
            </w:pPr>
            <w:r>
              <w:rPr>
                <w:rFonts w:ascii="Times New Roman" w:cs="Times New Roman" w:eastAsia="Times New Roman" w:hAnsi="Times New Roman"/>
                <w:sz w:val="20"/>
                <w:szCs w:val="20"/>
                <w:b w:val="1"/>
                <w:bCs w:val="1"/>
                <w:color w:val="auto"/>
                <w:w w:val="94"/>
              </w:rPr>
              <w:t>Date</w:t>
            </w:r>
          </w:p>
        </w:tc>
      </w:tr>
      <w:tr>
        <w:trPr>
          <w:trHeight w:val="358"/>
        </w:trPr>
        <w:tc>
          <w:tcPr>
            <w:tcW w:w="332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Interim Chief Executive Officer, Director (Principal</w:t>
            </w:r>
          </w:p>
        </w:tc>
        <w:tc>
          <w:tcPr>
            <w:tcW w:w="1360" w:type="dxa"/>
            <w:vAlign w:val="bottom"/>
          </w:tcPr>
          <w:p>
            <w:pPr>
              <w:spacing w:after="0"/>
              <w:rPr>
                <w:sz w:val="24"/>
                <w:szCs w:val="24"/>
                <w:color w:val="auto"/>
              </w:rPr>
            </w:pPr>
          </w:p>
        </w:tc>
      </w:tr>
      <w:tr>
        <w:trPr>
          <w:trHeight w:val="250"/>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Michael J.M. Hitchcock</w:t>
            </w:r>
          </w:p>
        </w:tc>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Officer)</w:t>
            </w:r>
          </w:p>
        </w:tc>
        <w:tc>
          <w:tcPr>
            <w:tcW w:w="13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March 24, 2026</w:t>
            </w:r>
          </w:p>
        </w:tc>
      </w:tr>
      <w:tr>
        <w:trPr>
          <w:trHeight w:val="256"/>
        </w:trPr>
        <w:tc>
          <w:tcPr>
            <w:tcW w:w="3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Michael J.M. Hitchcock</w:t>
            </w:r>
          </w:p>
        </w:tc>
        <w:tc>
          <w:tcPr>
            <w:tcW w:w="45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357"/>
        </w:trPr>
        <w:tc>
          <w:tcPr>
            <w:tcW w:w="332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Operating Officer, Director (Principal Financial</w:t>
            </w:r>
          </w:p>
        </w:tc>
        <w:tc>
          <w:tcPr>
            <w:tcW w:w="1360" w:type="dxa"/>
            <w:vAlign w:val="bottom"/>
          </w:tcPr>
          <w:p>
            <w:pPr>
              <w:spacing w:after="0"/>
              <w:rPr>
                <w:sz w:val="24"/>
                <w:szCs w:val="24"/>
                <w:color w:val="auto"/>
              </w:rPr>
            </w:pPr>
          </w:p>
        </w:tc>
      </w:tr>
      <w:tr>
        <w:trPr>
          <w:trHeight w:val="24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Rainer Erdtmann</w:t>
            </w:r>
          </w:p>
        </w:tc>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and Accounting Officer)</w:t>
            </w:r>
          </w:p>
        </w:tc>
        <w:tc>
          <w:tcPr>
            <w:tcW w:w="13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March 24, 2026</w:t>
            </w:r>
          </w:p>
        </w:tc>
      </w:tr>
      <w:tr>
        <w:trPr>
          <w:trHeight w:val="256"/>
        </w:trPr>
        <w:tc>
          <w:tcPr>
            <w:tcW w:w="3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Rainer Erdtmann</w:t>
            </w:r>
          </w:p>
        </w:tc>
        <w:tc>
          <w:tcPr>
            <w:tcW w:w="45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37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Eric Aguiar, M.D.</w:t>
            </w:r>
          </w:p>
        </w:tc>
        <w:tc>
          <w:tcPr>
            <w:tcW w:w="4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3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March 24, 2026</w:t>
            </w:r>
          </w:p>
        </w:tc>
      </w:tr>
      <w:tr>
        <w:trPr>
          <w:trHeight w:val="256"/>
        </w:trPr>
        <w:tc>
          <w:tcPr>
            <w:tcW w:w="3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Eric Aguiar, M.D.</w:t>
            </w:r>
          </w:p>
        </w:tc>
        <w:tc>
          <w:tcPr>
            <w:tcW w:w="45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37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Julianne Averill</w:t>
            </w:r>
          </w:p>
        </w:tc>
        <w:tc>
          <w:tcPr>
            <w:tcW w:w="4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3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March 24, 2026</w:t>
            </w:r>
          </w:p>
        </w:tc>
      </w:tr>
      <w:tr>
        <w:trPr>
          <w:trHeight w:val="256"/>
        </w:trPr>
        <w:tc>
          <w:tcPr>
            <w:tcW w:w="3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Julianne Averill</w:t>
            </w:r>
          </w:p>
        </w:tc>
        <w:tc>
          <w:tcPr>
            <w:tcW w:w="45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37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Sumita Ray, J.D.</w:t>
            </w:r>
          </w:p>
        </w:tc>
        <w:tc>
          <w:tcPr>
            <w:tcW w:w="4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3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March 24, 2026</w:t>
            </w:r>
          </w:p>
        </w:tc>
      </w:tr>
      <w:tr>
        <w:trPr>
          <w:trHeight w:val="256"/>
        </w:trPr>
        <w:tc>
          <w:tcPr>
            <w:tcW w:w="3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Sumita Ray, J.D.</w:t>
            </w:r>
          </w:p>
        </w:tc>
        <w:tc>
          <w:tcPr>
            <w:tcW w:w="45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37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Elizabeth Faust, Ph.D.</w:t>
            </w:r>
          </w:p>
        </w:tc>
        <w:tc>
          <w:tcPr>
            <w:tcW w:w="4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3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March 24, 2026</w:t>
            </w:r>
          </w:p>
        </w:tc>
      </w:tr>
      <w:tr>
        <w:trPr>
          <w:trHeight w:val="256"/>
        </w:trPr>
        <w:tc>
          <w:tcPr>
            <w:tcW w:w="3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Elizabeth Faust, Ph.D.</w:t>
            </w:r>
          </w:p>
        </w:tc>
        <w:tc>
          <w:tcPr>
            <w:tcW w:w="450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10080"/>
          </w:cols>
          <w:pgMar w:left="1080" w:top="1056" w:right="1080" w:bottom="175" w:gutter="0" w:footer="0" w:header="0"/>
          <w:type w:val="continuous"/>
        </w:sectPr>
      </w:pPr>
    </w:p>
    <w:bookmarkStart w:id="127" w:name="page128"/>
    <w:bookmarkEnd w:id="127"/>
    <w:p>
      <w:pPr>
        <w:ind w:left="80"/>
        <w:spacing w:after="0"/>
        <w:rPr>
          <w:sz w:val="20"/>
          <w:szCs w:val="20"/>
          <w:color w:val="auto"/>
        </w:rPr>
      </w:pPr>
      <w:r>
        <w:rPr>
          <w:rFonts w:ascii="Arial" w:cs="Arial" w:eastAsia="Arial" w:hAnsi="Arial"/>
          <w:sz w:val="22"/>
          <w:szCs w:val="22"/>
          <w:b w:val="1"/>
          <w:bCs w:val="1"/>
          <w:color w:val="auto"/>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23495</wp:posOffset>
                </wp:positionV>
                <wp:extent cx="627253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253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pt,1.85pt" to="495.3pt,1.85pt" o:allowincell="f" strokecolor="#000000" strokeweight="1.44pt"/>
            </w:pict>
          </mc:Fallback>
        </mc:AlternateConten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460" w:type="dxa"/>
            <w:vAlign w:val="bottom"/>
          </w:tcPr>
          <w:p>
            <w:pPr>
              <w:ind w:left="280"/>
              <w:spacing w:after="0"/>
              <w:rPr>
                <w:sz w:val="20"/>
                <w:szCs w:val="20"/>
                <w:color w:val="auto"/>
              </w:rPr>
            </w:pPr>
            <w:r>
              <w:rPr>
                <w:rFonts w:ascii="Arial" w:cs="Arial" w:eastAsia="Arial" w:hAnsi="Arial"/>
                <w:sz w:val="20"/>
                <w:szCs w:val="20"/>
                <w:b w:val="1"/>
                <w:bCs w:val="1"/>
                <w:color w:val="auto"/>
              </w:rPr>
              <w:t>Michael J.M Hitchcock, Ph.D.</w:t>
            </w:r>
          </w:p>
        </w:tc>
        <w:tc>
          <w:tcPr>
            <w:tcW w:w="5400" w:type="dxa"/>
            <w:vAlign w:val="bottom"/>
          </w:tcPr>
          <w:p>
            <w:pPr>
              <w:ind w:left="660"/>
              <w:spacing w:after="0"/>
              <w:rPr>
                <w:sz w:val="20"/>
                <w:szCs w:val="20"/>
                <w:color w:val="auto"/>
              </w:rPr>
            </w:pPr>
            <w:r>
              <w:rPr>
                <w:rFonts w:ascii="Arial" w:cs="Arial" w:eastAsia="Arial" w:hAnsi="Arial"/>
                <w:sz w:val="20"/>
                <w:szCs w:val="20"/>
                <w:b w:val="1"/>
                <w:bCs w:val="1"/>
                <w:color w:val="auto"/>
              </w:rPr>
              <w:t>Rainer (Ramses) Erdtmann</w:t>
            </w:r>
          </w:p>
        </w:tc>
        <w:tc>
          <w:tcPr>
            <w:tcW w:w="20" w:type="dxa"/>
            <w:vAlign w:val="bottom"/>
          </w:tcPr>
          <w:p>
            <w:pPr>
              <w:spacing w:after="0"/>
              <w:rPr>
                <w:sz w:val="21"/>
                <w:szCs w:val="21"/>
                <w:color w:val="auto"/>
              </w:rPr>
            </w:pPr>
          </w:p>
        </w:tc>
      </w:tr>
      <w:tr>
        <w:trPr>
          <w:trHeight w:val="265"/>
        </w:trPr>
        <w:tc>
          <w:tcPr>
            <w:tcW w:w="20" w:type="dxa"/>
            <w:vAlign w:val="bottom"/>
          </w:tcPr>
          <w:p>
            <w:pPr>
              <w:spacing w:after="0"/>
              <w:rPr>
                <w:sz w:val="23"/>
                <w:szCs w:val="23"/>
                <w:color w:val="auto"/>
              </w:rPr>
            </w:pPr>
          </w:p>
        </w:tc>
        <w:tc>
          <w:tcPr>
            <w:tcW w:w="4460" w:type="dxa"/>
            <w:vAlign w:val="bottom"/>
          </w:tcPr>
          <w:p>
            <w:pPr>
              <w:ind w:left="280"/>
              <w:spacing w:after="0"/>
              <w:rPr>
                <w:sz w:val="20"/>
                <w:szCs w:val="20"/>
                <w:color w:val="auto"/>
              </w:rPr>
            </w:pPr>
            <w:r>
              <w:rPr>
                <w:rFonts w:ascii="Arial" w:cs="Arial" w:eastAsia="Arial" w:hAnsi="Arial"/>
                <w:sz w:val="20"/>
                <w:szCs w:val="20"/>
                <w:color w:val="auto"/>
              </w:rPr>
              <w:t>Director, Interim Chief Executive Officer</w:t>
            </w:r>
          </w:p>
        </w:tc>
        <w:tc>
          <w:tcPr>
            <w:tcW w:w="5400" w:type="dxa"/>
            <w:vAlign w:val="bottom"/>
          </w:tcPr>
          <w:p>
            <w:pPr>
              <w:ind w:left="640"/>
              <w:spacing w:after="0"/>
              <w:rPr>
                <w:sz w:val="20"/>
                <w:szCs w:val="20"/>
                <w:color w:val="auto"/>
              </w:rPr>
            </w:pPr>
            <w:r>
              <w:rPr>
                <w:rFonts w:ascii="Arial" w:cs="Arial" w:eastAsia="Arial" w:hAnsi="Arial"/>
                <w:sz w:val="20"/>
                <w:szCs w:val="20"/>
                <w:color w:val="auto"/>
              </w:rPr>
              <w:t>Chief Operating Officer, President, Director</w:t>
            </w:r>
          </w:p>
        </w:tc>
        <w:tc>
          <w:tcPr>
            <w:tcW w:w="20" w:type="dxa"/>
            <w:vAlign w:val="bottom"/>
          </w:tcPr>
          <w:p>
            <w:pPr>
              <w:spacing w:after="0"/>
              <w:rPr>
                <w:sz w:val="23"/>
                <w:szCs w:val="23"/>
                <w:color w:val="auto"/>
              </w:rPr>
            </w:pPr>
          </w:p>
        </w:tc>
      </w:tr>
      <w:tr>
        <w:trPr>
          <w:trHeight w:val="520"/>
        </w:trPr>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BOARD OF DIRECTORS</w:t>
            </w:r>
          </w:p>
        </w:tc>
        <w:tc>
          <w:tcPr>
            <w:tcW w:w="5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67"/>
        </w:trPr>
        <w:tc>
          <w:tcPr>
            <w:tcW w:w="20" w:type="dxa"/>
            <w:vAlign w:val="bottom"/>
          </w:tcPr>
          <w:p>
            <w:pPr>
              <w:spacing w:after="0"/>
              <w:rPr>
                <w:sz w:val="24"/>
                <w:szCs w:val="24"/>
                <w:color w:val="auto"/>
              </w:rPr>
            </w:pPr>
          </w:p>
        </w:tc>
        <w:tc>
          <w:tcPr>
            <w:tcW w:w="4460" w:type="dxa"/>
            <w:vAlign w:val="bottom"/>
          </w:tcPr>
          <w:p>
            <w:pPr>
              <w:ind w:left="280"/>
              <w:spacing w:after="0"/>
              <w:rPr>
                <w:sz w:val="20"/>
                <w:szCs w:val="20"/>
                <w:color w:val="auto"/>
              </w:rPr>
            </w:pPr>
            <w:r>
              <w:rPr>
                <w:rFonts w:ascii="Arial" w:cs="Arial" w:eastAsia="Arial" w:hAnsi="Arial"/>
                <w:sz w:val="20"/>
                <w:szCs w:val="20"/>
                <w:b w:val="1"/>
                <w:bCs w:val="1"/>
                <w:color w:val="auto"/>
              </w:rPr>
              <w:t>Michael J.M Hitchcock, Ph.D.</w:t>
            </w:r>
          </w:p>
        </w:tc>
        <w:tc>
          <w:tcPr>
            <w:tcW w:w="5400" w:type="dxa"/>
            <w:vAlign w:val="bottom"/>
          </w:tcPr>
          <w:p>
            <w:pPr>
              <w:ind w:left="680"/>
              <w:spacing w:after="0"/>
              <w:rPr>
                <w:sz w:val="20"/>
                <w:szCs w:val="20"/>
                <w:color w:val="auto"/>
              </w:rPr>
            </w:pPr>
            <w:r>
              <w:rPr>
                <w:rFonts w:ascii="Arial" w:cs="Arial" w:eastAsia="Arial" w:hAnsi="Arial"/>
                <w:sz w:val="20"/>
                <w:szCs w:val="20"/>
                <w:b w:val="1"/>
                <w:bCs w:val="1"/>
                <w:color w:val="auto"/>
              </w:rPr>
              <w:t>Rainer (Ramses) Erdtmann</w:t>
            </w:r>
          </w:p>
        </w:tc>
        <w:tc>
          <w:tcPr>
            <w:tcW w:w="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4460" w:type="dxa"/>
            <w:vAlign w:val="bottom"/>
          </w:tcPr>
          <w:p>
            <w:pPr>
              <w:ind w:left="280"/>
              <w:spacing w:after="0"/>
              <w:rPr>
                <w:sz w:val="20"/>
                <w:szCs w:val="20"/>
                <w:color w:val="auto"/>
              </w:rPr>
            </w:pPr>
            <w:r>
              <w:rPr>
                <w:rFonts w:ascii="Arial" w:cs="Arial" w:eastAsia="Arial" w:hAnsi="Arial"/>
                <w:sz w:val="20"/>
                <w:szCs w:val="20"/>
                <w:color w:val="auto"/>
              </w:rPr>
              <w:t>Director, Interim Chief Executive Officer</w:t>
            </w:r>
          </w:p>
        </w:tc>
        <w:tc>
          <w:tcPr>
            <w:tcW w:w="5400" w:type="dxa"/>
            <w:vAlign w:val="bottom"/>
          </w:tcPr>
          <w:p>
            <w:pPr>
              <w:ind w:left="680"/>
              <w:spacing w:after="0"/>
              <w:rPr>
                <w:sz w:val="20"/>
                <w:szCs w:val="20"/>
                <w:color w:val="auto"/>
              </w:rPr>
            </w:pPr>
            <w:r>
              <w:rPr>
                <w:rFonts w:ascii="Arial" w:cs="Arial" w:eastAsia="Arial" w:hAnsi="Arial"/>
                <w:sz w:val="20"/>
                <w:szCs w:val="20"/>
                <w:color w:val="auto"/>
              </w:rPr>
              <w:t>Chief Operating Officer, President, Director</w:t>
            </w:r>
          </w:p>
        </w:tc>
        <w:tc>
          <w:tcPr>
            <w:tcW w:w="20" w:type="dxa"/>
            <w:vAlign w:val="bottom"/>
          </w:tcPr>
          <w:p>
            <w:pPr>
              <w:spacing w:after="0"/>
              <w:rPr>
                <w:sz w:val="23"/>
                <w:szCs w:val="23"/>
                <w:color w:val="auto"/>
              </w:rPr>
            </w:pPr>
          </w:p>
        </w:tc>
      </w:tr>
      <w:tr>
        <w:trPr>
          <w:trHeight w:val="741"/>
        </w:trPr>
        <w:tc>
          <w:tcPr>
            <w:tcW w:w="20" w:type="dxa"/>
            <w:vAlign w:val="bottom"/>
          </w:tcPr>
          <w:p>
            <w:pPr>
              <w:spacing w:after="0"/>
              <w:rPr>
                <w:sz w:val="24"/>
                <w:szCs w:val="24"/>
                <w:color w:val="auto"/>
              </w:rPr>
            </w:pPr>
          </w:p>
        </w:tc>
        <w:tc>
          <w:tcPr>
            <w:tcW w:w="4460" w:type="dxa"/>
            <w:vAlign w:val="bottom"/>
          </w:tcPr>
          <w:p>
            <w:pPr>
              <w:ind w:left="280"/>
              <w:spacing w:after="0"/>
              <w:rPr>
                <w:sz w:val="20"/>
                <w:szCs w:val="20"/>
                <w:color w:val="auto"/>
              </w:rPr>
            </w:pPr>
            <w:r>
              <w:rPr>
                <w:rFonts w:ascii="Arial" w:cs="Arial" w:eastAsia="Arial" w:hAnsi="Arial"/>
                <w:sz w:val="20"/>
                <w:szCs w:val="20"/>
                <w:b w:val="1"/>
                <w:bCs w:val="1"/>
                <w:color w:val="auto"/>
              </w:rPr>
              <w:t>Eric Aguiar, M.D.</w:t>
            </w:r>
          </w:p>
        </w:tc>
        <w:tc>
          <w:tcPr>
            <w:tcW w:w="5400" w:type="dxa"/>
            <w:vAlign w:val="bottom"/>
          </w:tcPr>
          <w:p>
            <w:pPr>
              <w:ind w:left="680"/>
              <w:spacing w:after="0"/>
              <w:rPr>
                <w:sz w:val="20"/>
                <w:szCs w:val="20"/>
                <w:color w:val="auto"/>
              </w:rPr>
            </w:pPr>
            <w:r>
              <w:rPr>
                <w:rFonts w:ascii="Arial" w:cs="Arial" w:eastAsia="Arial" w:hAnsi="Arial"/>
                <w:sz w:val="20"/>
                <w:szCs w:val="20"/>
                <w:b w:val="1"/>
                <w:bCs w:val="1"/>
                <w:color w:val="auto"/>
              </w:rPr>
              <w:t>Julianne Averill, M.S.</w:t>
            </w:r>
          </w:p>
        </w:tc>
        <w:tc>
          <w:tcPr>
            <w:tcW w:w="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4460" w:type="dxa"/>
            <w:vAlign w:val="bottom"/>
          </w:tcPr>
          <w:p>
            <w:pPr>
              <w:ind w:left="280"/>
              <w:spacing w:after="0"/>
              <w:rPr>
                <w:sz w:val="20"/>
                <w:szCs w:val="20"/>
                <w:color w:val="auto"/>
              </w:rPr>
            </w:pPr>
            <w:r>
              <w:rPr>
                <w:rFonts w:ascii="Arial" w:cs="Arial" w:eastAsia="Arial" w:hAnsi="Arial"/>
                <w:sz w:val="20"/>
                <w:szCs w:val="20"/>
                <w:color w:val="auto"/>
              </w:rPr>
              <w:t>Partner, Aisling Capital</w:t>
            </w:r>
          </w:p>
        </w:tc>
        <w:tc>
          <w:tcPr>
            <w:tcW w:w="5400" w:type="dxa"/>
            <w:vAlign w:val="bottom"/>
          </w:tcPr>
          <w:p>
            <w:pPr>
              <w:ind w:left="680"/>
              <w:spacing w:after="0"/>
              <w:rPr>
                <w:sz w:val="20"/>
                <w:szCs w:val="20"/>
                <w:color w:val="auto"/>
              </w:rPr>
            </w:pPr>
            <w:r>
              <w:rPr>
                <w:rFonts w:ascii="Arial" w:cs="Arial" w:eastAsia="Arial" w:hAnsi="Arial"/>
                <w:sz w:val="20"/>
                <w:szCs w:val="20"/>
                <w:color w:val="auto"/>
              </w:rPr>
              <w:t>Managing Director, Danforth Advisors, LLC</w:t>
            </w:r>
          </w:p>
        </w:tc>
        <w:tc>
          <w:tcPr>
            <w:tcW w:w="20" w:type="dxa"/>
            <w:vAlign w:val="bottom"/>
          </w:tcPr>
          <w:p>
            <w:pPr>
              <w:spacing w:after="0"/>
              <w:rPr>
                <w:sz w:val="24"/>
                <w:szCs w:val="24"/>
                <w:color w:val="auto"/>
              </w:rPr>
            </w:pPr>
          </w:p>
        </w:tc>
      </w:tr>
      <w:tr>
        <w:trPr>
          <w:trHeight w:val="728"/>
        </w:trPr>
        <w:tc>
          <w:tcPr>
            <w:tcW w:w="20" w:type="dxa"/>
            <w:vAlign w:val="bottom"/>
          </w:tcPr>
          <w:p>
            <w:pPr>
              <w:spacing w:after="0"/>
              <w:rPr>
                <w:sz w:val="24"/>
                <w:szCs w:val="24"/>
                <w:color w:val="auto"/>
              </w:rPr>
            </w:pPr>
          </w:p>
        </w:tc>
        <w:tc>
          <w:tcPr>
            <w:tcW w:w="4460" w:type="dxa"/>
            <w:vAlign w:val="bottom"/>
          </w:tcPr>
          <w:p>
            <w:pPr>
              <w:ind w:left="280"/>
              <w:spacing w:after="0"/>
              <w:rPr>
                <w:sz w:val="20"/>
                <w:szCs w:val="20"/>
                <w:color w:val="auto"/>
              </w:rPr>
            </w:pPr>
            <w:r>
              <w:rPr>
                <w:rFonts w:ascii="Arial" w:cs="Arial" w:eastAsia="Arial" w:hAnsi="Arial"/>
                <w:sz w:val="20"/>
                <w:szCs w:val="20"/>
                <w:b w:val="1"/>
                <w:bCs w:val="1"/>
                <w:color w:val="auto"/>
              </w:rPr>
              <w:t>Elizabeth Faust, Ph.D.</w:t>
            </w:r>
          </w:p>
        </w:tc>
        <w:tc>
          <w:tcPr>
            <w:tcW w:w="5400" w:type="dxa"/>
            <w:vAlign w:val="bottom"/>
          </w:tcPr>
          <w:p>
            <w:pPr>
              <w:ind w:left="680"/>
              <w:spacing w:after="0"/>
              <w:rPr>
                <w:sz w:val="20"/>
                <w:szCs w:val="20"/>
                <w:color w:val="auto"/>
              </w:rPr>
            </w:pPr>
            <w:r>
              <w:rPr>
                <w:rFonts w:ascii="Arial" w:cs="Arial" w:eastAsia="Arial" w:hAnsi="Arial"/>
                <w:sz w:val="20"/>
                <w:szCs w:val="20"/>
                <w:b w:val="1"/>
                <w:bCs w:val="1"/>
                <w:color w:val="auto"/>
              </w:rPr>
              <w:t>Sumita Ray, J.D.</w:t>
            </w:r>
          </w:p>
        </w:tc>
        <w:tc>
          <w:tcPr>
            <w:tcW w:w="20" w:type="dxa"/>
            <w:vAlign w:val="bottom"/>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4460" w:type="dxa"/>
            <w:vAlign w:val="bottom"/>
          </w:tcPr>
          <w:p>
            <w:pPr>
              <w:ind w:left="280"/>
              <w:spacing w:after="0"/>
              <w:rPr>
                <w:sz w:val="20"/>
                <w:szCs w:val="20"/>
                <w:color w:val="auto"/>
              </w:rPr>
            </w:pPr>
            <w:r>
              <w:rPr>
                <w:rFonts w:ascii="Arial" w:cs="Arial" w:eastAsia="Arial" w:hAnsi="Arial"/>
                <w:sz w:val="20"/>
                <w:szCs w:val="20"/>
                <w:color w:val="auto"/>
              </w:rPr>
              <w:t>Principal and Owner, Faust Consulting LLC</w:t>
            </w:r>
          </w:p>
        </w:tc>
        <w:tc>
          <w:tcPr>
            <w:tcW w:w="5400" w:type="dxa"/>
            <w:vAlign w:val="bottom"/>
          </w:tcPr>
          <w:p>
            <w:pPr>
              <w:ind w:left="680"/>
              <w:spacing w:after="0"/>
              <w:rPr>
                <w:sz w:val="20"/>
                <w:szCs w:val="20"/>
                <w:color w:val="auto"/>
              </w:rPr>
            </w:pPr>
            <w:r>
              <w:rPr>
                <w:rFonts w:ascii="Arial" w:cs="Arial" w:eastAsia="Arial" w:hAnsi="Arial"/>
                <w:sz w:val="20"/>
                <w:szCs w:val="20"/>
                <w:color w:val="auto"/>
              </w:rPr>
              <w:t>Principal and Owner, FifthRay Consulting, LLC</w:t>
            </w:r>
          </w:p>
        </w:tc>
        <w:tc>
          <w:tcPr>
            <w:tcW w:w="20" w:type="dxa"/>
            <w:vAlign w:val="bottom"/>
          </w:tcPr>
          <w:p>
            <w:pPr>
              <w:spacing w:after="0"/>
              <w:rPr>
                <w:sz w:val="23"/>
                <w:szCs w:val="23"/>
                <w:color w:val="auto"/>
              </w:rPr>
            </w:pPr>
          </w:p>
        </w:tc>
      </w:tr>
      <w:tr>
        <w:trPr>
          <w:trHeight w:val="813"/>
        </w:trPr>
        <w:tc>
          <w:tcPr>
            <w:tcW w:w="20" w:type="dxa"/>
            <w:vAlign w:val="bottom"/>
          </w:tcPr>
          <w:p>
            <w:pPr>
              <w:spacing w:after="0"/>
              <w:rPr>
                <w:sz w:val="24"/>
                <w:szCs w:val="24"/>
                <w:color w:val="auto"/>
              </w:rPr>
            </w:pPr>
          </w:p>
        </w:tc>
        <w:tc>
          <w:tcPr>
            <w:tcW w:w="44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CORPORATE INFORMATION</w:t>
            </w:r>
          </w:p>
        </w:tc>
        <w:tc>
          <w:tcPr>
            <w:tcW w:w="5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4460" w:type="dxa"/>
            <w:vAlign w:val="bottom"/>
          </w:tcPr>
          <w:p>
            <w:pPr>
              <w:ind w:left="280"/>
              <w:spacing w:after="0"/>
              <w:rPr>
                <w:sz w:val="20"/>
                <w:szCs w:val="20"/>
                <w:color w:val="auto"/>
              </w:rPr>
            </w:pPr>
            <w:r>
              <w:rPr>
                <w:rFonts w:ascii="Arial" w:cs="Arial" w:eastAsia="Arial" w:hAnsi="Arial"/>
                <w:sz w:val="20"/>
                <w:szCs w:val="20"/>
                <w:b w:val="1"/>
                <w:bCs w:val="1"/>
                <w:color w:val="auto"/>
              </w:rPr>
              <w:t xml:space="preserve">Corporate </w:t>
            </w:r>
            <w:r>
              <w:rPr>
                <w:rFonts w:ascii="Arial" w:cs="Arial" w:eastAsia="Arial" w:hAnsi="Arial"/>
                <w:sz w:val="19"/>
                <w:szCs w:val="19"/>
                <w:b w:val="1"/>
                <w:bCs w:val="1"/>
                <w:color w:val="auto"/>
              </w:rPr>
              <w:t>Headquarters</w:t>
            </w:r>
          </w:p>
        </w:tc>
        <w:tc>
          <w:tcPr>
            <w:tcW w:w="5400" w:type="dxa"/>
            <w:vAlign w:val="bottom"/>
          </w:tcPr>
          <w:p>
            <w:pPr>
              <w:ind w:left="680"/>
              <w:spacing w:after="0"/>
              <w:rPr>
                <w:sz w:val="20"/>
                <w:szCs w:val="20"/>
                <w:color w:val="auto"/>
              </w:rPr>
            </w:pPr>
            <w:r>
              <w:rPr>
                <w:rFonts w:ascii="Arial" w:cs="Arial" w:eastAsia="Arial" w:hAnsi="Arial"/>
                <w:sz w:val="20"/>
                <w:szCs w:val="20"/>
                <w:b w:val="1"/>
                <w:bCs w:val="1"/>
                <w:color w:val="auto"/>
              </w:rPr>
              <w:t>Independent Registered Public Accounting Firm</w:t>
            </w:r>
          </w:p>
        </w:tc>
        <w:tc>
          <w:tcPr>
            <w:tcW w:w="20" w:type="dxa"/>
            <w:vAlign w:val="bottom"/>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4460" w:type="dxa"/>
            <w:vAlign w:val="bottom"/>
          </w:tcPr>
          <w:p>
            <w:pPr>
              <w:ind w:left="280"/>
              <w:spacing w:after="0"/>
              <w:rPr>
                <w:sz w:val="20"/>
                <w:szCs w:val="20"/>
                <w:color w:val="auto"/>
              </w:rPr>
            </w:pPr>
            <w:r>
              <w:rPr>
                <w:rFonts w:ascii="Arial" w:cs="Arial" w:eastAsia="Arial" w:hAnsi="Arial"/>
                <w:sz w:val="20"/>
                <w:szCs w:val="20"/>
                <w:color w:val="auto"/>
              </w:rPr>
              <w:t>1599 Industrial Road</w:t>
            </w:r>
          </w:p>
        </w:tc>
        <w:tc>
          <w:tcPr>
            <w:tcW w:w="5400" w:type="dxa"/>
            <w:vAlign w:val="bottom"/>
          </w:tcPr>
          <w:p>
            <w:pPr>
              <w:ind w:left="680"/>
              <w:spacing w:after="0"/>
              <w:rPr>
                <w:sz w:val="20"/>
                <w:szCs w:val="20"/>
                <w:color w:val="auto"/>
              </w:rPr>
            </w:pPr>
            <w:r>
              <w:rPr>
                <w:rFonts w:ascii="Arial" w:cs="Arial" w:eastAsia="Arial" w:hAnsi="Arial"/>
                <w:sz w:val="20"/>
                <w:szCs w:val="20"/>
                <w:color w:val="auto"/>
              </w:rPr>
              <w:t>Deloitte &amp; Touche LLP</w:t>
            </w:r>
          </w:p>
        </w:tc>
        <w:tc>
          <w:tcPr>
            <w:tcW w:w="2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4460" w:type="dxa"/>
            <w:vAlign w:val="bottom"/>
          </w:tcPr>
          <w:p>
            <w:pPr>
              <w:ind w:left="280"/>
              <w:spacing w:after="0"/>
              <w:rPr>
                <w:sz w:val="20"/>
                <w:szCs w:val="20"/>
                <w:color w:val="auto"/>
              </w:rPr>
            </w:pPr>
            <w:r>
              <w:rPr>
                <w:rFonts w:ascii="Arial" w:cs="Arial" w:eastAsia="Arial" w:hAnsi="Arial"/>
                <w:sz w:val="20"/>
                <w:szCs w:val="20"/>
                <w:color w:val="auto"/>
              </w:rPr>
              <w:t>San Carlos, California 94070</w:t>
            </w:r>
          </w:p>
        </w:tc>
        <w:tc>
          <w:tcPr>
            <w:tcW w:w="54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733"/>
        </w:trPr>
        <w:tc>
          <w:tcPr>
            <w:tcW w:w="20" w:type="dxa"/>
            <w:vAlign w:val="bottom"/>
          </w:tcPr>
          <w:p>
            <w:pPr>
              <w:spacing w:after="0"/>
              <w:rPr>
                <w:sz w:val="24"/>
                <w:szCs w:val="24"/>
                <w:color w:val="auto"/>
              </w:rPr>
            </w:pPr>
          </w:p>
        </w:tc>
        <w:tc>
          <w:tcPr>
            <w:tcW w:w="4460" w:type="dxa"/>
            <w:vAlign w:val="bottom"/>
          </w:tcPr>
          <w:p>
            <w:pPr>
              <w:ind w:left="280"/>
              <w:spacing w:after="0"/>
              <w:rPr>
                <w:sz w:val="20"/>
                <w:szCs w:val="20"/>
                <w:color w:val="auto"/>
              </w:rPr>
            </w:pPr>
            <w:r>
              <w:rPr>
                <w:rFonts w:ascii="Arial" w:cs="Arial" w:eastAsia="Arial" w:hAnsi="Arial"/>
                <w:sz w:val="20"/>
                <w:szCs w:val="20"/>
                <w:b w:val="1"/>
                <w:bCs w:val="1"/>
                <w:color w:val="auto"/>
              </w:rPr>
              <w:t>Transfer Agent</w:t>
            </w:r>
          </w:p>
        </w:tc>
        <w:tc>
          <w:tcPr>
            <w:tcW w:w="5400" w:type="dxa"/>
            <w:vAlign w:val="bottom"/>
          </w:tcPr>
          <w:p>
            <w:pPr>
              <w:ind w:left="680"/>
              <w:spacing w:after="0"/>
              <w:rPr>
                <w:sz w:val="20"/>
                <w:szCs w:val="20"/>
                <w:color w:val="auto"/>
              </w:rPr>
            </w:pPr>
            <w:r>
              <w:rPr>
                <w:rFonts w:ascii="Arial" w:cs="Arial" w:eastAsia="Arial" w:hAnsi="Arial"/>
                <w:sz w:val="20"/>
                <w:szCs w:val="20"/>
                <w:b w:val="1"/>
                <w:bCs w:val="1"/>
                <w:color w:val="auto"/>
              </w:rPr>
              <w:t>Investor Relations</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280"/>
              <w:spacing w:after="0"/>
              <w:rPr>
                <w:sz w:val="20"/>
                <w:szCs w:val="20"/>
                <w:color w:val="auto"/>
              </w:rPr>
            </w:pPr>
            <w:r>
              <w:rPr>
                <w:rFonts w:ascii="Arial" w:cs="Arial" w:eastAsia="Arial" w:hAnsi="Arial"/>
                <w:sz w:val="20"/>
                <w:szCs w:val="20"/>
                <w:color w:val="auto"/>
              </w:rPr>
              <w:t>Equiniti Trust Company, LLC</w:t>
            </w:r>
          </w:p>
        </w:tc>
        <w:tc>
          <w:tcPr>
            <w:tcW w:w="5400" w:type="dxa"/>
            <w:vAlign w:val="bottom"/>
          </w:tcPr>
          <w:p>
            <w:pPr>
              <w:ind w:left="680"/>
              <w:spacing w:after="0"/>
              <w:rPr>
                <w:sz w:val="20"/>
                <w:szCs w:val="20"/>
                <w:color w:val="auto"/>
              </w:rPr>
            </w:pPr>
            <w:r>
              <w:rPr>
                <w:rFonts w:ascii="Arial" w:cs="Arial" w:eastAsia="Arial" w:hAnsi="Arial"/>
                <w:sz w:val="20"/>
                <w:szCs w:val="20"/>
                <w:color w:val="auto"/>
              </w:rPr>
              <w:t>ir@biomeafusion.com</w:t>
            </w:r>
          </w:p>
        </w:tc>
        <w:tc>
          <w:tcPr>
            <w:tcW w:w="20" w:type="dxa"/>
            <w:vAlign w:val="bottom"/>
          </w:tcPr>
          <w:p>
            <w:pPr>
              <w:spacing w:after="0"/>
              <w:rPr>
                <w:sz w:val="20"/>
                <w:szCs w:val="20"/>
                <w:color w:val="auto"/>
              </w:rPr>
            </w:pPr>
          </w:p>
        </w:tc>
      </w:tr>
      <w:tr>
        <w:trPr>
          <w:trHeight w:val="221"/>
        </w:trPr>
        <w:tc>
          <w:tcPr>
            <w:tcW w:w="20" w:type="dxa"/>
            <w:vAlign w:val="bottom"/>
          </w:tcPr>
          <w:p>
            <w:pPr>
              <w:spacing w:after="0"/>
              <w:rPr>
                <w:sz w:val="19"/>
                <w:szCs w:val="19"/>
                <w:color w:val="auto"/>
              </w:rPr>
            </w:pPr>
          </w:p>
        </w:tc>
        <w:tc>
          <w:tcPr>
            <w:tcW w:w="4460" w:type="dxa"/>
            <w:vAlign w:val="bottom"/>
          </w:tcPr>
          <w:p>
            <w:pPr>
              <w:ind w:left="280"/>
              <w:spacing w:after="0" w:line="221" w:lineRule="exact"/>
              <w:rPr>
                <w:sz w:val="20"/>
                <w:szCs w:val="20"/>
                <w:color w:val="auto"/>
              </w:rPr>
            </w:pPr>
            <w:r>
              <w:rPr>
                <w:rFonts w:ascii="Arial" w:cs="Arial" w:eastAsia="Arial" w:hAnsi="Arial"/>
                <w:sz w:val="20"/>
                <w:szCs w:val="20"/>
                <w:color w:val="auto"/>
              </w:rPr>
              <w:t>28 Liberty Street, Floor 53</w:t>
            </w:r>
          </w:p>
        </w:tc>
        <w:tc>
          <w:tcPr>
            <w:tcW w:w="5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4460" w:type="dxa"/>
            <w:vAlign w:val="bottom"/>
          </w:tcPr>
          <w:p>
            <w:pPr>
              <w:ind w:left="280"/>
              <w:spacing w:after="0"/>
              <w:rPr>
                <w:sz w:val="20"/>
                <w:szCs w:val="20"/>
                <w:color w:val="auto"/>
              </w:rPr>
            </w:pPr>
            <w:r>
              <w:rPr>
                <w:rFonts w:ascii="Arial" w:cs="Arial" w:eastAsia="Arial" w:hAnsi="Arial"/>
                <w:sz w:val="20"/>
                <w:szCs w:val="20"/>
                <w:color w:val="auto"/>
              </w:rPr>
              <w:t>New York, New York 10005</w:t>
            </w:r>
          </w:p>
        </w:tc>
        <w:tc>
          <w:tcPr>
            <w:tcW w:w="54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1" w:lineRule="exact"/>
        <w:rPr>
          <w:sz w:val="20"/>
          <w:szCs w:val="20"/>
          <w:color w:val="auto"/>
        </w:rPr>
      </w:pPr>
    </w:p>
    <w:sectPr>
      <w:pgSz w:w="12240" w:h="15840" w:orient="portrait"/>
      <w:cols w:equalWidth="0" w:num="1">
        <w:col w:w="10000"/>
      </w:cols>
      <w:pgMar w:left="800" w:top="13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շ"/>
      <w:numFmt w:val="bullet"/>
      <w:start w:val="1"/>
    </w:lvl>
  </w:abstractNum>
  <w:abstractNum w:abstractNumId="1">
    <w:nsid w:val="5E884ADC"/>
    <w:multiLevelType w:val="hybridMultilevel"/>
    <w:lvl w:ilvl="0">
      <w:lvlJc w:val="left"/>
      <w:lvlText w:val="ն"/>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lowerRoman"/>
      <w:start w:val="1"/>
    </w:lvl>
  </w:abstractNum>
  <w:abstractNum w:abstractNumId="7">
    <w:nsid w:val="70A64E2A"/>
    <w:multiLevelType w:val="hybridMultilevel"/>
    <w:lvl w:ilvl="0">
      <w:lvlJc w:val="left"/>
      <w:lvlText w:val="(%1)"/>
      <w:numFmt w:val="lowerRoman"/>
      <w:start w:val="2"/>
    </w:lvl>
  </w:abstractNum>
  <w:abstractNum w:abstractNumId="8">
    <w:nsid w:val="6A2342EC"/>
    <w:multiLevelType w:val="hybridMultilevel"/>
    <w:lvl w:ilvl="0">
      <w:lvlJc w:val="left"/>
      <w:lvlText w:val=" "/>
      <w:numFmt w:val="bullet"/>
      <w:start w:val="1"/>
    </w:lvl>
    <w:lvl w:ilvl="1">
      <w:lvlJc w:val="left"/>
      <w:lvlText w:val=" "/>
      <w:numFmt w:val="bullet"/>
      <w:start w:val="1"/>
    </w:lvl>
    <w:lvl w:ilvl="2">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650"/>
    </w:lvl>
  </w:abstractNum>
  <w:abstractNum w:abstractNumId="20">
    <w:nsid w:val="32FFF902"/>
    <w:multiLevelType w:val="hybridMultilevel"/>
    <w:lvl w:ilvl="0">
      <w:lvlJc w:val="left"/>
      <w:lvlText w:val="&amp;"/>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decimal"/>
      <w:start w:val="650"/>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lowerRoman"/>
      <w:start w:val="3"/>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lowerRoman"/>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1)"/>
      <w:numFmt w:val="decimal"/>
      <w:start w:val="112"/>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lowerRoman"/>
      <w:start w:val="2"/>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lowerLetter"/>
      <w:start w:val="1"/>
    </w:lvl>
    <w:lvl w:ilvl="1">
      <w:lvlJc w:val="left"/>
      <w:lvlText w:val="%2."/>
      <w:numFmt w:val="decimal"/>
      <w:start w:val="1"/>
    </w:lvl>
  </w:abstractNum>
  <w:abstractNum w:abstractNumId="73">
    <w:nsid w:val="7BD3EE7B"/>
    <w:multiLevelType w:val="hybridMultilevel"/>
    <w:lvl w:ilvl="0">
      <w:lvlJc w:val="left"/>
      <w:lvlText w:val="%1"/>
      <w:numFmt w:val="decimal"/>
      <w:start w:val="104"/>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2026-04-27T15:11:22Z</dcterms:created>
  <dcterms:modified xsi:type="dcterms:W3CDTF">2026-04-27T15:11:22Z</dcterms:modified>
</cp:coreProperties>
</file>