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 Sumita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BIOMEA FUSION,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1599 INDUSTRIAL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Biomea Fusion, Inc.</w:t>
              </w:r>
            </w:hyperlink>
            <w:r>
              <w:rPr/>
              <w:t xml:space="preserve"> [ </w:t>
            </w:r>
            <w:r>
              <w:rPr>
                <w:rFonts w:ascii="Times;serif" w:hAnsi="Times;serif"/>
                <w:color w:val="0000FF"/>
                <w:sz w:val="24"/>
                <w:shd w:fill="FFFFFF" w:val="clear"/>
              </w:rPr>
              <w:t>BMEA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196,299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196,299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196,299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stock option will vest in full upon the earlier of (i) the one-year anniversary of the date of grant or (ii) immediately prior to the annual meeting of the Issuer's stockholders that occurs following the date of grant, subject to the Reporting Person's continued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Rainer Erdtmann as Attorney-in-Fact for Sumita Ray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629" TargetMode="External"/><Relationship Id="rId5" Type="http://schemas.openxmlformats.org/officeDocument/2006/relationships/hyperlink" Target="http://www.sec.gov/cgi-bin/browse-edgar?action=getcompany&amp;CIK=00018404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3389</Characters>
  <CharactersWithSpaces>3956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