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mea-20260630.htm"/>
      <w:bookmarkStart w:id="1" w:name="ksbmea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001-40335</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Biomea Fusion,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82-2520134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1599 Industrial Road</w:t>
            </w:r>
          </w:p>
          <w:p>
            <w:pPr>
              <w:pStyle w:val="TableContents"/>
              <w:bidi w:val="0"/>
              <w:spacing w:before="0" w:after="15"/>
              <w:jc w:val="center"/>
              <w:rPr>
                <w:rFonts w:ascii="Times New Roman" w:hAnsi="Times New Roman"/>
                <w:sz w:val="20"/>
              </w:rPr>
            </w:pPr>
            <w:r>
              <w:rPr>
                <w:rFonts w:ascii="Times New Roman" w:hAnsi="Times New Roman"/>
                <w:b/>
                <w:color w:val="000000"/>
                <w:sz w:val="20"/>
              </w:rPr>
              <w:t>San Carlos, California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94070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(650) 980-9099</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030" w:type="dxa"/>
        <w:jc w:val="left"/>
        <w:tblInd w:w="0" w:type="dxa"/>
        <w:tblLayout w:type="fixed"/>
        <w:tblCellMar>
          <w:top w:w="28" w:type="dxa"/>
          <w:left w:w="28" w:type="dxa"/>
          <w:bottom w:w="28" w:type="dxa"/>
          <w:right w:w="28" w:type="dxa"/>
        </w:tblCellMar>
      </w:tblPr>
      <w:tblGrid>
        <w:gridCol w:w="2596"/>
        <w:gridCol w:w="146"/>
        <w:gridCol w:w="826"/>
        <w:gridCol w:w="146"/>
        <w:gridCol w:w="3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BMEA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July 31, 2026, the registrant had 72,483,852</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color w:val="0000FF"/>
                  <w:sz w:val="20"/>
                  <w:u w:val="single"/>
                </w:rPr>
                <w:t>Condensed Statements of Stockholders’ Equity</w:t>
              </w:r>
            </w:hyperlink>
            <w:hyperlink w:anchor="condensed_statements_convertible_preferr">
              <w:r>
                <w:rPr>
                  <w:rStyle w:val="InternetLink"/>
                  <w:rFonts w:ascii="Times New Roman" w:hAnsi="Times New Roman"/>
                  <w:color w:val="0000FF"/>
                  <w:sz w:val="20"/>
                </w:rPr>
                <w:t xml:space="preserve"> </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financial_s">
              <w:r>
                <w:rPr>
                  <w:rStyle w:val="InternetLink"/>
                  <w:rFonts w:ascii="Times New Roman" w:hAnsi="Times New Roman"/>
                  <w:color w:val="0000FF"/>
                  <w:sz w:val="20"/>
                  <w:u w:val="single"/>
                </w:rPr>
                <w:t>Notes to Unaudited 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Special Note Regarding Forward 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sufficiency of our existing cash, cash equivalents and restricted cash to fund our future operating expenses and capital expenditure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continue as a going concern;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anticipated use of our existing cash, cash equivalents and restricted cash;</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implementation of our strategic plans for our business and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clinical trials and investigational new drug (IND) applications and other regulatory submissions;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develop our product candidates for the treatment of type 1 and type 2 diabetes, obesity and other metabolic diseases;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progress and focus of our ongoing and future clinical trials, and the reporting of data from those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favorable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relating to the clinical development of our product candidates, including the disease areas to be evaluated;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relating to commercializing our product candidates, if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estimates of the patient populations addressable by our product candidates, if approved, and the number of participants that will enroll in our ongoing and planned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size of the market opportunity for our product candidates and our ability to maximize those opportunities;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enter into strategic partnerships with collaborators with development, regulatory and commercialization expertise and the expected benefits of any such potential future strategic collaborations;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or likelihood of regulatory filings and approvals, including our expectation to seek special designations, such as orphan drug designation, for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relating to the further development and manufacturing of our product candidates, including for additional indications that we may pursue;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obtain sufficient funding or enter into strategic collaborations for the advancement of certain of our product candidate programs, such as for BMF-500;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plan to rely on third parties to conduct and support preclinical and clinical development;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retain the continued service of our key personnel and to identify, hire and then retain additional qualified personnel;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any global health emergencies or other related disruptions on our business;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new laws and regulations, amendments to existing laws and regulations, or changes in government agencies, in the United States and foreign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unfavorable macroeconomic conditions or market volatility resulting from global economic conditions or geopolitical developments, including supply chain issues, inflationary pressures, market volatility, international tariffs, trade protection measures, economic sanctions, economic slowdowns or recessions, acts of war and civil and political unrest;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Jumpstart Our Business Startups Act of 2012, as amended (JOBS Act).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We qualify all of the forward-looking statements in this Quarterly Report on Form 10-Q by these cautionary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Biomea Fusion, Inc., the Biomea logo and our other registered or common law trademarks, trade names or service marks appearing in this Quarterly Report on Form 10-Q are owned by us. This Quarterly Report on Form 10-Q contains references to our trademarks and to trademarks belonging to other entities. Solely for convenience, trademarks and trade names referred to in this Quarterly Report on Form 10-Q,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0" w:after="120"/>
        <w:jc w:val="left"/>
        <w:rPr>
          <w:rFonts w:ascii="Times New Roman" w:hAnsi="Times New Roman"/>
          <w:sz w:val="20"/>
        </w:rPr>
      </w:pPr>
      <w:r>
        <w:rPr>
          <w:rFonts w:ascii="Times New Roman" w:hAnsi="Times New Roman"/>
          <w:i/>
          <w:color w:val="000000"/>
          <w:sz w:val="20"/>
        </w:rPr>
        <w:t>The following is a summary of the principal factors that make an investment in our common stock speculative or risky. This summary does not address every aspect of our risk factors, all of the risks that we face, or other factors not presently known to us or that we currently believe are immaterial. Additional discussion of the risks summarized in these summary risk factors, and other risks that we face, can be found under the heading “Risk Factors” in this Quarterly Report on Form 10-Q and should be carefully considered, together with other information in this Quarterly Report on Form 10-Q and our other filings with the U.S. Securities and Exchange Commission (SEC), before making investment decisions regarding our common stock.</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is substantial doubt about our ability to continue as a going concern, and 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development activities are focused on the development of novel small-molecule therapies to treat patients with diabetes and obesity, and the approach we are taking to develop such product candidates is novel, may never lead to marketable products and may not ultimately represent a significant or viable market.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early in our development efforts and are substantially dependent on our product candidates, icovamenib (formerly BMF-219) and BMF-650. If we are unable to advance icovamenib, BMF-650 or any of our future product candidates through clinical development, obtain regulatory approval and ultimately commercialize icovamenib, BMF-650 or any of our future product candidates, or experience significant delays in doing so, our business, financial condition and results of operations will be materially adversely affected.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results of preclinical testing and early clinical trials may not be predictive of the success of later clinical trials, and the results of our clinical trials may not satisfy the requirements of the U.S. Food and Drug Administration (FDA) or other comparable foreign regulatory authorities. Successful preclinical studies and clinical trials cannot provide assurance of successful commercialization.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global economic conditions and geopolitical developments, including supply chain issues, tariffs, inflationary pressures, trade protection measures, economic sanctions, economic slowdowns or recessions, acts of war and other global conflicts, and civil and political unrest, could materially adversely impact our business, results of operations, and financial condition, including our preclinical studies and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price of our stock has been and is likely to continue to be volatile, and you may not be able to resell shares of our common stock at or above the price you paid.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stockholders have experienced, and may continue to experience, substantial dilution from future sales and issuances of our capital stock, including upon the exercise of outstanding warrants issued in our underwritten public offerings completed in June 2025 and October 2025.</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bookmarkStart w:id="5" w:name="condensed_balance_sheets"/>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9552" w:type="dxa"/>
        <w:jc w:val="left"/>
        <w:tblInd w:w="0" w:type="dxa"/>
        <w:tblLayout w:type="fixed"/>
        <w:tblCellMar>
          <w:top w:w="28" w:type="dxa"/>
          <w:left w:w="28" w:type="dxa"/>
          <w:bottom w:w="28" w:type="dxa"/>
          <w:right w:w="28" w:type="dxa"/>
        </w:tblCellMar>
      </w:tblPr>
      <w:tblGrid>
        <w:gridCol w:w="6171"/>
        <w:gridCol w:w="146"/>
        <w:gridCol w:w="211"/>
        <w:gridCol w:w="841"/>
        <w:gridCol w:w="166"/>
        <w:gridCol w:w="146"/>
        <w:gridCol w:w="252"/>
        <w:gridCol w:w="1008"/>
        <w:gridCol w:w="6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as of </w:t>
              <w:br/>
              <w:t xml:space="preserve">   June 30, 2026 and December 31, 2025; 0 shares issued and </w:t>
              <w:br/>
              <w:t>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300,000,000 shares authorized as of </w:t>
              <w:br/>
              <w:t>   June 30, 2026 and December 31, 2025; 72,483,852 and 72,299,440 </w:t>
              <w:br/>
              <w:t xml:space="preserve">   shares issued and outstanding as of June 30, 2026 and December 31, </w:t>
              <w:br/>
              <w:t>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bookmarkStart w:id="6" w:name="condensed_statements_operations"/>
      <w:bookmarkEnd w:id="6"/>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common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common shares </w:t>
              <w:br/>
              <w:t xml:space="preserve">   used to compute basic and diluted net loss per </w:t>
              <w:br/>
              <w:t>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72,360,235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40,630,403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72,330,005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38,639,834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bookmarkStart w:id="7" w:name="condensed_statements_convertible_preferr"/>
      <w:bookmarkEnd w:id="7"/>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8"/>
        <w:gridCol w:w="146"/>
        <w:gridCol w:w="146"/>
        <w:gridCol w:w="916"/>
        <w:gridCol w:w="146"/>
        <w:gridCol w:w="146"/>
        <w:gridCol w:w="271"/>
        <w:gridCol w:w="480"/>
        <w:gridCol w:w="146"/>
        <w:gridCol w:w="146"/>
        <w:gridCol w:w="205"/>
        <w:gridCol w:w="726"/>
        <w:gridCol w:w="146"/>
        <w:gridCol w:w="146"/>
        <w:gridCol w:w="233"/>
        <w:gridCol w:w="893"/>
        <w:gridCol w:w="166"/>
        <w:gridCol w:w="146"/>
        <w:gridCol w:w="263"/>
        <w:gridCol w:w="888"/>
        <w:gridCol w:w="392"/>
      </w:tblGrid>
      <w:tr>
        <w:trPr/>
        <w:tc>
          <w:tcPr>
            <w:tcW w:w="3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72,299,440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29,552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72,299,440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72,483,852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12,137</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68"/>
        <w:gridCol w:w="146"/>
        <w:gridCol w:w="146"/>
        <w:gridCol w:w="916"/>
        <w:gridCol w:w="146"/>
        <w:gridCol w:w="146"/>
        <w:gridCol w:w="271"/>
        <w:gridCol w:w="480"/>
        <w:gridCol w:w="146"/>
        <w:gridCol w:w="146"/>
        <w:gridCol w:w="205"/>
        <w:gridCol w:w="726"/>
        <w:gridCol w:w="146"/>
        <w:gridCol w:w="146"/>
        <w:gridCol w:w="233"/>
        <w:gridCol w:w="893"/>
        <w:gridCol w:w="166"/>
        <w:gridCol w:w="146"/>
        <w:gridCol w:w="260"/>
        <w:gridCol w:w="880"/>
        <w:gridCol w:w="393"/>
      </w:tblGrid>
      <w:tr>
        <w:trPr/>
        <w:tc>
          <w:tcPr>
            <w:tcW w:w="3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36,310,713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51,573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Issuances of common stock under at the market equity</w:t>
              <w:br/>
              <w:t>   offering program, net of issuance costs of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(29,262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37,572,250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28,737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Issuances of common stock under at the market equity</w:t>
              <w:br/>
              <w:t>   offering program, net of issuance costs of $129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and pre-funded warrants under</w:t>
              <w:br/>
              <w:t>   the public offering, net of issuance costs of $2,815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58,127,256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bookmarkStart w:id="8" w:name="condensed_statements_of_cash_flows"/>
      <w:bookmarkEnd w:id="8"/>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tbl>
      <w:tblPr>
        <w:tblW w:w="8794" w:type="dxa"/>
        <w:jc w:val="left"/>
        <w:tblInd w:w="0" w:type="dxa"/>
        <w:tblLayout w:type="fixed"/>
        <w:tblCellMar>
          <w:top w:w="28" w:type="dxa"/>
          <w:left w:w="28" w:type="dxa"/>
          <w:bottom w:w="28" w:type="dxa"/>
          <w:right w:w="28" w:type="dxa"/>
        </w:tblCellMar>
      </w:tblPr>
      <w:tblGrid>
        <w:gridCol w:w="6031"/>
        <w:gridCol w:w="146"/>
        <w:gridCol w:w="211"/>
        <w:gridCol w:w="736"/>
        <w:gridCol w:w="166"/>
        <w:gridCol w:w="146"/>
        <w:gridCol w:w="211"/>
        <w:gridCol w:w="736"/>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issuances of common stock under at the </w:t>
              <w:br/>
              <w:t>   market equity offering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issuance of common stock, common warrants </w:t>
              <w:br/>
              <w:t>   and pre-funded warrants from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stock option exercise and purchases under the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costs included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Biomea Fusion, Inc.</w:t>
      </w:r>
    </w:p>
    <w:p>
      <w:pPr>
        <w:pStyle w:val="TextBody"/>
        <w:bidi w:val="0"/>
        <w:jc w:val="center"/>
        <w:rPr>
          <w:rFonts w:ascii="Times New Roman" w:hAnsi="Times New Roman"/>
          <w:b/>
          <w:color w:val="000000"/>
          <w:sz w:val="20"/>
        </w:rPr>
      </w:pPr>
      <w:bookmarkStart w:id="9" w:name="notes_to_unaudited_condensed_financial_s"/>
      <w:bookmarkEnd w:id="9"/>
      <w:r>
        <w:rPr>
          <w:rFonts w:ascii="Times New Roman" w:hAnsi="Times New Roman"/>
          <w:b/>
          <w:color w:val="000000"/>
          <w:sz w:val="20"/>
        </w:rPr>
        <w:t>Notes to Unaudited Condensed Financial Statements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1. Organization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Biomea Fusion, Inc., (the Company), was established in the state of Delaware in August 2017 as Biomea Fusion, LLC. In December 2020, all outstanding membership interests in Biomea Fusion, LLC were converted into equity interests in the Company. The capitalization information included in these unaudited condensed financial statements is consistently presented as if it is that of Biomea Fusion, Inc., even during the prior period when investors held their equity interests in Biomea Fusion, LLC.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was founded with the goal of creating targeted treatments built through expertise in chemistry and a deep understanding of metabolic biology. The Company is a clinical-stage diabetes and obesity medicines company focused on the development of oral, small molecule drugs to treat and improve the lives of patients with diabetes, obesity and other metabolic diseases.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condensed financial statements have been prepared in accordance with generally accepted accounting principles in the United States of America (GAAP) and applicable rules and regulations of the SEC regarding interim financial reporting. As permitted under those rules, certain footnotes or other financial information that are normally required by GAAP have been condensed or omitted, and accordingly, the balance sheet as of December 31, 2025 has been derived from the audited financial statements at that date but does not include all of the information required by GAAP for complete financial statements. These unaudited condensed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 unaudited interim results of operations for the three and six months ended June 30, 2026 are not necessarily indicative of the results to be expected for the year ending December 31, 2026 or for any other interim period or for any other future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condensed financial statements should be read in conjunction with the audited financial statements and the related notes thereto for the year ended December 31, 2025, included in the Company’s Annual Report on Form 10-K filed with the SEC on March 24,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Reclassification of Prior Period Presentation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reclassifications have been made to prior period balances in order to conform with the current period’s presentation, reclassifying $0.2 million from Interest and other income, net to Change in fair value of common warrant liability in the condensed statement of operations. The reclassification had no effect on the condensed balance sheet, condensed statement of stockholder’s equity and condensed statement of cash flows.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incurred net operating losses (NOLs) and negative cash flows from operations since its inception and had an accumulated deficit of $469.8 million at June 30, 2026. As of June 30, 2026, the Company had cash, cash equivalents, and restricted cash of $35.2 million. Management believes that the existing financial resources are not sufficient to continue operating activities for at least twelve months past the issuance date of these unaudited condensed financial statements. The Company’s ability to continue as a going concern will require the Company to raise additional capital to fund the Company's operations through public or private equity offerings, debt financings, collaborations and licensing arrangements or other sources. There can be no assurance that additional financing will be available to the Company or that such financing, if available, will be available on terms acceptable to the Company. Accordingly, there is substantial doubt about the Company’s ability to continue as a going concern.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historically financed its operations primarily through the sale of common stock and warrants and the issuance of unsecured promissory notes. To date, none of the Company’s product candidates have been approved for commercial sale, and the Company has not generated any revenue since inception. Management expects operating losses to continue and increase for the foreseeable future, as the Company continues clinical development activities for its lead product candidate and advances the preclinical and clinical development of other product candidates. The Company’s prospects are subject to risks, expenses and uncertainties frequently encountered by companies in the biotechnology industry as discussed below. There can be no assurance that in the event the Company requires additional financing, such financing will be available on terms which are favorable or at all. Failure to generate sufficient cash flows from operations, raise additional capital or reduce certain discretionary spending would have a material adverse effect on the Company’s ability to achieve its intended business objectives.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six months ended June 30, 2026, as compared to those included in the Company’s Annual Report on Form 10-K filed with the SEC on March 24,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November 2024, the Financial Accounting Standard Board issued Accounting Standards Update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3. Fair Value Measurement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measures and reports certain financial instruments as assets and liabilities at fair value on a recurring basis. The following tables set forth the fair value of the Company’s financial assets, which consist of cash equivalents and marketable securities measured and recognized at fair value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7"/>
        <w:gridCol w:w="146"/>
        <w:gridCol w:w="1013"/>
        <w:gridCol w:w="146"/>
        <w:gridCol w:w="239"/>
        <w:gridCol w:w="767"/>
        <w:gridCol w:w="146"/>
        <w:gridCol w:w="146"/>
        <w:gridCol w:w="392"/>
        <w:gridCol w:w="644"/>
        <w:gridCol w:w="146"/>
        <w:gridCol w:w="146"/>
        <w:gridCol w:w="392"/>
        <w:gridCol w:w="644"/>
        <w:gridCol w:w="146"/>
        <w:gridCol w:w="146"/>
        <w:gridCol w:w="211"/>
        <w:gridCol w:w="676"/>
        <w:gridCol w:w="392"/>
      </w:tblGrid>
      <w:tr>
        <w:trPr/>
        <w:tc>
          <w:tcPr>
            <w:tcW w:w="3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34,493</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667"/>
        <w:gridCol w:w="146"/>
        <w:gridCol w:w="1013"/>
        <w:gridCol w:w="146"/>
        <w:gridCol w:w="239"/>
        <w:gridCol w:w="767"/>
        <w:gridCol w:w="146"/>
        <w:gridCol w:w="146"/>
        <w:gridCol w:w="392"/>
        <w:gridCol w:w="644"/>
        <w:gridCol w:w="146"/>
        <w:gridCol w:w="146"/>
        <w:gridCol w:w="392"/>
        <w:gridCol w:w="644"/>
        <w:gridCol w:w="146"/>
        <w:gridCol w:w="146"/>
        <w:gridCol w:w="211"/>
        <w:gridCol w:w="676"/>
        <w:gridCol w:w="392"/>
      </w:tblGrid>
      <w:tr>
        <w:trPr/>
        <w:tc>
          <w:tcPr>
            <w:tcW w:w="3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Fair </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55,030</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evaluates transfers between levels at the end of each reporting period. There were no transfers between Levels 1, 2 and 3 during the three and six months ended June 30, 2026 and 2025. There have been no realized or unrealized gains or losses recognized for the periods presented.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were no investments as of June 30, 2026 and December 31, 2025, as such, no allowance for credit losses has been recognized as of June 30, 2026. During the three and six months ended June 30, 2026 and 2025, the Company did not recognize any impairment losses related to investments.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warrant liability in the table above consisted of the fair value of the Common Warrants (see Note 5) and was based on significant inputs not observable in the market, which represents a Level 3 measurement within the fair value hierarchy.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a full roll forward of the aggregate fair value of the warrant liability categorized within Level 3 inputs (in thousands):</w:t>
      </w:r>
    </w:p>
    <w:tbl>
      <w:tblPr>
        <w:tblW w:w="4878" w:type="dxa"/>
        <w:jc w:val="left"/>
        <w:tblInd w:w="0" w:type="dxa"/>
        <w:tblLayout w:type="fixed"/>
        <w:tblCellMar>
          <w:top w:w="28" w:type="dxa"/>
          <w:left w:w="28" w:type="dxa"/>
          <w:bottom w:w="28" w:type="dxa"/>
          <w:right w:w="28" w:type="dxa"/>
        </w:tblCellMar>
      </w:tblPr>
      <w:tblGrid>
        <w:gridCol w:w="2691"/>
        <w:gridCol w:w="146"/>
        <w:gridCol w:w="392"/>
        <w:gridCol w:w="1258"/>
        <w:gridCol w:w="39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4. Balance Sheet Components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Property and equipment, net consists of the following (in thousands): </w:t>
      </w:r>
    </w:p>
    <w:tbl>
      <w:tblPr>
        <w:tblW w:w="6000" w:type="dxa"/>
        <w:jc w:val="left"/>
        <w:tblInd w:w="0" w:type="dxa"/>
        <w:tblLayout w:type="fixed"/>
        <w:tblCellMar>
          <w:top w:w="28" w:type="dxa"/>
          <w:left w:w="28" w:type="dxa"/>
          <w:bottom w:w="28" w:type="dxa"/>
          <w:right w:w="28" w:type="dxa"/>
        </w:tblCellMar>
      </w:tblPr>
      <w:tblGrid>
        <w:gridCol w:w="3161"/>
        <w:gridCol w:w="146"/>
        <w:gridCol w:w="247"/>
        <w:gridCol w:w="563"/>
        <w:gridCol w:w="166"/>
        <w:gridCol w:w="146"/>
        <w:gridCol w:w="314"/>
        <w:gridCol w:w="946"/>
        <w:gridCol w:w="31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Depreciation expense for the three and six months ended June 30, 2026 was less than $0.1 million. Depreciation expense for the three and six months ended June 30, 2025 was $0.5 million and $0.9 million, respectively.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570" w:type="dxa"/>
        <w:jc w:val="left"/>
        <w:tblInd w:w="0" w:type="dxa"/>
        <w:tblLayout w:type="fixed"/>
        <w:tblCellMar>
          <w:top w:w="28" w:type="dxa"/>
          <w:left w:w="28" w:type="dxa"/>
          <w:bottom w:w="28" w:type="dxa"/>
          <w:right w:w="28" w:type="dxa"/>
        </w:tblCellMar>
      </w:tblPr>
      <w:tblGrid>
        <w:gridCol w:w="4771"/>
        <w:gridCol w:w="146"/>
        <w:gridCol w:w="218"/>
        <w:gridCol w:w="592"/>
        <w:gridCol w:w="146"/>
        <w:gridCol w:w="146"/>
        <w:gridCol w:w="339"/>
        <w:gridCol w:w="921"/>
        <w:gridCol w:w="2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materials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5. Capital Structure</w:t>
      </w:r>
    </w:p>
    <w:p>
      <w:pPr>
        <w:pStyle w:val="TextBody"/>
        <w:bidi w:val="0"/>
        <w:spacing w:before="0" w:after="120"/>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amended and restated certificate of incorporation authorizes the Company to issue up to 300,000,000 shares of common stock with a par value of $0.0001 per share and 10,000,000 shares of preferred stock with a par value of $0.0001 per share.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Common stockholders are entitled to dividends when and if declared by the Company’s Board of Directors (the Board) and after any preferred share dividends are fully paid. The holder of each share of common stock is entitled to one vote. As of June 30, 2026, no dividends have been declared.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2023, pursuant to a registration statement on Form S-3, the Company issued and sold 5,750,000 shares of common stock at a public offering price of $30.00 per share in an underwritten public offering. The net proceeds to the Company from the offering were approximately $161.8 million, after deducting underwriting discounts and commissions and offering costs of approximately $11.0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June 2025, the Company completed an underwritten public offering transaction in which it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The net proceeds to the Company from the offering were approximately $37.2 million, after deducting underwriting discounts and commissions and offering costs of approximately $2.8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July 2025, in connection with the completed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October 2025, the Company completed an underwritten public offering transaction in which it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purchase up to 12,195,121 shares of common stock at a per share exercise price of $2.50. The underwriters partially exercised their overallotment option to purchase 1,829,268 shares of common stock. The net proceeds to the Company from the offering were approximately $23.1 million, after deducting underwriting discounts and commissions and offering costs of approximately $1.9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concluded that the common warrants do not meet the equity contract scope exception. The liability associated with the common warrants is recorded as warrant liability in the condensed balance sheet as of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valuation of the common warrants is adjusted to fair value (Level 3) at each subsequent balance sheet date until the common warrants are settled or expired. To this date, due primarily to fluctuations in the Company's common stock price between the issuance date and June 30, 2026, the warrant liability was revalued at $14.3 million as of June 30, 2026. The change in fair value of $3.5 million has been recorded as other income.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calculated the fair value of common warrants using the Black-Scholes option pricing model with the following inputs:</w:t>
      </w:r>
    </w:p>
    <w:tbl>
      <w:tblPr>
        <w:tblW w:w="6088" w:type="dxa"/>
        <w:jc w:val="left"/>
        <w:tblInd w:w="0" w:type="dxa"/>
        <w:tblLayout w:type="fixed"/>
        <w:tblCellMar>
          <w:top w:w="28" w:type="dxa"/>
          <w:left w:w="28" w:type="dxa"/>
          <w:bottom w:w="28" w:type="dxa"/>
          <w:right w:w="28" w:type="dxa"/>
        </w:tblCellMar>
      </w:tblPr>
      <w:tblGrid>
        <w:gridCol w:w="2131"/>
        <w:gridCol w:w="146"/>
        <w:gridCol w:w="393"/>
        <w:gridCol w:w="1064"/>
        <w:gridCol w:w="505"/>
        <w:gridCol w:w="272"/>
        <w:gridCol w:w="393"/>
        <w:gridCol w:w="86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2025 Underwritten Public Offering</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20,</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(issuance)</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end)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tbl>
      <w:tblPr>
        <w:tblW w:w="6370" w:type="dxa"/>
        <w:jc w:val="left"/>
        <w:tblInd w:w="0" w:type="dxa"/>
        <w:tblLayout w:type="fixed"/>
        <w:tblCellMar>
          <w:top w:w="28" w:type="dxa"/>
          <w:left w:w="28" w:type="dxa"/>
          <w:bottom w:w="28" w:type="dxa"/>
          <w:right w:w="28" w:type="dxa"/>
        </w:tblCellMar>
      </w:tblPr>
      <w:tblGrid>
        <w:gridCol w:w="2131"/>
        <w:gridCol w:w="146"/>
        <w:gridCol w:w="402"/>
        <w:gridCol w:w="1089"/>
        <w:gridCol w:w="517"/>
        <w:gridCol w:w="278"/>
        <w:gridCol w:w="402"/>
        <w:gridCol w:w="108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2025 Underwritten Public Offering</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8,</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(issuance)</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end)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Common Stock Warrants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the following warrants to purchase shares of the Company's common stock were issued and outstanding:</w:t>
      </w:r>
    </w:p>
    <w:tbl>
      <w:tblPr>
        <w:tblW w:w="9894" w:type="dxa"/>
        <w:jc w:val="left"/>
        <w:tblInd w:w="0" w:type="dxa"/>
        <w:tblLayout w:type="fixed"/>
        <w:tblCellMar>
          <w:top w:w="28" w:type="dxa"/>
          <w:left w:w="28" w:type="dxa"/>
          <w:bottom w:w="28" w:type="dxa"/>
          <w:right w:w="28" w:type="dxa"/>
        </w:tblCellMar>
      </w:tblPr>
      <w:tblGrid>
        <w:gridCol w:w="1591"/>
        <w:gridCol w:w="146"/>
        <w:gridCol w:w="1411"/>
        <w:gridCol w:w="146"/>
        <w:gridCol w:w="1681"/>
        <w:gridCol w:w="146"/>
        <w:gridCol w:w="416"/>
        <w:gridCol w:w="919"/>
        <w:gridCol w:w="146"/>
        <w:gridCol w:w="146"/>
        <w:gridCol w:w="365"/>
        <w:gridCol w:w="2590"/>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Warrants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8,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14,024,389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37,024,389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were no warrants exercised during the three and six months ended June 30,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ATM Offering Agreement with Piper Sandler &amp; Co.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November 25, 2022, the Company entered into an equity distribution agreement (the 2022 ATM Agreement) with Piper Sandler &amp; Co. (Piper Sandler), as sales agent, with respect to an ATM offering program (the 2022 ATM Offering Program). Pursuant to the prospectus supplement relating to the Offering (as defined below), dated as of November 25, 2022 (the Prospectus Supplement), the Company may offer and sell, from time to time in its sole discretion, shares of its common stock, par value $0.0001 per share (the Common Stock), having an aggregate offering price of up to $100 million (the Shares) through Piper Sandler (the Offering).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Offering was registered under the Securities Act of 1933, as amended (the Securities Act), pursuant to the Company's shelf registration statement on Form S-3 (Registration Statement No. 333-267884), as previously filed with the SEC and declared effective on October 14, 2022 (the 2022 Registration Statement). The Company filed a prospectus supplement, dated November 25, 2022, with the SEC that provided for the sale of shares of common stock having an aggregate offering price of up to $100 million in connection with the 2022 ATM Offering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5, 2025, the Company filed a new shelf registration statement on Form S-3 (Registration Statement No. 333-289262), which was declared effective on August 15, 2025 (the 2025 Registration Statement), which replaced the previously filed 2022 Registration Statement. The 2025 Registration Statement included a prospectus, dated August 5, 2025, that provides for the sale of shares of common stock having an aggregate offering price of up to $100 million in connection with the 2022 ATM Offering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2022 ATM Agreement contains customary representations, warranties and agreements by us, and customary indemnification and contribution rights and obligations of the parties. The Company agreed to pay Piper Sandler a placement fee of up to 3.0% of the aggregate gross proceeds from the sale. The Company also agreed to reimburse Piper Sandler for certain specified expenses in connection with entering into the 2022 ATM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six months ended June 30, 2026, the Company did not receive any proceeds from its 2022 ATM Offering Program and no shares of common stock were issued. During the six months ended June 30, 2025, the Company had received aggregate proceeds from its 2022 ATM Offering Program of $4.9 million, net of commissions and offering costs, pursuant to the issuance of 2,271,122 shares of its common stock.</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6. Stock-Based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Effective January 1, 2026, the number of shares of common stock available under the 2021 Incentive Award Plan (the 2021 Plan) increased by 3,614,972 shares pursuant to the evergreen provision. As of June 30, 2026, 1,434,437 shares of common stock remained available for issuance under the 2021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Effective January 1, 2026, the number of shares of common stock available under the 2021 Employee Stock Purchase Plan (the ESPP) increased by 722,994 shares pursuant to the evergreen provision of the ESPP. As of June 30, 2026, 1,343,590 shares of common stock remained available for issuance under the ESPP.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1,864,500 shares of common stock remained available for issuance under the 2023 Inducement Equity Plan as adopted in November 2023.</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Repricing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11, 2025 (the Repricing Effective Date), the Company's Board approved a repricing of certain outstanding vested and unvested stock option awards under the 2021 Plan for eligible non-executive employees and certain other service providers (the Repricing Participants). The per share exercise price of eligible stock option awards was reduced to $4.50. To receive the benefit of the repricing, Repricing Participants were required to remain an employee or service provider through the period (the Retention Period) that began on the Repricing Effective Date and ended on September 12, 2025 (the Retention Date). No other changes were made to the terms and conditions of the eligible stock option awards. The stock option repricing impacted approximately 2.6 million shares of common stock subject to stock option awards and affected 48 employees and service providers.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repricing resulted in a total incremental stock-based compensation expense of $0.4 million, which was calculated using the Black-Scholes option pricing model, of which $0.3 million is associated with vested repriced options as of the Retention Date and was recognized on a straight-line basis over the Retention Period. The remaining $0.1 million of the incremental stock-based compensation expense is associated with unvested repriced options beyond the Retention Period and will be recognized on a straight-line basis over the remaining original vesting periods. For the six months ended June 30, 2026 and 2025, the Company did not recognize any incremental stock-based compensation expense related to the repricing.</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stock-based compensation expense related to the Company’s equity incentive plans and ESPP was recorded in the statements of operations and allocated as follows (in thousands):</w:t>
      </w:r>
    </w:p>
    <w:tbl>
      <w:tblPr>
        <w:tblW w:w="8210" w:type="dxa"/>
        <w:jc w:val="left"/>
        <w:tblInd w:w="0" w:type="dxa"/>
        <w:tblLayout w:type="fixed"/>
        <w:tblCellMar>
          <w:top w:w="28" w:type="dxa"/>
          <w:left w:w="28" w:type="dxa"/>
          <w:bottom w:w="28" w:type="dxa"/>
          <w:right w:w="28" w:type="dxa"/>
        </w:tblCellMar>
      </w:tblPr>
      <w:tblGrid>
        <w:gridCol w:w="3651"/>
        <w:gridCol w:w="146"/>
        <w:gridCol w:w="213"/>
        <w:gridCol w:w="577"/>
        <w:gridCol w:w="147"/>
        <w:gridCol w:w="147"/>
        <w:gridCol w:w="213"/>
        <w:gridCol w:w="577"/>
        <w:gridCol w:w="146"/>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there was $13.2 million of total unrecognized stock-based compensation expense which is expected to be recognized over a weighted-average period of 2.9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Company's stock option activity:</w:t>
      </w:r>
    </w:p>
    <w:tbl>
      <w:tblPr>
        <w:tblW w:w="10205" w:type="dxa"/>
        <w:jc w:val="left"/>
        <w:tblInd w:w="0" w:type="dxa"/>
        <w:tblLayout w:type="fixed"/>
        <w:tblCellMar>
          <w:top w:w="28" w:type="dxa"/>
          <w:left w:w="28" w:type="dxa"/>
          <w:bottom w:w="28" w:type="dxa"/>
          <w:right w:w="28" w:type="dxa"/>
        </w:tblCellMar>
      </w:tblPr>
      <w:tblGrid>
        <w:gridCol w:w="1895"/>
        <w:gridCol w:w="146"/>
        <w:gridCol w:w="146"/>
        <w:gridCol w:w="1036"/>
        <w:gridCol w:w="166"/>
        <w:gridCol w:w="146"/>
        <w:gridCol w:w="756"/>
        <w:gridCol w:w="1674"/>
        <w:gridCol w:w="146"/>
        <w:gridCol w:w="146"/>
        <w:gridCol w:w="1022"/>
        <w:gridCol w:w="2532"/>
        <w:gridCol w:w="394"/>
      </w:tblGrid>
      <w:tr>
        <w:trPr/>
        <w:tc>
          <w:tcPr>
            <w:tcW w:w="1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Options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Contractual Term (Years)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13,184,249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Company's restricted stock unit activity:</w:t>
      </w:r>
    </w:p>
    <w:tbl>
      <w:tblPr>
        <w:tblW w:w="8122" w:type="dxa"/>
        <w:jc w:val="left"/>
        <w:tblInd w:w="0" w:type="dxa"/>
        <w:tblLayout w:type="fixed"/>
        <w:tblCellMar>
          <w:top w:w="28" w:type="dxa"/>
          <w:left w:w="28" w:type="dxa"/>
          <w:bottom w:w="28" w:type="dxa"/>
          <w:right w:w="28" w:type="dxa"/>
        </w:tblCellMar>
      </w:tblPr>
      <w:tblGrid>
        <w:gridCol w:w="2701"/>
        <w:gridCol w:w="146"/>
        <w:gridCol w:w="146"/>
        <w:gridCol w:w="781"/>
        <w:gridCol w:w="166"/>
        <w:gridCol w:w="146"/>
        <w:gridCol w:w="1135"/>
        <w:gridCol w:w="2510"/>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 Fair Value</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from time to time, may be party to litigation arising in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not material.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8. Net Loss Per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Basic and diluted net loss per share is computed by dividing net loss by the weighted-average number of shares of common stock outstanding for the period. For periods in which the Company generated a net loss, the Company does not include the potential impact of dilutive securities in diluted net loss per share, as the impact of these items is anti-dilutive.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equity instruments were excluded from the calculation of diluted net loss per share because their effect would have been anti-dilutive for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89" w:type="dxa"/>
        <w:jc w:val="left"/>
        <w:tblInd w:w="0" w:type="dxa"/>
        <w:tblLayout w:type="fixed"/>
        <w:tblCellMar>
          <w:top w:w="28" w:type="dxa"/>
          <w:left w:w="28" w:type="dxa"/>
          <w:bottom w:w="28" w:type="dxa"/>
          <w:right w:w="28" w:type="dxa"/>
        </w:tblCellMar>
      </w:tblPr>
      <w:tblGrid>
        <w:gridCol w:w="3796"/>
        <w:gridCol w:w="146"/>
        <w:gridCol w:w="146"/>
        <w:gridCol w:w="1036"/>
        <w:gridCol w:w="146"/>
        <w:gridCol w:w="146"/>
        <w:gridCol w:w="146"/>
        <w:gridCol w:w="103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13,184,249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6,628,470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subject to future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37,024,389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51,044,137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29,667,217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9. Segment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which is the business of developing small molecule drugs to treat patients with metabolic diseases. The Company’s interim chief executive officer, who is the chief operating decision maker, reviews financial information on an aggregate basis for allocating resources and evaluating financial performance. All long-lived assets are maintained in, and all losses are attributable to, the United States of America.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reportable segment profit and loss, including significant expense categories, attributable to our reportable segment for the periods indicated (in thousands):</w:t>
      </w:r>
    </w:p>
    <w:tbl>
      <w:tblPr>
        <w:tblW w:w="8622" w:type="dxa"/>
        <w:jc w:val="left"/>
        <w:tblInd w:w="0" w:type="dxa"/>
        <w:tblLayout w:type="fixed"/>
        <w:tblCellMar>
          <w:top w:w="28" w:type="dxa"/>
          <w:left w:w="28" w:type="dxa"/>
          <w:bottom w:w="28" w:type="dxa"/>
          <w:right w:w="28" w:type="dxa"/>
        </w:tblCellMar>
      </w:tblPr>
      <w:tblGrid>
        <w:gridCol w:w="3546"/>
        <w:gridCol w:w="146"/>
        <w:gridCol w:w="211"/>
        <w:gridCol w:w="571"/>
        <w:gridCol w:w="146"/>
        <w:gridCol w:w="146"/>
        <w:gridCol w:w="211"/>
        <w:gridCol w:w="676"/>
        <w:gridCol w:w="166"/>
        <w:gridCol w:w="146"/>
        <w:gridCol w:w="211"/>
        <w:gridCol w:w="676"/>
        <w:gridCol w:w="146"/>
        <w:gridCol w:w="146"/>
        <w:gridCol w:w="211"/>
        <w:gridCol w:w="676"/>
        <w:gridCol w:w="5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research organization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GLP - 131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clinical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activities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Expenses related to manufacturing of </w:t>
              <w:br/>
              <w:t>   clinical and research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 (including</w:t>
              <w:br/>
              <w:t>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8205" w:type="dxa"/>
        <w:jc w:val="left"/>
        <w:tblInd w:w="0" w:type="dxa"/>
        <w:tblLayout w:type="fixed"/>
        <w:tblCellMar>
          <w:top w:w="28" w:type="dxa"/>
          <w:left w:w="28" w:type="dxa"/>
          <w:bottom w:w="28" w:type="dxa"/>
          <w:right w:w="28" w:type="dxa"/>
        </w:tblCellMar>
      </w:tblPr>
      <w:tblGrid>
        <w:gridCol w:w="3541"/>
        <w:gridCol w:w="146"/>
        <w:gridCol w:w="213"/>
        <w:gridCol w:w="577"/>
        <w:gridCol w:w="147"/>
        <w:gridCol w:w="147"/>
        <w:gridCol w:w="213"/>
        <w:gridCol w:w="577"/>
        <w:gridCol w:w="146"/>
        <w:gridCol w:w="146"/>
        <w:gridCol w:w="211"/>
        <w:gridCol w:w="571"/>
        <w:gridCol w:w="146"/>
        <w:gridCol w:w="146"/>
        <w:gridCol w:w="211"/>
        <w:gridCol w:w="676"/>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 (including</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Reconciliation of segment loss from operations to net loss (in thousands):</w:t>
      </w:r>
    </w:p>
    <w:tbl>
      <w:tblPr>
        <w:tblW w:w="9162" w:type="dxa"/>
        <w:jc w:val="left"/>
        <w:tblInd w:w="0" w:type="dxa"/>
        <w:tblLayout w:type="fixed"/>
        <w:tblCellMar>
          <w:top w:w="28" w:type="dxa"/>
          <w:left w:w="28" w:type="dxa"/>
          <w:bottom w:w="28" w:type="dxa"/>
          <w:right w:w="28" w:type="dxa"/>
        </w:tblCellMar>
      </w:tblPr>
      <w:tblGrid>
        <w:gridCol w:w="4081"/>
        <w:gridCol w:w="146"/>
        <w:gridCol w:w="211"/>
        <w:gridCol w:w="736"/>
        <w:gridCol w:w="166"/>
        <w:gridCol w:w="146"/>
        <w:gridCol w:w="211"/>
        <w:gridCol w:w="736"/>
        <w:gridCol w:w="166"/>
        <w:gridCol w:w="146"/>
        <w:gridCol w:w="211"/>
        <w:gridCol w:w="736"/>
        <w:gridCol w:w="166"/>
        <w:gridCol w:w="146"/>
        <w:gridCol w:w="211"/>
        <w:gridCol w:w="736"/>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of reportable segments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common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10. Subsequent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12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0" w:name="item_2_mda"/>
      <w:bookmarkEnd w:id="10"/>
      <w:r>
        <w:rPr>
          <w:rFonts w:ascii="Times New Roman" w:hAnsi="Times New Roman"/>
          <w:b/>
          <w:color w:val="000000"/>
          <w:sz w:val="20"/>
        </w:rPr>
        <w:t>Item 2. Management’s Discussion and Analysis of Financial Condition and Results of Operations.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 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pStyle w:val="TextBody"/>
        <w:bidi w:val="0"/>
        <w:spacing w:before="0" w:after="12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 clinical-stage diabetes and obesity medicines company focused on the development of novel small molecule therapies to treat and improve the lives of patients with metabolic diseases. A covalent small molecule drug is a synthetic compound that forms a permanent bond to its target protein and offers a number of potential advantages over conventional non-covalent drugs, including greater target selectivity, lower drug exposure, and the ability to drive a deeper, more durable response.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clinical program’s drug candidate, icovamenib, is currently being developed as an orally bioavailable, and selective, covalent inhibitor of menin, which serves as a checkpoint to prevent beta cell proliferation and is an important transcriptional regulator known to play a direct role in beta cell homeostasis. Icovamenib's potential in type 1 and type 2 diabetes as well as its impact in obesity is currently being investigated in two clinical and multiple preclinical studies. Our preclinical and clinical data to date support that inhibiting menin via icovamenib has the potential to enable the proliferation, preservation, and reactivation of healthy, functional beta cells capable of producing insulin, thereby leading to long-term glycemic control in patients with type 1 and type 2 diabetes.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preclinical studies, the administration of icovamenib has produced a pronounced effect in preclinical models of diabetes, normalizing glucose levels during treatment and even after drug washout. In October 2025, we reported 52-week results from our Phase II COVALENT-111 trial of icovamenib in type 2 diabetes and most recently in April 2026, we reported topline results from our type 1 diabetes trial (COVALENT-112) of icovamenib in type 1 diabetes. As of June 30, 2026 icovamenib is now being evaluated across two ongoing Phase II clinical trials (COVALENT-211 and COVALENT-212) in type 2 diabetes.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With our strategic focus to become a diabetes and obesity medicines company, we discontinued our studies exploring icovamenib’s potential in oncology and plan to explore partnerships to further advance our oncology asset (BMF-500, a covalent inhibitor of FLT3), while concentrating internal resources on metabolic disorders.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September 2025, we announced that BMF-650, our investigational, next-generation, oral small molecule glucagon-like peptide-1 GLP-1 receptor agonist (GLP-1 RA), received IND-clearance from the FDA. Our Phase I GLP-131 trial for BMF-650 in obese, otherwise healthy volunteers is ongoing, with topline results expected in the third quarter of 2026. With its unique pharmacokinetic profile, enhanced oral bioavailability, and potential for rapid, one-step dose escalation, we believe BMF-650 has the potential to provide a best-in-class therapeutic option for obesity.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commencing operations in 2017, we have devoted substantially all of our efforts and financial resources to conducting research and development activities, including drug discovery and preclinical studies and clinical trials, establishing and maintaining our intellectual property portfolio, the manufacturing of clinical and research material, organizing and staffing our company, business planning, raising capital and providing general and administrative support for these operations. We have not generated any revenue from product sales and, as a result, we have never been profitable and have incurred net losses since commencement of our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we had an accumulated deficit of $469.8 million. We incurred net losses of $20.7 million and $50.0 million for the six months ended June 30, 2026 and 2025, respectively. Based on our current operating plan, we believe that our existing cash and cash equivalents, and restricted cash as of June 30, 2026, without any future financing, will only be sufficient to fund our operations into the second quarter of 2027. We expect to continue to incur significant expenses and operating losses for the foreseeable future, and our net losses may fluctuate significantly from period to period, depending on the timing of and expenditures on our planned research and development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expect to generate revenue from product sales unless and until we obtain regulatory approval for and commercialize a product candidate, and we cannot assure you that we will ever generate significant revenue or profits. We expect that our expenses will continue to increase for the foreseeable future. We expect to continue to incur significant losses for the foreseeable future, and we expect these losses to increase substantially if and as we: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 our ongoing preclinical studies, our two Phase II clinical trials of icovamenib in type 2 diabetes and our Phase I clinical trial of BMF-650 in obese, otherwise healthy volunteers;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seek marketing approvals for any product candidates that successfully complete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 our research and development efforts and submit additional INDs;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experience any delays or encounter any issues with any of the above, including but not limited to failed studies, complex results, safety issues or other regulatory challenges;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establish a sales, marketing and distribution infrastructure and scale-up manufacturing capabilities, whether alone or with third parties, to commercialize any product candidates for which we may obtain regulatory approval, if any;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 expand, maintain, enforce and protect our intellectual property portfolio;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hire additional clinical, regulatory and scientific personnel;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operate as a public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need to raise additional capital in the future to fund our operations, including to conduct and complete clinical trials for any product candidates. If sufficient funds on acceptable terms are not available when needed, we could be required to significantly reduce our operating expenses and delay, reduce the scope of, or eliminate one or more of our development programs.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for the manufacture of our product candidates. All of our product candidates are novel small molecules and are manufactured in synthetic processes from available or custom synthesized starting materials. The chemistry is scalable and uses commonly available pharmaceutical equipment in the manufacturing process. We expect to continue to develop product candidates that can be produced cost-effectively at contract manufacturing facilities. In addition, we do not yet have a marketing or sales organization or commercial infrastructure. Accordingly, we will incur significant expenses to develop a marketing and sales organization and commercial infrastructure in advance of generating any product sales.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2021, we completed our initial public offering (IPO) and issued an aggregate of 9,000,000 shares of our common stock at a price of $17.00 per share. Subsequent to the close, an additional 823,532 shares were issued in connection with the partial exercise by the underwriters of their option to purchase additional shares of common stock. In addition, immediately prior to the closing of the IPO, all outstanding shares of our convertible preferred stock automatically converted into 7,064,925 shares of common stock. Proceeds from the IPO, net of underwriting discounts and commissions and offering costs were $152.8 million. On April 3, 2023, we issued and sold 5,750,000 shares of common stock, which included 750,000 shares sold pursuant to the exercise of the underwriters’ over-allotment option, at a public offering price of $30.00 per share in an underwritten public offering pursuant to a shelf registration on Form S-3. Our net proceeds from the offering were $161.8 million, after deducting underwriting discounts and commissions and offering costs of $10.7 million. During the twelve months ended December 31, 2025, we issued 2,271,122 shares of our common stock for aggregate proceeds of $4.9 million, net of commissions and offering costs from our 2022 ATM Program. We did not issue any shares of common stock or receive any proceeds under our 2022 ATM Program during the six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July 2025, in connection with the June 2025 underwritten public offering, the underwriters partially exercised their over-allotment option to purchase an additional 1,381,262 shares of common stock at an offering price of $2.00 per share. The aggregate gross proceeds from the offering, including the proceeds from the underwriters' over-allotment option, were approximately $42.8 million, before deducting underwriting discounts and commissions and offering costs.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October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of their over-allotment option to purchase additional common warrants. The aggregate gross proceeds from the offering, including the proceeds from the underwriters' over-allotment option, were approximately $25.0 million, before deducting underwriting discounts and commissions and offering costs.</w:t>
      </w:r>
    </w:p>
    <w:p>
      <w:pPr>
        <w:pStyle w:val="TextBody"/>
        <w:bidi w:val="0"/>
        <w:spacing w:before="0" w:after="120"/>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date, we have not generated any revenue and do not expect to generate any revenue from the sale of products in the near future.</w:t>
      </w:r>
    </w:p>
    <w:p>
      <w:pPr>
        <w:pStyle w:val="TextBody"/>
        <w:bidi w:val="0"/>
        <w:spacing w:before="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research and development expenses consist primarily of external and internal costs incurred in connection with the research and development of our research programs and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External costs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expenses incurred under agreements with third-party contract manufacturing organizations (CMOs), contract research organizations (CROs), research and development service providers, academic research institutions and consulting costs;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laboratory expenses, including supplies and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Internal costs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personnel-related expenses, including salaries, benefits and stock-based compensation for personnel in research and product development roles;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facilities and other allocated expenses, including expenses for rent and facilities maintenance, and depreciation.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direct costs by stage of program, clinical or preclinical. However, we do not track indirect costs on a program specific or stage of program basis because these costs are deployed across multiple programs and, as such, are not separately classified.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during the next few years as we seek to initiate and complete clinical trials, pursue regulatory approval of icovamenib and advance BMF-650 through preclinical and clinical development. Predicting the timing or the final cost to complete our clinical program or validation of our manufacturing and supply processes is difficult and delays may occur because of many factors. The process of conducting the necessary preclinical and clinical research to obtain regulatory approval is costly and time-consuming. To the extent that our product candidates continue to advance into clinical trials, as well as advance into larger and later stage clinical trials, our expenses will increase substantially and may become more variable.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research and development costs may vary significantly based on a wide variety of factors, such as: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scope, rate of progress, expense and results of our ongoing clinical trials, including our ongoing Phase II clinical trial of icovamenib in type 2 diabetes, enrollment in our Phase I clinical trial for BMF-650, including an additional cohort announced in June 2026, as well as any future preclinical development and clinical trials of our product candidates, and other research and development activities we may conduct;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uncertainties in clinical trial design and the interpretation of clinical trial data;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 participant trial costs;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duration, scope and number of trials required for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participants who participate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length of time required to enroll eligible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drop-out or discontinuation rates of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safety and efficacy profiles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receipt, and terms of any approvals from applicable regulatory authorities including the FDA and non-U.S. regulators;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a continued acceptable safety profile of our product candidates following approval, if any, of any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establishing clinical and commercial manufacturing capabilities or making arrangements with third-party manufacturers in order to ensure that we or our third-party manufacturers are able to make product successfully;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impact of any business interruptions to our operations or to those of the third parties with whom we work in light of adverse global market conditions;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extent to which we establish additional strategic collaborations or other arrangements.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or our product candidates could significantly change the costs and timing associated with the development of that product candidate. The actual probability of success for our product candidates may be affected by a variety of factors, including the safety and efficacy of our product candidates, investment in our clinical programs, manufacturing capability and competition with other products and product candidates. As a result of these variables, we are unable to determine the duration and completion costs of our research and development projects or when and to what extent we will generate revenue from the commercialization and sale of our product candidates. We may never succeed in achieving regulatory approval for any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expenses consist principally of personnel-related costs including payroll and stock-based compensation expense for personnel in executive, finance, human resources, business and corporate development, and other administrative functions, professional fees for legal, consulting, and accounting services, rent and other facilities costs, depreciation, and other general operating expenses not otherwise classified as research and development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substantially during the next few years as a result of staff expansion and additional occupancy costs, as well as costs associated with being a public company, including compliance with the rules and regulations of the SEC and those of any national securities exchange on which our securities are traded, higher legal and auditing fees, investor relations costs, higher insurance premiums and other compliance costs associated with being a public company. We also expect that our future intellectual property expenses may increase as we expand our product portfolio of product candidates due to advances in our research and development programs.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common warrant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 in fair value of common warrant liability consists of revaluation of the common warrants issued in connection with the June and October 2025 underwritten public offerings (see Note 5). The common warrants are re-measured at each balance sheet date.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Gain on sale of 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Gain on sale of property and equipment was $0.0 million and $0.5 million for the three and six months ended June 30, 2026, respectively. No gain on sale of property and equipment was recorded for the three and six months ended June 30, 2025. The gain in the current period was attributable to proceeds from the sale of laboratory equipment.</w:t>
      </w:r>
    </w:p>
    <w:p>
      <w:pPr>
        <w:pStyle w:val="TextBody"/>
        <w:bidi w:val="0"/>
        <w:spacing w:before="0" w:after="120"/>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and other income, net consists primarily of interest income earned on our cash and cash equivalents.</w:t>
      </w:r>
    </w:p>
    <w:p>
      <w:pPr>
        <w:pStyle w:val="TextBody"/>
        <w:bidi w:val="0"/>
        <w:spacing w:before="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tbl>
      <w:tblPr>
        <w:tblW w:w="10205" w:type="dxa"/>
        <w:jc w:val="left"/>
        <w:tblInd w:w="0" w:type="dxa"/>
        <w:tblLayout w:type="fixed"/>
        <w:tblCellMar>
          <w:top w:w="28" w:type="dxa"/>
          <w:left w:w="28" w:type="dxa"/>
          <w:bottom w:w="28" w:type="dxa"/>
          <w:right w:w="28" w:type="dxa"/>
        </w:tblCellMar>
      </w:tblPr>
      <w:tblGrid>
        <w:gridCol w:w="2252"/>
        <w:gridCol w:w="146"/>
        <w:gridCol w:w="211"/>
        <w:gridCol w:w="736"/>
        <w:gridCol w:w="166"/>
        <w:gridCol w:w="146"/>
        <w:gridCol w:w="211"/>
        <w:gridCol w:w="736"/>
        <w:gridCol w:w="166"/>
        <w:gridCol w:w="146"/>
        <w:gridCol w:w="214"/>
        <w:gridCol w:w="687"/>
        <w:gridCol w:w="166"/>
        <w:gridCol w:w="146"/>
        <w:gridCol w:w="211"/>
        <w:gridCol w:w="736"/>
        <w:gridCol w:w="166"/>
        <w:gridCol w:w="146"/>
        <w:gridCol w:w="211"/>
        <w:gridCol w:w="736"/>
        <w:gridCol w:w="166"/>
        <w:gridCol w:w="146"/>
        <w:gridCol w:w="211"/>
        <w:gridCol w:w="736"/>
        <w:gridCol w:w="611"/>
      </w:tblGrid>
      <w:tr>
        <w:trPr/>
        <w:tc>
          <w:tcPr>
            <w:tcW w:w="2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(25,448</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common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incurred during the periods indicated (in thousands):</w:t>
      </w:r>
    </w:p>
    <w:tbl>
      <w:tblPr>
        <w:tblW w:w="10205" w:type="dxa"/>
        <w:jc w:val="left"/>
        <w:tblInd w:w="0" w:type="dxa"/>
        <w:tblLayout w:type="fixed"/>
        <w:tblCellMar>
          <w:top w:w="28" w:type="dxa"/>
          <w:left w:w="28" w:type="dxa"/>
          <w:bottom w:w="28" w:type="dxa"/>
          <w:right w:w="28" w:type="dxa"/>
        </w:tblCellMar>
      </w:tblPr>
      <w:tblGrid>
        <w:gridCol w:w="2657"/>
        <w:gridCol w:w="146"/>
        <w:gridCol w:w="211"/>
        <w:gridCol w:w="571"/>
        <w:gridCol w:w="146"/>
        <w:gridCol w:w="146"/>
        <w:gridCol w:w="211"/>
        <w:gridCol w:w="676"/>
        <w:gridCol w:w="166"/>
        <w:gridCol w:w="146"/>
        <w:gridCol w:w="225"/>
        <w:gridCol w:w="676"/>
        <w:gridCol w:w="166"/>
        <w:gridCol w:w="146"/>
        <w:gridCol w:w="211"/>
        <w:gridCol w:w="676"/>
        <w:gridCol w:w="146"/>
        <w:gridCol w:w="146"/>
        <w:gridCol w:w="211"/>
        <w:gridCol w:w="676"/>
        <w:gridCol w:w="146"/>
        <w:gridCol w:w="146"/>
        <w:gridCol w:w="211"/>
        <w:gridCol w:w="736"/>
        <w:gridCol w:w="611"/>
      </w:tblGrid>
      <w:tr>
        <w:trPr/>
        <w:tc>
          <w:tcPr>
            <w:tcW w:w="2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research organization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COVALENT - 212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GLP - 131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clinical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activities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Expenses related to manufacturing of </w:t>
              <w:br/>
              <w:t>   clinical and research 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 (including</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expenses decreased by $7.4 million during the three months ended June 30, 2026 compared to the three months ended June 30, 2025. The decrease of $3.2 million in external costs was primarily driven by a decrease of $1.5 million related to preclinical and exploratory programs, a decrease of $1.3 million in other external costs related to consultants, advisors and other professional services to support our clinical studies, and a decrease of $1.0 million of manufacturing costs, offset by an increase of $0.6 million related to clinical activities. Personnel-related expenses decreased by $2.5 million, including stock-based compensation, due to a decrease in headcount. Facilities and other allocated expenses decreased by $1.7 million due to a decrease in rent and facilities-related costs.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Research and development expenses decreased by $21.2 million during the six months ended June 30, 2026 compared to the six months ended June 30, 2025. The decrease of $10.7 million in external costs was primarily driven by a decrease of $3.1 million related to clinical activities, a decrease of $3.4 million related to preclinical and exploratory programs, a decrease of $3.2 million in other external costs related to consultants, advisors and other professional services to support our clinical studies, and a decrease of $1.0 million of manufacturing costs. Personnel-related expenses decreased by $7.0 million, including stock-based compensation, due to a decrease in headcount. Facilities and other allocated expenses decreased by $3.5 million due to a decrease in rent and facilities-related costs.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decreased by $1.1 million during the three months ended June 30, 2026 compared to the three months ended June 30, 2025. The decrease was primarily driven by a decrease of $0.9 million related to personnel-related expenses, including stock-based compensation, due to a decrease in headcount and a decrease of $0.1 million of corporate-related expenses. Facilities and other allocated expenses decreased by $0.1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decreased by $4.2 million during the six months ended June 30, 2026 compared to the six months ended June 30, 2025. The decrease was primarily driven by a decrease of $2.7 million related to personnel-related expenses, including stock-based compensation, due to a decrease in headcount and a decrease of $1.3 million of corporate-related expenses. Facilities and other allocated expenses decreased by $0.2 million.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Change in fair value of common warrant liability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 in fair value of common warrant liability was $4.1 million for the three months ended June 30, 2026 and $0.2 million for the three months ended June 30, 2025, attributable to revaluation of the common warrants issued in connection with the June and October 2025 underwritten public offerings (see Note 5). The common warrants are re-measured at each balance sheet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 in fair value of common warrant liability was $3.5 million for the six months ended June 30, 2026 and $0.2 million for the six months ended June 30, 2025, attributable to revaluation of the common warrants issued in connection with the June and October 2025 underwritten public offerings (see Note 5). The common warrants are re-measured at each balance sheet date.</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Gain on sale of 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Gain on sale of property and equipment was $0.0 million for the three months ended June 30, 2026 and June 30, 2025,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Gain on sale of property and equipment was $0.5 million for the six months ended June 30, 2026 and $0.0 million for the six months ended June 30, 2025. The gain in the current period was attributable to proceeds from the sale of laboratory equipment.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Interest and other income,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Interest and other income, net was $0.3 million for the three months ended June 30, 2026 and June 30, 2025, respectively.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and other income, net was $0.7 million for the six months ended June 30, 2026 compared to $0.8 million for the six months ended June 30, 2025. The decrease of $0.1 million was primarily due to lower interest rates earned on cash and cash equivalents balance.</w:t>
      </w:r>
    </w:p>
    <w:p>
      <w:pPr>
        <w:pStyle w:val="TextBody"/>
        <w:bidi w:val="0"/>
        <w:spacing w:before="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funded our operations primarily through the sale and issuance of shares of our common and convertible preferred stock, pre-funded and common warrants and the issuance of unsecured promissory notes from inception through December 2020, issuance of our common stock through our IPO in April 2021, our public offerings in March 2023, June 2025 and October 2025 and through sales under our 2022 ATM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October 14, 2022, we filed the 2022 Registration Statement with the SEC relating to the registration of up to an aggregate of $350.0 million in shares of our common stock, preferred stock, debt securities, warrants and units or any combination thereof. The 2022 Registration Statement was declared effective by the SEC on October 24, 2022. In April 2023, pursuant to the 2022 Registration Statement, we sold an aggregate of 5,750,000 shares of common stock at a price of $30.00 per share in an underwritten public offering for gross proceeds of $172.5 million, resulting in net proceeds of $161.8 million after deducting underwriting discounts and commissions, and offering costs. On August 5, 2025, we filed the 2025 Registration Statement with the SEC relating to the registration of up to an aggregate of $300.0 million in shares of our common stock, preferred stock, debt securities, warrants and units or any combination thereof to replace the 2022 Registration Statement. The 2025 Registration Statement was declared effective by the SEC on August 15,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June 2025, we completed an underwritten public offering, in which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Our net proceeds from the offering were approximately $37.2 million, after deducting underwriting discounts and commissions and offering costs of approximately $2.8 million. In July 2025, in connection with the June 2025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are party to an equity distribution agreement, dated November 25, 2022, with Piper Sandler with respect to the 2022 ATM Program, under which we may offer and sell, from time to time at our sole discretion, shares of our common stock having an aggregate offering price of up to $100.0 million (which was included in the $350.0 million originally registered under the 2022 Registration Statement and is now included in the $300.0 million originally registered under the 2025 Registration Statement) through Piper Sandler as the sales agent. Through June 30, 2026, we have received aggregate proceeds from our 2022 ATM Program of $4.9 million, net of commissions and offering costs, pursuant to the issuance of 2,271,122 shares. As of June 30, 2026, we have $94.8 million available under the 2022 ATM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October 2025, we completed an underwritten public offering in which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12,195,121 shares of common stock at a per share exercise price of $2.50. Our net proceeds from the offering, including the proceeds from the underwriter’s over-allotment option, were approximately $23.1 million, after deducting underwriting discounts and commissions and offering costs of approximately $1.9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we had cash, cash equivalents, and restricted cash of $35.2 million and an accumulated deficit of $469.8 million. We have incurred substantial operating losses and have used cash in our operating activities since inception. Without any future financing, the current operating plan under the existing cash and cash equivalents, and restricted cash as of June 30, 2026, will only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sufficient to fund our operations into the second quarter of 2027. Our ability to continue as a going concern will require us to obtain additional financing to fund our operations and there can be no assurance that additional financing will be available to us or that such financing, if available, will be available on terms acceptable to us. Accordingly, there is substantial doubt about our ability to continue as a going concern.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continue to require additional capital to develop our product candidates and fund operations for the foreseeable future. We may seek to raise capital through public or private equity offerings, debt financings, collaborations and licensing arrangements or other sources.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scope, timing, progress, duration, costs and results of our clinical trials, drug discovery, preclinical development activities and laboratory testing for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extent to which we discover and develop additional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and timing of establishing sales and marketing capabilities, if any of our product candidates receive marketing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licensing, or other arrangements into which we may enter in the future, including the timing of receipt of any milestone or royalty payments under these agreements;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need and ability to hire additional management, scientific and medical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need to implement additional internal systems and infrastructure, including financial and reporting systems;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efforts to enhance operational systems and our ability to attract, hire and retain qualified personnel, including personnel to support the development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associated with being a public company;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associated with commercializing our product candidates, if they receive regulatory approval;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establish and maintain strategic collaborations and other similar partnerships for the development and commercialization of our product candidates;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any global health emergency and adverse global economic conditions on our business, which may exacerbate the magnitude of the factors discussed above.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develop and commercialize ourselves.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See the section of this Quarterly Report on Form 10-Q titled “Risk Factors” for additional risks associated with our substantial capital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cash equivalents, and restricted cash for each of the periods presented below (in thousands): </w:t>
      </w:r>
    </w:p>
    <w:tbl>
      <w:tblPr>
        <w:tblW w:w="7549" w:type="dxa"/>
        <w:jc w:val="left"/>
        <w:tblInd w:w="0" w:type="dxa"/>
        <w:tblLayout w:type="fixed"/>
        <w:tblCellMar>
          <w:top w:w="28" w:type="dxa"/>
          <w:left w:w="28" w:type="dxa"/>
          <w:bottom w:w="28" w:type="dxa"/>
          <w:right w:w="28" w:type="dxa"/>
        </w:tblCellMar>
      </w:tblPr>
      <w:tblGrid>
        <w:gridCol w:w="4786"/>
        <w:gridCol w:w="146"/>
        <w:gridCol w:w="211"/>
        <w:gridCol w:w="736"/>
        <w:gridCol w:w="166"/>
        <w:gridCol w:w="146"/>
        <w:gridCol w:w="211"/>
        <w:gridCol w:w="736"/>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Net Cash Used in 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was $21.7 million during the six months ended June 30, 2026 and consisted of a net loss of $20.7 million offset by a decrease in net assets of $0.1 million and non-cash adjustments of $0.8 million. The decrease in net assets consisted primarily of a decrease in prepaid expenses and other current assets of $1.0 million, a decrease in accrued expenses and other current liabilities of $0.1 million and a decrease in operating lease liabilities of $0.7 million, offset by an increase in other assets of $0.4 million and an increase in accounts payable of less than $0.1 million. Non-cash adjustments consisted primarily of stock-based compensation expense of $3.2 million, gain on sale of property and equipment of $0.5 million and a non-cash gain on the change in fair value of warrant liability of $3.5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was $44.9 million during the six months ended June 30, 2025 and consisted of a net loss of $50.0 million offset by a decrease in net assets of $2.9 million and non-cash adjustments of $8.0 million. The decrease in net assets consisted primarily of a decrease in prepaid expenses and other current assets of $1.6 million, a decrease in other assets of $0.6 million, a decrease in accounts payable of $4.7 million and a decrease in operating lease liabilities of $1.7 million, offset by an increase in accrued expenses and other current liabilities of $1.3 million. Non-cash adjustments consisted primarily of stock-based compensation expense of $5.7 million, operating lease expense of $1.6 million, depreciation expense of $0.9 million and a non-cash loss on the change in fair value of warrant liability of $0.2 million.</w:t>
      </w:r>
    </w:p>
    <w:p>
      <w:pPr>
        <w:pStyle w:val="TextBody"/>
        <w:bidi w:val="0"/>
        <w:spacing w:before="0" w:after="120"/>
        <w:jc w:val="left"/>
        <w:rPr>
          <w:rFonts w:ascii="Times New Roman" w:hAnsi="Times New Roman"/>
          <w:sz w:val="20"/>
        </w:rPr>
      </w:pPr>
      <w:r>
        <w:rPr>
          <w:rFonts w:ascii="Times New Roman" w:hAnsi="Times New Roman"/>
          <w:i/>
          <w:color w:val="000000"/>
          <w:sz w:val="20"/>
        </w:rPr>
        <w:t>Net Cash Provided by 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investing activities was $0.6 million during the six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investing activities was $0.0 million during the six months ended June 30, 2025.</w:t>
      </w:r>
    </w:p>
    <w:p>
      <w:pPr>
        <w:pStyle w:val="TextBody"/>
        <w:bidi w:val="0"/>
        <w:spacing w:before="0" w:after="120"/>
        <w:jc w:val="left"/>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financing activities was $0.2 million during the six months ended June 30,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provided by financing activities was $42.8 million during the six months ended June 30, 2025, and primarily relates to net proceeds from issuances of common stock and pre-funded warrants under the public offering and our 2022 ATM Program.</w:t>
      </w:r>
    </w:p>
    <w:p>
      <w:pPr>
        <w:pStyle w:val="TextBody"/>
        <w:bidi w:val="0"/>
        <w:spacing w:before="0" w:after="120"/>
        <w:jc w:val="left"/>
        <w:rPr>
          <w:rFonts w:ascii="Times New Roman" w:hAnsi="Times New Roman"/>
          <w:sz w:val="20"/>
        </w:rPr>
      </w:pPr>
      <w:r>
        <w:rPr>
          <w:rFonts w:ascii="Times New Roman" w:hAnsi="Times New Roman"/>
          <w:b/>
          <w:color w:val="000000"/>
          <w:sz w:val="20"/>
        </w:rPr>
        <w:t>Contractual Obligations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there have been no material changes from the contractual obligations and commitments as of December 31, 2025 previously disclosed in our Annual Report on Form 10-K filed with the SEC on March 24,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in the rules and regulations of the SEC.</w:t>
      </w:r>
    </w:p>
    <w:p>
      <w:pPr>
        <w:pStyle w:val="TextBody"/>
        <w:bidi w:val="0"/>
        <w:spacing w:before="0" w:after="120"/>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financial statements have been prepared in accordance with GAAP. The preparation of these unaudited condensed financial statements requires us to make estimates and assumptions that affect the reported amounts of assets and liabilities and the disclosure of contingent assets and liabilities at the date of the unaudited condensed financial statements, as well as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critical accounting policies are described in the section titled “Management’s Discussion and Analysis of Financial Condition and Results of Operations—Critical Accounting Estimates” in our Annual Report on Form 10-K filed with the SEC on March 24,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and the notes to the financial statements appearing elsewhere in this Quarterly Report on Form 10-Q. During the six months ended June 30, 2026, except as described in Note 2 to the unaudited condensed financial statements appearing elsewhere in this Quarterly Report on Form 10-Q, there were no material changes to our critical accounting policies from those discussed in our Annual Report on Form 10-K filed with the SEC on March 24,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primary objectives of our investment activities are to ensure liquidity and to preserve capital. We are exposed to market risks in the ordinary course of our business. These risks primarily include interest rate sensitivities. There was no material foreign currency risk for the quarter ended June 30, 2026. We held $35.2 million in cash, cash equivalents, and restricted cash as of June 30, 2026. Cash equivalents consisted of money market funds. Restricted cash consisted of two stand-by letters of credit issued to our landlord in connection with the lab leases. We held no interest-bearing liabilities as of June 30, 2026. Historical fluctuations in interest rates have not been significant for us. Due to the short-term maturities of our cash equivalents, an immediate 10% relative change in interest rates would not have a material effect on the fair market value of our cash equivalents.</w:t>
      </w:r>
    </w:p>
    <w:p>
      <w:pPr>
        <w:pStyle w:val="TextBody"/>
        <w:bidi w:val="0"/>
        <w:spacing w:before="120" w:after="120"/>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management, under the supervision and with the participation of our Interim Chief Executive Officer and our President and Chief Operating Officer, our principal executive officer and principal financial officer, respectively, conducted an evaluation of the effectiveness of the design and operation of our disclosure controls and procedures, as defined in Rules 13a-15(e) and 15d-15(e) under the Exchange Act as of the end of the period covered by this Quarterly Report on Form 10-Q. Based on this evaluation, our principal executive officer and principal financial officer have concluded that as of such date our disclosure controls and procedures were effective at a reasonable assurance level (i) to ensure that information that we are required to disclose in reports that we file or submit under the Exchange Act is recorded, processed, summarized and reported within the time periods specified in SEC rules and forms and (ii) to ensure that information required to be disclosed by us in reports filed or submitted under the Exchange Act is accumulated and communicated to our management, including our principal executive officer and principal financial officer, as appropriate, to allow timely decisions regarding required disclosures.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There was no change in our internal control over financial reporting during the quarter ended June 30, 2026 identified in connection with the evaluation required by Rules 13a</w:t>
        <w:noBreakHyphen/>
        <w:t>15(d) and 15d</w:t>
        <w:noBreakHyphen/>
        <w:t xml:space="preserve">15(d) of the Exchange Act that has materially affected, or is reasonably likely to materially affect, our internal control over financial reporting.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Limitations on Effectiveness of Controls and Procedures</w:t>
      </w:r>
    </w:p>
    <w:p>
      <w:pPr>
        <w:pStyle w:val="TextBody"/>
        <w:bidi w:val="0"/>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center"/>
        <w:rPr>
          <w:rFonts w:ascii="Times New Roman" w:hAnsi="Times New Roman"/>
          <w:b/>
          <w:color w:val="000000"/>
          <w:sz w:val="20"/>
        </w:rPr>
      </w:pPr>
      <w:bookmarkStart w:id="13" w:name="part2"/>
      <w:bookmarkEnd w:id="13"/>
      <w:r>
        <w:rPr>
          <w:rFonts w:ascii="Times New Roman" w:hAnsi="Times New Roman"/>
          <w:b/>
          <w:color w:val="000000"/>
          <w:sz w:val="20"/>
        </w:rPr>
        <w:t>PART II—OTHER INFORMATION</w:t>
      </w:r>
    </w:p>
    <w:p>
      <w:pPr>
        <w:pStyle w:val="TextBody"/>
        <w:bidi w:val="0"/>
        <w:spacing w:before="120" w:after="120"/>
        <w:jc w:val="left"/>
        <w:rPr>
          <w:rFonts w:ascii="Times New Roman" w:hAnsi="Times New Roman"/>
          <w:b/>
          <w:color w:val="000000"/>
          <w:sz w:val="20"/>
        </w:rPr>
      </w:pPr>
      <w:bookmarkStart w:id="14" w:name="part2_item1"/>
      <w:bookmarkEnd w:id="14"/>
      <w:r>
        <w:rPr>
          <w:rFonts w:ascii="Times New Roman" w:hAnsi="Times New Roman"/>
          <w:b/>
          <w:color w:val="000000"/>
          <w:sz w:val="20"/>
        </w:rPr>
        <w:t>Item 1. Legal Proceedings.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120" w:after="120"/>
        <w:jc w:val="left"/>
        <w:rPr>
          <w:rFonts w:ascii="Times New Roman" w:hAnsi="Times New Roman"/>
          <w:b/>
          <w:color w:val="000000"/>
          <w:sz w:val="20"/>
        </w:rPr>
      </w:pPr>
      <w:bookmarkStart w:id="15" w:name="part2_item1a"/>
      <w:bookmarkEnd w:id="15"/>
      <w:r>
        <w:rPr>
          <w:rFonts w:ascii="Times New Roman" w:hAnsi="Times New Roman"/>
          <w:b/>
          <w:color w:val="000000"/>
          <w:sz w:val="20"/>
        </w:rPr>
        <w:t>Item 1A. Risk Factors.</w:t>
      </w:r>
    </w:p>
    <w:p>
      <w:pPr>
        <w:pStyle w:val="TextBody"/>
        <w:bidi w:val="0"/>
        <w:spacing w:before="0" w:after="120"/>
        <w:jc w:val="left"/>
        <w:rPr>
          <w:rFonts w:ascii="Times New Roman" w:hAnsi="Times New Roman"/>
          <w:sz w:val="20"/>
        </w:rPr>
      </w:pPr>
      <w:r>
        <w:rPr>
          <w:rFonts w:ascii="Times New Roman" w:hAnsi="Times New Roman"/>
          <w:i/>
          <w:color w:val="000000"/>
          <w:sz w:val="20"/>
        </w:rPr>
        <w:t>Our business is subject to various risks and uncertainties, including those described below, that we believe apply to our business and the industry in which we operate. You should carefully consider these risks, as well as the other information in this Quarterly Report on Form 10-Q, including our unaudited condensed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Limited Operating History, Business, Financial Condition, Results of Operations, and Need for Additional Capital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with which investors can evaluate our business and prospects. We commenced operations in August 2017, have not completed the clinical development of any product candidates, have no products approved for commercial sale and have never generated any revenue, and our operations to date have been primarily limited to organizing and staffing our company, business planning, raising capital, conducting discovery and research activities, filing patent applications, identifying potential product candidates, undertaking preclinical studies, preparing for and initiating our initial clinical trials, and establishing arrangements with third parties for the manufacture of initial quantities of product candidates. Our lead product candidate, icovamenib, is currently under investigation in Phase II clinical trials in type 2 diabetes and recently concluded a Phase II clinical trial in type 1 diabetes. In September 2025, we announced that we received IND clearance from the FDA for BMF-650, and initiated our ongoing Phase I clinical trial in obese, otherwise healthy volunteers.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limited experience as a company in conducting clinical trials and have not successfully completed the clinical development of any product candidates to date. Consequently, any predictions you make about our future success or viability may not be as accurate as they could be if we had a longer operating history.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pStyle w:val="TextBody"/>
        <w:bidi w:val="0"/>
        <w:spacing w:before="0" w:after="120"/>
        <w:jc w:val="left"/>
        <w:rPr>
          <w:rFonts w:ascii="Times New Roman" w:hAnsi="Times New Roman"/>
          <w:sz w:val="20"/>
        </w:rPr>
      </w:pPr>
      <w:r>
        <w:rPr>
          <w:rFonts w:ascii="Times New Roman" w:hAnsi="Times New Roman"/>
          <w:b/>
          <w:i/>
          <w:color w:val="000000"/>
          <w:sz w:val="20"/>
        </w:rPr>
        <w:t>We have incurred significant net losses in each period since our inception, and we expect to incur significant net losses for the foreseeable future.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early in our development efforts and have not yet completed the development of any of our product candidates. We have no products approved for commercial sale and have not generated any revenue from product sales to date, and we continue to incur significant research and development and other expenses related to our ongoing operations.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 We have financed our operations primarily through sales of our common stock, warrants and convertible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incurred significant net losses in each reporting period since we commenced operations in August 2017. Our net losses were $20.7 million and $50.0 million for the six months ended June 30, 2026 and 2025, respectively. As of June 30, 2026, we had an accumulated deficit of $469.8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 our research and development efforts and submit additional INDs;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continue the clinical development of icovamenib for the treatment of patients with type 2 and type 1 diabetes;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explore the potential clinical utility of icovamenib in other metabolic disorders, including pre-diabetes and obesity;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explore partnerships to further advance our oncology assets (BMF-500, a covalent inhibitor of FLT3, currently in a Phase I study), while concentrating internal resources on metabolic disorders;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 clinical development of BMF-650;</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seek marketing approvals for any product candidates that successfully complete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experience any delays or encounter any issues with any of the above, including but not limited to failed studies, complex results, safety issues, or other regulatory challenges;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establish a sales, marketing, and distribution infrastructure and scale-up manufacturing capabilities, whether alone or with third parties, to commercialize any product candidates for which we may obtain regulatory approval, if any;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 expand, maintain, enforce, and protect our intellectual property portfolio;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hire additional clinical, regulatory, and scientific personnel;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operate as a public company.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not generated any revenue from our product candidates and may never generate revenue or be profitable. Our ability to generate revenue and achieve profitability depends significantly on our ability to achieve several objectives relating to the discovery and development of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become profitable depends upon our ability to generate revenue. We have not received marketing approval for any product candidate, and we have not generated any revenue from any product sales or other sources since our inception. We do not expect to generate revenue unless or until we successfully complete preclinical and clinical development and obtain regulatory approval of, and then successfully commercialize, at least one product candidate. Icovamenib, our lead product candidate, is advancing in clinical development. As such, we face significant translational risk as our product candidates advance further in clinical development, and promising results in preclinical studies or early clinical trials may not be replicated in later-stage clinical trials. If approved, icovamenib is not intended as a chronic therapy for insulin deficient diabetes, which could further limit our ability to achieve profitability.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timely initiation and completion of our preclinical studies and clinical trials for icovamenib, BMF-650 and our future product candidates, which may be significantly slower or cost more than we currently anticipate and will depend substantially upon the performance of third-party contractors;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establishing and maintaining relationships with CROs and clinical sites for the ongoing clinical and preclinical development of icovamenib, BMF-650 and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complete IND-enabling studies and successfully submit and receive authorization to proceed under INDs or comparable regulatory applications;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whether we are required by the FDA or other comparable foreign regulatory authorities to conduct additional clinical trials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rFonts w:ascii="Times New Roman" w:hAnsi="Times New Roman"/>
          <w:color w:val="000000"/>
          <w:sz w:val="20"/>
        </w:rPr>
        <w:t>studies beyond those planned to support the approval and commercialization of our product candidates or any future product candidates;</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and comparable foreign regulatory authorities the safety, efficacy, consistent manufacturing quality, and acceptable risk-benefit profile of our novel small molecule product candidates or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product candidates or future product candidates,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timely receipt of necessary regulatory approvals from the FDA and comparable foreign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willingness of physicians, operators of clinics, and patients to utilize or adopt any of our product candidates or future product candidates over alternative or more conventional therapies;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actual and perceived availability, cost, risk profile and side effects and efficacy of our product candidates, if approved, relative to existing and future alternative therapies in our target indications, including diabetes and obesity, and competitive product candidates and technologies;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patient demand for our current product candidates and any future product candidates, if approved;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enforce intellectual property rights in and to our product candidates or any future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coverage and adequate reimbursement by third-party payors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adequate funding. </w:t>
      </w:r>
    </w:p>
    <w:p>
      <w:pPr>
        <w:pStyle w:val="TextBody"/>
        <w:bidi w:val="0"/>
        <w:spacing w:before="0" w:after="120"/>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currently focused on the development of novel small molecules to treat patients with diabetes and obesity. Although we had previously pursued the development of icovamenib in cancer and metabolic diseases, in January 2025, we announced that our strategic focus for icovamenib will be in metabolic disorders and that we will conclude our studies exploring BMF 500’s potential in oncology and explore partnerships to advance our oncology assets.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our determination to focus our internal resources on the development of icovamenib in metabolic disorders and seek partnerships to advance our oncology assets does not lead to clinical or commercial success, or we otherwise make incorrect determinations regarding the viability or market potential of any of our programs or product candidates or misread trends in the diabetes or obesity disease treatment landscape or in the pharmaceutical, biopharmaceutical or biotechnology industry more generally, our business, financial condition and results of operations could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our inception, we have used substantial amounts of cash to fund our operations, and our expenses will increase substantially in the foreseeable future in connection with our ongoing activities, particularly as we continue the research and development of, initiate and conduct clinical trials of, and seek marketing approval for our product candidates. Developing biopharmaceutical products, including conducting preclinical studies and clinical trials, is a very time-consuming, expensive and uncertain process that takes years to complete. Our operations have consumed significant amounts of cash since inception, and we expect our expenses to increase in connection with our ongoing activities, particularly as we conduct clinical trials of, and seek marketing approval for our current product candidates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ongoing and planned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our continuing operation as a public company. Accordingly, we will need to obtain substantial additional funding in order to continue our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we had $35.2 million in cash, cash equivalents, and restricted cash. Based on our current operating plan, we believe that our existing cash and cash equivalents, and restricted cash as of June 30, 2026, without any future financing, will not be sufficient for us to continue as a going concern for at least one year from the issuance date of the unaudited condensed financial statements appearing elsewhere in this Quarterly Report on Form 10-Q. Our estimate as to how long we expect our existing capital resources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other rights to our product candidates in certain territories or indications that we would prefer to develop and commercialize ourselves. In addition, we may seek additional capital due to favorable market conditions or strategic considerations even if we believe we have sufficient funds for our current or future operating plans.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timing, progress, duration, costs and results of our clinical trials, drug discovery, preclinical development activities, and laboratory testing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and scope of clinical programs we decide to pursue;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and costs of manufacturing development and commercial manufacturing activities;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extent to which we discover and develop additional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timing, and outcome of regulatory review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and timing of establishing sales and marketing capabilities, if any of our product candidates receive marketing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licensing, or other arrangements into which we may enter in the future, including the timing of receipt of any milestone or royalty payments under these agreements;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receipt, and amount of sales from our potential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need and ability to hire additional management, scientific, and medical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efforts to enhance operational systems and our ability to attract, hire, and retain qualified personnel, including personnel to support the development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associated with being a public company;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 associated with commercializing our product candidates, if they receive regulatory approval;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strategic collaborations and other similar partnerships for the development and commercialization of our product candidates;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impact of adverse global economic conditions on our business, which may exacerbate the magnitude of the factors discussed above.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do not have any committed external source of funds and adequate additional financing may not be available to us on acceptable terms, or at all. In addition, our ability to raise additional capital may be adversely impacted by potential worsening global economic and political conditions, inflationary pressures, increases in interest rates and disruptions to and volatility in the credit and financial markets in the United States and worldwide or other factors.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There is substantial doubt about our ability to continue as a going concern.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date, we have not generated any revenues from product sales and have incurred significant operating losses in each year since our inception and we anticipate that losses may continue for the next several years or until such time as we can generate substantial revenues and achieve profitability. In connection with the preparation of this Quarterly Report on Form 10-Q for the period ended June 30, 2026, our management has concluded that there is substantial doubt as to whether we can continue as a going concern for the twelve months following the issuance of this Quarterly Report on Form 10-Q. Our ability to continue as a going concern is dependent upon raising capital to maintain current operations and continue research and development efforts. We plan to raise additional capital to fund our operations through public or private equity offerings, debt financings, and/or potential collaborations and license arrangement or other sources. There is no assurance, however, that any additional financing or any revenue-generating collaboration will be available when needed or that we will be able to obtain financing or enter into a collaboration on terms acceptable to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Based on our current operating plan, we will not be able to continue as a going concern over the next twelve months unless we raise additional capital by other means. These factors raise substantial doubt about our ability to continue as a going concern.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operations consume substantial amounts of cash, and we intend to continue to make significant investments to support our business growth, pursue the preclinical and clinical development of our product candidates, respond to business challenges or opportunities,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finance unanticipated working capital requirements;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 or enhance our technological infrastructure and our existing research and development capabilities;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pursue acquisitions or other strategic relationships;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respond to competitive pressures.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require us to pay significant interest on borrowings or involve additional restrictive covenants relating to our capital-raising activities and other financial and operational matters, which may make it more difficult for us to obtain additional capital and to pursue business opportunities, including potential acquisitions. Our inability to obtain adequate financing or financing on terms satisfactory to us could have a negative impact on our financial condition and we could face significant limitations on our ability to pursue our business strategies, and we may have to delay, reduce the scope of, suspend or eliminate one or more of our research-stage programs, clinical trials or future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such as in the case of the closure and subsequent placement into receivership with the Federal Deposit Insurance Corporation (FDIC) of Silicon Valley Bank (SVB) in March 2023, and may in the future lead to market-wide liquidity problems. In these cases, borrowers under credit agreements, letters of credit and certain other financial instruments with any financial institution that is placed into receivership by the FDIC may be unable to access undrawn amounts thereunder. If any of our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or may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or may enter into financial or business relationships, but could also include factors involving financial markets or the financial services industry generally.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Delayed or lost access to working capital sources and/or delays, inability or reductions in our ability to enter into new credit facilities or access other working capital resources;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or actual breach of contractual obligations that require us to maintain letters of credit or other credit support arrangements;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Potential or actual breach of financial covenants in any credit agreements or credit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and otherwise have a material adverse impact on our business.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Product Development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Our discovery and development activities are focused on the development of novel small molecule therapies, initially targeted at menin, to treat patients with diabetes and obesity, and the approach we are taking to discover and develop such product candidates is novel, may never lead to marketable products and may not ultimately represent a significant market.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discovery and development of small molecule therapies for patients with diabetes and obesity, with a particular focus on menin, is an emerging field. While there is scientific evidence to support the feasibility of developing covalent therapies, the significant complexity and potential safety and toxicity concerns associated with poorly designed covalent binders have historically discouraged drug developers from pursuing this drug class. In particular, a significant risk for toxicity is posed by these small molecule binders if they demonstrate a more promiscuous binding profile than intended, which can potentially cause unacceptable levels of off-target interactions. While we believe the significant expertise, foundational knowledge and capabilities that our management team members have accumulated over their extensive careers and that we have expanded and refined since our inception positions us to overcome such challenges, there can be no assurance that we will be successful. Even if we are able to limit off-target interaction, there can be no assurance that treatment with any of our novel small molecule product candidates will demonstrate the deep inactivation of their targets or offer greater therapeutic windows than conventional non-covalent drugs. It is possible that the targets we select, such as menin, could be effectively and safely treated by more frequent dosing of non-covalent drugs, which could limit the potential advantages or perceived benefits of our covalent and non-covalent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product candidate, icovamenib, and our next-generation product candidate, BMF-650, are in clinical development.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current data is primarily limited to clinical data in a relatively small patient population for icovamenib, as well as animal models and preclinical cell lines for icovamenib, BMF-500 and BMF-650. These results may not be replicated in larger clinical trials, or, in the case of preclinical data, translate into humans. As such, even if we are able to develop novel small molecule therapy candidates that demonstrate positive results in preclinical studies or early-stage clinical trials, there can be no assurance that such product candidates will subsequently demonstrate significant clinical benefit in vivo or in larger trials or will be well-tolerated.</w:t>
      </w:r>
    </w:p>
    <w:p>
      <w:pPr>
        <w:pStyle w:val="TextBody"/>
        <w:bidi w:val="0"/>
        <w:spacing w:before="0" w:after="120"/>
        <w:jc w:val="left"/>
        <w:rPr>
          <w:rFonts w:ascii="Times New Roman" w:hAnsi="Times New Roman"/>
          <w:sz w:val="20"/>
        </w:rPr>
      </w:pPr>
      <w:r>
        <w:rPr>
          <w:rFonts w:ascii="Times New Roman" w:hAnsi="Times New Roman"/>
          <w:b/>
          <w:i/>
          <w:color w:val="000000"/>
          <w:sz w:val="20"/>
        </w:rPr>
        <w:t>We are early in our development efforts and are substantially dependent on our product candidates, icovamenib and BMF-650. If we are unable to advance icovamenib, BMF-650 or any other product candidates through clinical development, obtain regulatory approval and ultimately commercialize icovamenib, BMF-650 or any other product candidates, or experience significant delays in doing so, our business, financial condition and results of operations will be materially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early in our development efforts. We have not yet successfully completed clinical testing of our lead product candidate, icovamenib, in human subjects for various types of type 2 diabetes or type 1 diabetes, or our second product candidate, BMF-650, as a next-generation oral GLP-1 RA. Our ability to generate product revenue, which we do not expect will occur for many years, if ever, will depend heavily on the successful clinical development and eventual commercialization of icovamenib or BMF-650. The success of our product candidates will depend on several factors,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continue our business operations and product candidate research and development, and adapt to any changes in the regulatory approval process, manufacturing supply or clinical trial requirements, disruptions of staffing and operations at the FDA or other government agencies and timing due to any continued and prolonged public health emergencies;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successful completion of preclinical studies, regulatory submissions and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receipt of authorization to proceed under INDs for our planned clinical trials or future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successful initiation, patient enrollment in, and completion of current and future clinical trials, including our ongoing Phase II clinical trial of icovamenib in type 2 diabetes and our Phase II clinical trial of icovamenib in insulin-deficient type 2 diabetes as well as our Phase I clinical trial for BMF-650, including the additional cohort in the Phase I clinical trial announced in June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successful partnerships to further advance our oncology assets;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whether icovamenib, BMF-650 or any other product candidates that we may identify and pursue will demonstrate safety, tolerability and efficacy profiles that are satisfactory to the FDA or any foreign regulatory authority for marketing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receipt of marketing approvals for our product candidates from applicable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completion of any required post-marketing approval commitments to applicable regulatory authorities in order to maintain marketing authorization for any of our product candidates that receive regulatory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making arrangements with third-party manufacturers, or establishing manufacturing capabilities, for both clinical and commercial supplies of our product candidates, if any product candidates are approved;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acceptance of our products, if and when approved, by patients, the medical community and third-party payors;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effectively competing with other therapies for diabetes and obesity;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and maintaining third-party coverage and adequate reimbursement;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products following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could materially adversely affect our business. If we do not receive regulatory approvals for our current or future product candidates, we will not be able to continue our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building of a commercial organization, and substantial investment and significant marketing efforts before we generate any revenue from product sales, if ever. We may also experience delays in developing a sustainable, reproducible and scalable manufacturing process or transferring that process to commercial partners, which may prevent us from completing our preclinical studies or clinical trials or commercializing our product candidates on a timely or profitable basis, if at all. Changes in the manufacturing process or facilities will require further comparability analysis and approval by FDA before implementation, which could delay our preclinical studies, clinical trials and product candidate development, and could require additional preclinical studies and clinical trials, including bridging studies, to demonstrate consistent and continued safety and efficacy.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previously submitted an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 </w:t>
      </w:r>
    </w:p>
    <w:p>
      <w:pPr>
        <w:pStyle w:val="TextBody"/>
        <w:bidi w:val="0"/>
        <w:spacing w:before="0" w:after="120"/>
        <w:jc w:val="left"/>
        <w:rPr>
          <w:rFonts w:ascii="Times New Roman" w:hAnsi="Times New Roman"/>
          <w:sz w:val="20"/>
        </w:rPr>
      </w:pPr>
      <w:r>
        <w:rPr>
          <w:rFonts w:ascii="Times New Roman" w:hAnsi="Times New Roman"/>
          <w:b/>
          <w:i/>
          <w:color w:val="000000"/>
          <w:sz w:val="20"/>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order to obtain FDA approval to market a novel small molecule product, we must demonstrate the safety and efficacy of our product candidates in humans to meet the FDA requirements. To meet these requirements, we will have to conduct adequate and well-controlled clinical trials. Clinical testing is expensive, time-consuming, and subject to uncertainty. Before we can commence clinical trials for a product candidate, we must complete extensive preclinical studies that support our planned and future INDs in the United States. At present, we are advancing two product candidates, icovamenib and BMF-650. We cannot be certain of the timely completion or outcome of our preclinical studies and clinical trials and cannot predict if the FDA will allow our existing and proposed clinical programs to proceed or continue to proceed, or if the outcomes of our preclinical studies and clinical trials will ultimately support further development of our programs. Leadership changes at the FDA in the current administration may compound this uncertainty. Our lead product candidate, icovamenib, is in clinical development for type 2 diabetes and we recently concluded a Phase II clinical trial of icovamenib in type 1 diabetes, and we cannot be sure that we will be able to submit INDs or similar applications with respect to additional indications or other product candidates on the timelines we expect, if at all, and we cannot be sure that submission of IND or similar applications will result in the FDA or other regulatory authorities allowing clinical trials to begin.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color w:val="000000"/>
          <w:sz w:val="20"/>
        </w:rPr>
        <w:t xml:space="preserve">inability to generate sufficient preclinical or other </w:t>
      </w:r>
      <w:r>
        <w:rPr>
          <w:rFonts w:ascii="Times New Roman" w:hAnsi="Times New Roman"/>
          <w:i/>
          <w:color w:val="000000"/>
          <w:sz w:val="20"/>
        </w:rPr>
        <w:t xml:space="preserve">in vivo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of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timely completion of preclinical laboratory tests, animal studies and formulation studies in accordance with the FDA’s GLP requirements and other applicable regulations;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approval by an independent IRB ethics committee at each clinical site before each trial may be initiated;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and obtaining regulatory authorization to commence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recruiting suitable participants to participate in our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insufficient or inadequate supply or quality of product candidates or other materials necessary for use in clinical trials, or delays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rFonts w:ascii="Times New Roman" w:hAnsi="Times New Roman"/>
          <w:color w:val="000000"/>
          <w:sz w:val="20"/>
        </w:rPr>
        <w:t>sufficiently developing, characterizing or controlling a manufacturing process suitable for clinical trials;</w:t>
      </w:r>
      <w:r>
        <w:rPr>
          <w:color w:val="00000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recruiting, screening and enrolling participants and delays caused by participants withdrawing from clinical trials or failing to return for post-treatment follow-up;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protocols;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(GCPs), or applicable regulatory guidelines in other countries;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occurrence of adverse events associated with the product candidate that are viewed to outweigh its potential benefits, or occurrence of adverse events in trial of the same class of agents conducted by other companies;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to the clinical trial protocols;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observation or analyses of resulting data;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a CMO, and delays or failure by our CMOs or us to make any necessary changes to such manufacturing process;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third parties being unwilling or unable to satisfy their contractual obligations to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disruptions caused by continued and prolonged public health emergencies, may increase the likelihood that we encounter such difficulties or delays in initiating, enrolling, conducting or completing our planned and ongoing preclinical studies and clinical trials. Any inability to successfully initiate or complete preclinical studies or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if and when approved, have patent protection and may allow our competitors to bring products to market before we do, which could impair our ability to successfully commercialize our product candidates and may seriously harm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such as the previous clinical hold imposed by the FDA on our INDs for icovamenib in type 1 and type 2 diabetes, which was lifted in September 2024,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financial condition and prospects significantly. </w:t>
      </w:r>
    </w:p>
    <w:p>
      <w:pPr>
        <w:pStyle w:val="TextBody"/>
        <w:bidi w:val="0"/>
        <w:spacing w:before="0" w:after="120"/>
        <w:jc w:val="left"/>
        <w:rPr>
          <w:rFonts w:ascii="Times New Roman" w:hAnsi="Times New Roman"/>
          <w:sz w:val="20"/>
        </w:rPr>
      </w:pPr>
      <w:r>
        <w:rPr>
          <w:rFonts w:ascii="Times New Roman" w:hAnsi="Times New Roman"/>
          <w:b/>
          <w:i/>
          <w:color w:val="000000"/>
          <w:sz w:val="20"/>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be required to demonstrate with substantial evidence through well-controlled clinical trials that our product candidates are safe and effective before we can seek regulatory and marketing approvals for their commercial sale. Success in preclinical studies does not mean that future clinical trials will be successful. For instance, we do not know whether icovamenib or BMF-650 will perform in clinical trials as they have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product candidates, which can cause side effects or adverse events that are unrelated to our product candidates. As a result, assessments of efficacy can vary widely for a particular participant, and from patient to patient and site to site within a clinical trial. This subjectivity can increase the uncertainty of, and adversely impact, our clinical trial outcomes. </w:t>
      </w:r>
    </w:p>
    <w:p>
      <w:pPr>
        <w:pStyle w:val="TextBody"/>
        <w:bidi w:val="0"/>
        <w:spacing w:before="0" w:after="120"/>
        <w:jc w:val="left"/>
        <w:rPr>
          <w:rFonts w:ascii="Times New Roman" w:hAnsi="Times New Roman"/>
          <w:sz w:val="20"/>
        </w:rPr>
      </w:pPr>
      <w:r>
        <w:rPr>
          <w:rFonts w:ascii="Times New Roman" w:hAnsi="Times New Roman"/>
          <w:b/>
          <w:i/>
          <w:color w:val="000000"/>
          <w:sz w:val="20"/>
        </w:rPr>
        <w:t>We face risks related to global health emergencies such as a pandemic, epidemic, or outbreak of an infectious disease, which could materially adversely impact our business, results of operations, and financial condition, including our preclinical studies and clinical trials.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global health emergency such as a pandemic, epidemic, or outbreak of an infectious disease, we have experienced, and may in the future experience disruptions that could severely impact our business, preclinical studies and clinical trials,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or difficulties in clinical site initiation, including difficulties in recruiting CROs for our preclinical studies and clinical site investigators and clinical site staff for our ongoing and planned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delays or difficulties in enrolling and retaining participants in our ongoing and planned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participant visits and study procedures (such as endoscopies that are deemed non-essential), which may impact the integrity of participant data and clinical study endpoints;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from our CMOs due to staffing shortages, production slowdowns or stoppages and disruptions in delivery systems;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limitations on employee resources that would otherwise be focused on the conduct of our preclinical studies and clinical trials, including because of sickness of employees or their families or the desire of employees to avoid contact with large groups of people;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interruptions or delays to our sourced discovery and clinical activities;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clinical site procedures and requirements as well as regulatory requirements for conducting clinical trials during any global health emergency.</w:t>
      </w:r>
    </w:p>
    <w:p>
      <w:pPr>
        <w:pStyle w:val="TextBody"/>
        <w:bidi w:val="0"/>
        <w:spacing w:before="0" w:after="120"/>
        <w:jc w:val="left"/>
        <w:rPr>
          <w:rFonts w:ascii="Times New Roman" w:hAnsi="Times New Roman"/>
          <w:sz w:val="20"/>
        </w:rPr>
      </w:pPr>
      <w:r>
        <w:rPr>
          <w:rFonts w:ascii="Times New Roman" w:hAnsi="Times New Roman"/>
          <w:b/>
          <w:i/>
          <w:color w:val="000000"/>
          <w:sz w:val="20"/>
        </w:rPr>
        <w:t>If we experience delays or difficulties in the enrollment and/or retention of eligible participants in clinical trials,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be able to initiate or continue our ongoing and planned clinical trials on a timely basis or at all for our product candidates if we are unable to recruit and enroll a sufficient number of eligible participants to participate in these trials through completion of such trials as required by the FDA or other comparable foreign regulatory authorities. Participant enrollment is a significant factor in the timing of clinical trials. Our ability to enroll eligible participants may be limited or may result in slower enrollment than we anticipate.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that are in the same therapeutic areas as our product candidates, and this competition reduces the number and types of participants available to us, as some participants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participants who are available for our clinical trials at such clinical trial sites. In addition, there may be limited participant pools from which to draw for clinical studies. In addition to the rarity of some diseases, the eligibility criteria of our clinical trials will further limit the pool of available study participants as we will require that participants have specific characteristics that we can measure or to assure their disease is either severe enough or not too advanced to include them in a study. Participant enrollment for our ongoing and planned clinical trials may be affected by other factors,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identify clinical trial sites and recruit clinical trial investigators with the appropriate capabilities, competencies and experiences;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size and nature of the participant population;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availability and efficacy of approved drugs or other methods of treatment for the disease under investigation, or availability of competing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design of clinical trials and whether the FDA or foreign regulatory agencies agree to the design and implementation of the trial;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participant eligibility criteria for the trial in question as defined in the protocol;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clinicians’ and participants’ perceptions as to the potential advantages of the product candidate being studied in relation to other available therapies, including any new products that may be approved or future product candidates being investigated for the indications we are pursuing;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clinicians’ willingness to screen their participants for biomarkers to indicate which participants may be eligible for enrollment in our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delays in or temporary suspension of the enrollment of participants in our planned clinical trials due to any continued and prolonged public health emergency;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ability to obtain and maintain participant consents;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participant referral practices of physicians;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monitor participants adequately during and after treatment;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proximity and availability of clinical trial sites for prospective participants.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factors may make it difficult for us to enroll enough participants to complete our clinical trials in a timely and cost-effective manner. Our inability to enroll a sufficient number of eligible participants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eligible participants for our clinical trials, we may have difficulty maintaining participation in our clinical trials through the treatment and any follow-up periods. </w:t>
      </w:r>
    </w:p>
    <w:p>
      <w:pPr>
        <w:pStyle w:val="TextBody"/>
        <w:bidi w:val="0"/>
        <w:spacing w:before="0" w:after="120"/>
        <w:jc w:val="left"/>
        <w:rPr>
          <w:rFonts w:ascii="Times New Roman" w:hAnsi="Times New Roman"/>
          <w:sz w:val="20"/>
        </w:rPr>
      </w:pPr>
      <w:r>
        <w:rPr>
          <w:rFonts w:ascii="Times New Roman" w:hAnsi="Times New Roman"/>
          <w:b/>
          <w:i/>
          <w:color w:val="000000"/>
          <w:sz w:val="20"/>
        </w:rPr>
        <w:t>The market opportunities for our product candidates may be relatively small as it will be limited to those patients who are ineligible for or have failed prior treatments and our estimates of the prevalence of our target patient populations may be inaccurate.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Type 2 diabetes is a highly heterogeneous disease, and there are over sixty approved therapies being utilized in treating diabetes at various stages of the disease progression, with early lines of therapies largely genericized. There is also a significant industry pipeline of potentially emerging new treatments all addressing patients either in front line or as a follow-on treatment either in monotherapy or in combination.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initially seek approval of our product candidates in second or later lines of therapy. Subsequently, depending on the nature of the clinical data and experience with any approved products or product candidates, if any, we may pursue approval as an earlier line therapy and potentially as a first line therapy. There is no guarantee, however, that our product candidates that we may identify and pursue, even if approved as a second or subsequent line of therapy, would be approved for an earlier line of therapy, and, prior to seeking any such approvals, we may have to conduct additional clinical trials.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pharmaceutical industry is characterized by rapidly advancing technologies, intense competition, and a strong emphasis on proprietary products. While we believe that icovamenib and BMF-650, together with our knowledge and scientific resources,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us with competitive advantages, we face potential competition from many different sources, including commercial biopharmaceutical enterprises, academic institutions, government agencies and private and public research institutions. 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Any drug candidates that we successfully develop and commercialize will likely compete with existing therapies and new therapies that may become available in the future.</w:t>
      </w:r>
    </w:p>
    <w:p>
      <w:pPr>
        <w:pStyle w:val="TextBody"/>
        <w:bidi w:val="0"/>
        <w:spacing w:before="0" w:after="120"/>
        <w:jc w:val="left"/>
        <w:rPr>
          <w:rFonts w:ascii="Times New Roman" w:hAnsi="Times New Roman"/>
          <w:sz w:val="20"/>
        </w:rPr>
      </w:pPr>
      <w:r>
        <w:rPr>
          <w:rFonts w:ascii="Times New Roman" w:hAnsi="Times New Roman"/>
          <w:b/>
          <w:i/>
          <w:color w:val="000000"/>
          <w:sz w:val="20"/>
        </w:rPr>
        <w:t>The incidence and prevalence for target patient populations of icovamenib and BMF-650 are based on estimates and third-party sources. If the market opportunities for icovamenib and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Periodically, we make estimates regarding the incidence and prevalence of target patient populations for particular diseases based on various third-party sources and internally generated analysis and use such estimates in making decisions regarding our drug development strategy and determining indications on which to focus in non-clinical or clinical trials.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incidence and prevalence for target patient populations of icovamenib and BMF-650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icovamenib,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 </w:t>
      </w:r>
    </w:p>
    <w:p>
      <w:pPr>
        <w:pStyle w:val="TextBody"/>
        <w:bidi w:val="0"/>
        <w:spacing w:before="0" w:after="120"/>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 addition, we believe we are currently the only company in the United States clinically developing small molecule inhibitor specifically against menin. We define ourselves as targeted drug developers focused on covalent small molecule therapeutics and as such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Smaller or early-stage companies may also prove to be significant competitors, particularly through collaborative arrangements with large and established companies. These companies may be or may become interested in discovery and development of covalent binders that may compete with us against menin or related targets at scale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and establishing clinical trial sites and participant enrollment in clinical trials, as well as in acquiring technologies complementary to, or necessary for, our programs. As a result, our competitors may discover, develop, license or commercialize products before or more successfully than we do. We face competition from segments of the pharmaceutical, biotechnology and other related markets that pursue the development of therapies that target binding against protein targets of interest to us.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our knowledge, there are no clinical-stage programs that aim to specifically regenerate insulin-producing beta cells in the islets by targeting menin for diabetes. There are over 60 approved agents and therapies being utilized to address diabetes. Such approved agents and therapies are intended to provide specific benefits to patients; however, we are not aware of any successfully addressing the root cause of diabetes, a depleted pool of functional beta cells. Several programs are targeting beta cell proliferation, including DYRK1A inhibitors. However, in addition to specific safety challenges, studies have shown that this approach may not only proliferate beta cells but also other pancreatic cells, which would not necessarily improve the ratio of alpha to beta cells in the pancreas.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face competition with respect to our current product candidates and will face competition with respect to future product candidates, from segments of the pharmaceutical, biotechnology, and other related markets that pursue targeted therapies for patients with diabetes and obesity. Our competitors will also include companies that are or will be developing other targeted therapies, including small molecule, antibody, or protein degraders for the same indications that we are targeting. For example,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Wegovy® pill was approved in December 2025 and is indicated with a reduced calorie diet and increased physical activity for adults with obesity, or with overweight who also have weight-related medical problems, to help them lose weight and keep it off. Additionally, in April 2026, Foundayo</w:t>
      </w:r>
      <w:r>
        <w:rPr>
          <w:rFonts w:ascii="Times New Roman" w:hAnsi="Times New Roman"/>
          <w:color w:val="000000"/>
          <w:sz w:val="13"/>
        </w:rPr>
        <w:t xml:space="preserve">TM </w:t>
      </w:r>
      <w:r>
        <w:rPr>
          <w:rFonts w:ascii="Times New Roman" w:hAnsi="Times New Roman"/>
          <w:color w:val="000000"/>
          <w:sz w:val="20"/>
        </w:rPr>
        <w:t>was approved for use in combination with a reduced-calorie diet and increased physical activity to reduce excess body weight and maintain weight reduction long term in adults with obesity or overweight adults with at least one weight-related comorbid condition. Both products carry boxed warnings. If icovamenib, BMF-650 or our future product candidates do not offer sustainable advantages over competing products, we may otherwise not be able to successfully compete against current and future competitors.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competitors may obtain regulatory approval of their product candidates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competitors will also compete with us in recruiting and retaining qualified scientific, management and commercial personnel, establishing clinical trial sites and participant registration for clinical trials, as well as in acquiring technologies complementary to, or necessary for, our programs.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candidates that we may successfully develop and commercialize will compete with existing therapies and new therapies that may become available in the future. The key competitive factors affecting the success of all of our product candidates, if approved, are likely to be their potency, selectivity, inactivation of the target, therapeutic window, safety, convenience, price, the level of generic competition, our ability to market and commercialize the product candidate and the availability of reimbursement from government and other third-party payors. For additional information regarding our competition, see the section of our Annual Report on Form 10-K filed with the SEC on March 24, 2026 titled “Business—Competition.” </w:t>
      </w:r>
    </w:p>
    <w:p>
      <w:pPr>
        <w:pStyle w:val="TextBody"/>
        <w:bidi w:val="0"/>
        <w:spacing w:before="0" w:after="120"/>
        <w:jc w:val="left"/>
        <w:rPr>
          <w:rFonts w:ascii="Times New Roman" w:hAnsi="Times New Roman"/>
          <w:sz w:val="20"/>
        </w:rPr>
      </w:pPr>
      <w:r>
        <w:rPr>
          <w:rFonts w:ascii="Times New Roman" w:hAnsi="Times New Roman"/>
          <w:b/>
          <w:i/>
          <w:color w:val="000000"/>
          <w:sz w:val="20"/>
        </w:rPr>
        <w:t>Our novel small molecule product candidates may cause significant adverse events, toxicities or other undesirable side effects when used alone or in combination with other approved products or investigational product candidates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our product candidates are associated with undesirable side effects or have unexpected characteristics in preclinical studies or clinical trials when used alone or in combination with other approved products or investigational product candidates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participant recruitment or the ability of enrolled participants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Icovamenib, BMF-500, BMF-650 or future product candidates may be used in populations for which safety concerns may be reviewed by regulatory agencies. For example, if the administration of icovamenib leads to levels of menin inhibition that far exceed those achieved by well-studied non-covalent menin inhibitors, it is possible that participants' responses could be both unexpected and negative. In addition, we or our future collaborators may study icovamenib in combination with other therapies, which may exacerbate adverse events associated with the therapy.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further significant adverse events or other side effects are observed in any of our current or future clinical trials, we may have difficulty recruiting participants to the clinical trials, participants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if any of our product candidates obtains marketing approval, toxicities associated with such product candidates previously not seen during clinical testing may also develop after such approval and lead to a number of potentially significant negative consequences, including, but not limited 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regulatory authorities may suspend, limit or withdraw approvals of such product, or seek an injunction against its manufacture or distribution;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including “boxed” warnings, or issue safety alerts, Dear Healthcare Provider letters, press releases or other communications containing warnings or other safety information about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required to create a risk evaluation and mitigation strategy (REMS), which could include a medication guide outlining the risks of such side effects for distribution to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subject to fines, injunctions or the imposition of criminal penalties;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could be sued and held liable for harm caused to participants;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that any of these events could prevent us from achieving or maintaining market acceptance of the particular product candidate, if approved, and could seriously harm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participants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we have announced or published, and may continue to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may also disclose interim data from our preclinical studies and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study population size, safety database size, interpretations of data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obtain regulatory approval of our product candidates, the products may not gain market acceptance among physicians, patients, hospitals, and others in the medical community.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Various factors will influence whether our product candidates, if approved, are accepted in the market,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demonstrate the advantages of our product candidates over other available medicines;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prevalence and severity of any side effects for other precision medicines and public perception of other precision medicines;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as well as competitive products;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pricing and the availability of adequate coverage and reimbursement by third-party payors and government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coverage by third-party payors and government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effectiveness of our sales and marketing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our product candidates are approved but fail to achieve market acceptance among physicians, patients, hospitals, or others in the medical community, we will not be able to generate significant revenue.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any products we develop achieve market acceptance, we may not be able to maintain that market acceptance over time if new products or technologies are introduced that are more favorably received than our products, are more cost effective or render our products obsolete. </w:t>
      </w:r>
    </w:p>
    <w:p>
      <w:pPr>
        <w:pStyle w:val="TextBody"/>
        <w:bidi w:val="0"/>
        <w:spacing w:before="0" w:after="120"/>
        <w:jc w:val="left"/>
        <w:rPr>
          <w:rFonts w:ascii="Times New Roman" w:hAnsi="Times New Roman"/>
          <w:sz w:val="20"/>
        </w:rPr>
      </w:pPr>
      <w:r>
        <w:rPr>
          <w:rFonts w:ascii="Times New Roman" w:hAnsi="Times New Roman"/>
          <w:b/>
          <w:i/>
          <w:color w:val="000000"/>
          <w:sz w:val="20"/>
        </w:rPr>
        <w:t>Coverage and reimbursement of newly-approved products from third-party payors is uncertain. Our product candidates may become subject to unfavorable pricing regulations and/or third-party coverage and reimbursement policies, either of which would adversely affect our business. 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are not available, or are available only to limited levels, we may not be able to successfully commercialize our product candidates.</w:t>
      </w:r>
      <w:r>
        <w:rPr>
          <w:rFonts w:ascii="Times New Roman" w:hAnsi="Times New Roman"/>
          <w:color w:val="FF0000"/>
          <w:sz w:val="20"/>
        </w:rPr>
        <w:t xml:space="preserve"> </w:t>
      </w:r>
      <w:r>
        <w:rPr>
          <w:rFonts w:ascii="Times New Roman" w:hAnsi="Times New Roman"/>
          <w:color w:val="000000"/>
          <w:sz w:val="20"/>
        </w:rPr>
        <w:t>For additional information, see the section of our Annual Report on Form 10-K filed with the SEC on March 24, 2026 titled “Business—Government Regulation—Coverage and Reimbursement.”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before="0" w:after="120"/>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which may not be sufficiently covered by insurance, and may be required to limit commercialization of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decreased demand for our product candidates or products that we may develop;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initiation of investigations by regulators restrictions on product development plans, or clinical holds;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diversion of management’s time and our resources;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that we believe is appropriate for our stage of development, our insurance policies also have various exclusions, and we may be subject to a product liability claim for which we have no coverage and may need to obtain higher levels prior to marketing any of our product candidates if approved.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w:t>
      </w:r>
    </w:p>
    <w:p>
      <w:pPr>
        <w:pStyle w:val="TextBody"/>
        <w:bidi w:val="0"/>
        <w:spacing w:before="0" w:after="120"/>
        <w:jc w:val="left"/>
        <w:rPr>
          <w:rFonts w:ascii="Times New Roman" w:hAnsi="Times New Roman"/>
          <w:sz w:val="20"/>
        </w:rPr>
      </w:pPr>
      <w:r>
        <w:rPr>
          <w:rFonts w:ascii="Times New Roman" w:hAnsi="Times New Roman"/>
          <w:b/>
          <w:i/>
          <w:color w:val="000000"/>
          <w:sz w:val="20"/>
        </w:rPr>
        <w:t>We have never commercialized a product candidate before and may lack the necessary expertise, personnel and resources to successfully commercialize any products on our own or together with suitable collaborators.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future approved products, the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Regulatory Process and Other Legal Compliance Matters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icovamenib and our next-generation product candidate BMF-650, we must demonstrate through lengthy, complex and expensive preclinical studies and clinical trials that our product candidates are both safe and effective for each targeted indication.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us obtaining marketing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The former FDA Commissioner publicly indicated that a single adequate and well-controlled pivotal clinical trial supported by confirmatory evidence will be the FDA’s default standard moving forward for novel products, rather than two such trials; this statement was not a formal agency action, and the scope, implementation and durability of this policy position in the current administration remain uncertain. FDA retains broad discretion to require additional clinical data for any product candidate, including a second adequate and well-controlled clinical trial. Additionally,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suspend or prohibit completion of our clinical trials, such as through the clinical hold placed on our INDs for the Phase I/II clinical trials of icovamenib in type 2 and type 1 diabetes, which was lifted in September 2024, or they may disagree with the design or implementation of our clinical trials or require us to modify the design of our clinical trials, including additional procedures and contingency measures in response to public health emergencies like a pandemic, or as required by clinical sites, IRBs, the FDA or other regulatory authorities;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population studied in the clinical trial may not be sufficiently broad or representative to assure efficacy and safety in the full population for which we seek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or that a product candidate has an acceptable benefit-risk ratio for its proposed indication;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staffing changes and backlogs at the FDA, or other comparable foreign regulatory authorities may create unexpected delays in the review and approval of any applications we may submit;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the manufacturing processes, test procedures, specifications, or facilities of third-party manufacturers with which we contract for clinical and commercial supplies;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otherwise fail or be unable to adequately perform their obligations to allow for the conduct of our planned or future clinical studies;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 </w:t>
      </w:r>
    </w:p>
    <w:p>
      <w:pPr>
        <w:pStyle w:val="TextBody"/>
        <w:bidi w:val="0"/>
        <w:spacing w:before="0" w:after="120"/>
        <w:jc w:val="left"/>
        <w:rPr>
          <w:rFonts w:ascii="Times New Roman" w:hAnsi="Times New Roman"/>
          <w:sz w:val="20"/>
        </w:rPr>
      </w:pPr>
      <w:r>
        <w:rPr>
          <w:rFonts w:ascii="Times New Roman" w:hAnsi="Times New Roman"/>
          <w:b/>
          <w:i/>
          <w:color w:val="000000"/>
          <w:sz w:val="20"/>
        </w:rPr>
        <w:t>A condition or disease we are conducting or plan to conduct clinical trials for may not be a rare disease or condition that is eligible for orphan drug designation or 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(ODD) for any eligible product candidates we develop, and we may be unsuccessful.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United States, ODD entitles a party to financial incentives such as opportunities for grant funding towards clinical trial costs, tax advantages, and user-fee waivers. In addition, if a product that has ODD subsequently receives the first FDA approval for the use or indication for which it has such designation, the product is entitled to orphan drug exclusivity. Orphan drug exclusivity in the United States provides that the FDA may not approve any other applications, including a full NDA, to market the same drug for the same approved use or indication for seven years, except in circumstances such as a showing of clinical superiority to the product with orphan product exclusivity in instances of supply issues.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may be approved for the same approved use or indication. Even after an orphan drug is approved, the FDA can subsequently approve the same drug with the same active moiety for the same approved use or indication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seek Fast Track designations for some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seek priority review designation for one or more of our other product candidates, but we might not receive such designation, and even if we do, such designation may not lead to a faster regulatory review or approval process.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0" w:after="120"/>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can be approved for sale in that jurisdiction. In some cases, the price that we intend to charge for any products we develop is also subject to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any products we develop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 </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funding or disruptions at the FDA, the SEC and other government agencies caused by leadership changes, reduction in staffing,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Federal agencies in the U.S., including the FDA and the SEC, operate pursuant to annual appropriations and other political and budgetary processes, and may from time to time be subject to continuing resolutions, funding lapses, or other fiscal constraints. The FDA is currently funded through September 30, 2026. Without appropriation of sufficient funding to federal agencies, our business operations related to our product development activities for the U.S. market could be impacted. Inadequate funding for the FDA, the SEC, the United States Patent and Trademark Office (USPTO)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 In addition, in the current administration, there is substantial uncertainty as to the extent and manner in which the U.S. government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leadership and policy changes and other events that may otherwise affect the FDA’s ability to perform routine functions. Average review times at the FDA have fluctuated in recent years and may continue to fluctuate as a result of these factors. Disruptions at the FDA, the SEC, the USPTO and other agencies, including substantial leadership departures, personnel cuts and policy changes, may also slow the time necessary for new drugs to be reviewed and/or approved by necessary government agencies, which would adversely affect our business. Changes and cuts in FDA staffing have been reported as resulting in delays in the FDA’s responsiveness or in its ability to review IND submissions or applications, issue regulations or guidance, or implement or enforce regulatory requirements in a timely fashion or at all. Moreover, disruptions at the NIH or changes to the NIH’s budget may negatively impact our operations and ongoing clinical trials.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example, the U.S. government has shut down several times. Most recently, from October 1, 2025 through November 12, 2025, the government experienced a full shutdown and from January 31, 2026 through February 3, 2026, the government experienced a partial shutdown, and certain regulatory agencies, such as the FDA and the SEC, had to furlough critical employees and stop critical activities. As of February 2026, most government agencies have been funded through September 2026, however if a future prolonged government shutdown occurs again, it could result in significant delays in the of FDA's ability to timely review and process any submissions we have filed or may file or cause other regulatory delays, which could have a material adverse effect on our business.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in our operations as a public company, future government shutdowns or delays could impact our ability to access the public markets and obtain necessary capital in order to properly capitalize and continue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product candidates and the activities associated with their development and potential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tracking and tracing requirements, GLP requirements, and GCP requirements, for any clinical trials that we conduct post-approval. Additionally, under FDORA, sponsors of approved drugs and biologics must provide six months’ notice to the FDA of any changes in marketing status, such as the withdrawal of a drug. Failure to do so could result in the FDA sending a noncompliance letter, or placing the product on a list of discontinued products.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 candidates, withdrawal of the product from the market or voluntary or mandatory product recalls;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manufacturing delays and supply disruptions where regulatory inspections identify observations of noncompliance requiring remediation;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revisions to the labeling, including limitation on approved uses or the addition of additional warnings, contraindications or other safety information, including boxed warnings;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imposition of a REMS, which may include distribution or use restrictions;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requirements to conduct additional post-market clinical trials to assess the safety of the product;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fines, FDA Form 483s, warning or untitled letters or holds on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approvals;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0" w:after="120"/>
        <w:jc w:val="left"/>
        <w:rPr>
          <w:rFonts w:ascii="Times New Roman" w:hAnsi="Times New Roman"/>
          <w:sz w:val="20"/>
        </w:rPr>
      </w:pPr>
      <w:r>
        <w:rPr>
          <w:rFonts w:ascii="Times New Roman" w:hAnsi="Times New Roman"/>
          <w:b/>
          <w:i/>
          <w:color w:val="000000"/>
          <w:sz w:val="20"/>
        </w:rPr>
        <w:t>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additional information, see the section of our Annual Report on Form 10-K filed with the SEC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March 24, 2026 titled “Business—Government Regulation —Healthcare Reform.”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payers of healthcare services to contain or reduce costs of healthcare may adversely affect: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demand for any of our product candidates, if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ability to set a price that we believe is fair for any of our product candidates, if approved;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Any reduction in reimbursement from Medicare or other government programs may result in a similar reduction in payments from private payors, which may adversely affect our future profitability. </w:t>
      </w:r>
    </w:p>
    <w:p>
      <w:pPr>
        <w:pStyle w:val="TextBody"/>
        <w:bidi w:val="0"/>
        <w:spacing w:before="0" w:after="120"/>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Although physicians may prescribe products for “off-label” uses in the exercise of their independent professional judgment,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government has also imposed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pStyle w:val="TextBody"/>
        <w:bidi w:val="0"/>
        <w:spacing w:before="0" w:after="120"/>
        <w:jc w:val="left"/>
        <w:rPr>
          <w:rFonts w:ascii="Times New Roman" w:hAnsi="Times New Roman"/>
          <w:sz w:val="20"/>
        </w:rPr>
      </w:pPr>
      <w:r>
        <w:rPr>
          <w:rFonts w:ascii="Times New Roman" w:hAnsi="Times New Roman"/>
          <w:b/>
          <w:i/>
          <w:color w:val="000000"/>
          <w:sz w:val="20"/>
        </w:rPr>
        <w:t>Our employees, independent contractors, consultants,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consultants,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healthcare provider payment transparency laws and regulations. If their operations are found to be in violation of any such laws or any other governmental regulations that apply, they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r>
        <w:rPr>
          <w:rFonts w:ascii="Times New Roman" w:hAnsi="Times New Roman"/>
          <w:color w:val="FF0000"/>
          <w:sz w:val="20"/>
        </w:rPr>
        <w:t xml:space="preserve"> </w:t>
      </w:r>
      <w:r>
        <w:rPr>
          <w:rFonts w:ascii="Times New Roman" w:hAnsi="Times New Roman"/>
          <w:color w:val="000000"/>
          <w:sz w:val="20"/>
        </w:rPr>
        <w:t>For additional information, see the section of our Annual Report on Form 10-K filed with the SEC on March 24, 2026 titled “Business—Government Regulation—Other Healthcare Laws.”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be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0" w:after="120"/>
        <w:jc w:val="left"/>
        <w:rPr>
          <w:rFonts w:ascii="Times New Roman" w:hAnsi="Times New Roman"/>
          <w:sz w:val="20"/>
        </w:rPr>
      </w:pPr>
      <w:r>
        <w:rPr>
          <w:rFonts w:ascii="Times New Roman" w:hAnsi="Times New Roman"/>
          <w:b/>
          <w:i/>
          <w:color w:val="000000"/>
          <w:sz w:val="20"/>
        </w:rPr>
        <w:t>We are or may become subject to stringent and changing laws, regulations, contractual obligations, and other obligations relating to privacy, data protection, and information security. The actual or perceived failure by us or our partners, customers, vendors, third-party payors or other related third parties to comply with such obligations could harm our reputation, subject us to significant fines and liability, or otherwise adversely affect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are numerous domestic and foreign laws, regulations, and other legal obligations regarding privacy, data protection, and information security, the scope of which are changing and subject to differing applications and interpretations, and which may be inconsistent among jurisdictions or conflict with each other. Privacy, data protection, and information security laws and regulations worldwide are, and are likely to remain, uncertain for the foreseeable future, and the actual or perceived failure to address or comply with them by us or our partners, customers, vendors, or other related third-parties could increase our compliance and operational costs, expose us to regulatory scrutiny, actions, fines and penalties, result in reputational harm, lead to a loss of customers; reduce the use of our products, result in litigation and liability, cause a material adverse impact to business operations or financial results, or otherwise result in material harm to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the U.S., numerous states have in recent years introduced and enacted more and more comprehensive privacy, data protection, and information security laws, adding complexity, variation in requirements, restrictions and potential legal risk requiring additional investment of resources in compliance programs. By way of example, the California Consumer Privacy Act (CCPA), which went into effect on January 1, 2020, affords consumers expanded privacy protections, including expanded rights to access and require deletion of their personal information, opt-out of certain personal information sharing, and receive detailed information about how their personal information is used. Similar privacy laws have been proposed at the federal level and in other states, creating a complicated national patchwork. Furthermore, some states have proposed or enacted legislation specifically focused on health privacy, such as Washington’s My Health My Data Act, with similar statutes in Nevada and Connecticut. The effects of state privacy laws are significant and may require us to modify our data processing practices and policies and to incur substantial costs and potential liability in an effort to comply with such legislation.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Additionally, we are or may become subject to the terms of internal and external policies, representations, standards, contractual obligations, and other obligations to third parties related to privacy, data protection, and information security. Our actual or perceived failure to comply with them may cause us to suffer a material adverse impact to our business operations or financial results, or otherwise result in material harm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in the United States, most healthcare providers, including research institutions from which we obtain participant health information, are subject to privacy and security regulations promulgated under HIPAA, as amended by HITECH, and their respective implementing regulations. Compliance with HIPAA and HITECH may require us to modify our data processing policies and to incur substantial costs and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may use and integrate artificial intelligence into our business processes, both in our own development and implementation of artificial intelligence through the adoption of commercially available tools. Use of this technology could pose cybersecurity, data privacy, information technology,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artificial intelligence technologies.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in the future receive inquiries or be subject to investigations, proceedings, or actions by governmental entities, or litigation by private parties, regarding our privacy, data protection, and information security practices, which could result in a cause a material adverse impact to our business operations or financial results, or otherwise result in material harm to our business, including without limitation, interruptions of or requirements to make changes to our business practices, the diversion of resources and the attention of management from our business, regulatory oversights and audits, discontinuance of necessary data processing, or other remedies that adversely affect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use and integrate artificial intelligence into our business processes, and this innovation presents risks and challenges that could affect its adoption and, therefore, our business.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(the EU AI Act)—the world’s first comprehensive artificial intelligence law—entered into force in June 2024 and, with some exceptions, becomes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Likewise, in the United States, the regulatory environment is complex and uncertain. President Trump's Executive Order “Ensuring a National Policy Framework for Artificial Intelligence,” effective December 11, 2025 (the Executive Order), tasks the U.S. Department of Justice with reviewing state laws regulating artificial intelligence, and instructs the Department of Commerce to develop a national artificial intelligence strategy. At the same time, several states, including Colorado and California, passed laws that regulate various facets of artificial intelligence, some of which have taken effect and will continue to take effect through 2026 and beyond. These laws address a wide range of artificial intelligence-related topics, including consequential decisions, transparency, training data, among others, and it remains unclear which requirements, if any, will be superseded by the Executive Order. In addition, there continues to be uncertainty regarding the application of existing federal and state legal frameworks to uses and development of artificial intelligence, and legal norms and market standards regarding artificial intelligence continue to evolve. For example, various federal and state regulators have issued guidance and focused enforcement efforts on the use of artificial intelligence in regulated sectors. The FDA, for example, issued draft guidance on the use of artificial intelligence in regulatory decision-making for drug and biological products that centers on the context of use while establishing a credibility assessment framework for establishing and evaluating artificial intelligence model outputs intended to support regulatory decision-making. In the future, if we develop or use artificial intelligence systems that are governed by the EU AI Act or any other artificial intelligence legislation in effect, and further informed by regulatory guidance, it may necessitate ensuring higher standards of data quality, transparency, and human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oversight, as well as adhering to specific and potentially burdensome and costly ethical, accountability, and administrative requirements. We may also be subject to significant enforcement or litigation in the event of any perceived non-compliance.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Our research and development activities could be affected or delayed as a result of possible restrictions on animal testing.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120"/>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Such Trade Laws also govern export controls, as well as economic sanctions and embargoes on certain countries and persons.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Violations of Trade Laws can result in substantial criminal fines and civil penalties, imprisonment, the loss of trade privileges, debarment, tax reassessments, breach of contract and fraud litigation, reputational harm and other consequences. </w:t>
      </w:r>
    </w:p>
    <w:p>
      <w:pPr>
        <w:pStyle w:val="TextBody"/>
        <w:bidi w:val="0"/>
        <w:spacing w:before="0" w:after="120"/>
        <w:jc w:val="left"/>
        <w:rPr>
          <w:rFonts w:ascii="Times New Roman" w:hAnsi="Times New Roman"/>
          <w:sz w:val="20"/>
        </w:rPr>
      </w:pPr>
      <w:r>
        <w:rPr>
          <w:rFonts w:ascii="Times New Roman" w:hAnsi="Times New Roman"/>
          <w:b/>
          <w:i/>
          <w:color w:val="000000"/>
          <w:sz w:val="20"/>
        </w:rPr>
        <w:t>Existing regulatory policies may change, and additional government regulations may be enacted that could prevent, limit or delay regulatory approval of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United States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adoption of new requirements or policies, or if we are not able to maintain regulatory compliance, our business could be materially harmed.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are highly dependent on our key personnel and anticipate hiring new key personnel. If we are not successful in attracting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Operating Officer and President, Ramses Erdtmann. The departure of key leadership personnel, such as the departures of our former Chief Executive Officer and Chief Financial Officer in 2025, may result in loss of significant knowledge and experience from the company.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We will need to hire additional personnel as we initiate and expand our clinical development and if we initiate commercial activities.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 </w:t>
      </w:r>
    </w:p>
    <w:p>
      <w:pPr>
        <w:pStyle w:val="TextBody"/>
        <w:bidi w:val="0"/>
        <w:spacing w:before="0" w:after="120"/>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achieving and managing this growth.</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we had 37 full-time employees, including 24 employees engaged in research and development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order to successfully implement our development and commercialization plans and strategies, and as we continue to operate as a public company, we expect to need additional managerial clinical, regulatory, operational, sales, marketing, financial and other personnel. Future growth would impose significant added responsibilities on members of management,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identifying, recruiting, integrating, maintaining, retaining, and motivating additional employees;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FDA, and other comparable foreign regulatory agencies’ review process for icovamenib, BMF-500, BMF-650 and any future product candidates, while complying with any contractual obligations to contractors and other third parties we may have;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improving and maintaining our operational, financial and management controls, reporting systems and procedures.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icovamenib, BMF-500, BMF-650 and future product candidates will depend, in part, on our ability to effectively achieve and manage any future growth in company headcount. Our management may also have to divert a disproportionate amount of its attention away from day-to-day activities in order to devote a substantial amount of time to managing these growth activities.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clinical trials may be extended, delayed or terminated, and we may not be able to obtain marketing approval of icovamenib, BMF-500, BMF-650 or any future product candidates or otherwise advance our business. We cannot assure you that we will be able to manage our existing third-party service providers or find other competent outside contractors and consultants on economically reasonable terms, or at all.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and/or engaging additional third-party service providers, we may not be able to successfully implement the tasks necessary to further develop and commercialize icovamenib, BMF-650, BMF-500 or any future product candidates and, accordingly, may not achieve our research, development and commercialization goals. </w:t>
      </w:r>
    </w:p>
    <w:p>
      <w:pPr>
        <w:pStyle w:val="TextBody"/>
        <w:bidi w:val="0"/>
        <w:spacing w:before="0" w:after="120"/>
        <w:jc w:val="left"/>
        <w:rPr>
          <w:rFonts w:ascii="Times New Roman" w:hAnsi="Times New Roman"/>
          <w:sz w:val="20"/>
        </w:rPr>
      </w:pPr>
      <w:r>
        <w:rPr>
          <w:rFonts w:ascii="Times New Roman" w:hAnsi="Times New Roman"/>
          <w:b/>
          <w:i/>
          <w:color w:val="000000"/>
          <w:sz w:val="20"/>
        </w:rPr>
        <w:t>Business disruptions could materially adversely affect our future revenue and financial condition and increase our costs and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develop icovamenib, BMF-500, BMF-650 or any future product candidates we may develop could be disrupted if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 </w:t>
      </w:r>
    </w:p>
    <w:p>
      <w:pPr>
        <w:pStyle w:val="TextBody"/>
        <w:bidi w:val="0"/>
        <w:spacing w:before="0" w:after="120"/>
        <w:jc w:val="left"/>
        <w:rPr>
          <w:rFonts w:ascii="Times New Roman" w:hAnsi="Times New Roman"/>
          <w:sz w:val="20"/>
        </w:rPr>
      </w:pPr>
      <w:r>
        <w:rPr>
          <w:rFonts w:ascii="Times New Roman" w:hAnsi="Times New Roman"/>
          <w:b/>
          <w:i/>
          <w:color w:val="000000"/>
          <w:sz w:val="20"/>
        </w:rPr>
        <w:t>Our ability to utilize our NOLs carryforwards and certain other tax attributes to offset future taxable income may be limited.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NOL carryforwards that we generate in the future may be unavailable to offset future taxable income because of restrictions under U.S. tax law. Under current U.S. tax law, our federal NOLs generated in taxable years beginning after December 31, 2020 may be carried forward indefinitely, but such deductibility is limited to 80% of current year taxable income.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shifts in our stock ownership, some of which are outside our control. We have performed a Section 382 study and concluded that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In addition, at the state level, there may be periods during which the use of NOL carryforwards is suspended or otherwise limited, which could accelerate or permanently increase state taxes owed.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 may adversely affect us or our investors.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In recent years, many changes to tax laws have been made, and changes are likely to continue to occur in the future. For example, the OBBBA was signed into law on July 4, 2025 and made significant changes to U.S. federal tax law. Changes to tax laws (which changes may have retroactive application)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Although the OBBBA has not materially impacted our effective tax rate or cash flows in the current fiscal year,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pStyle w:val="TextBody"/>
        <w:bidi w:val="0"/>
        <w:spacing w:before="0" w:after="120"/>
        <w:jc w:val="left"/>
        <w:rPr>
          <w:rFonts w:ascii="Times New Roman" w:hAnsi="Times New Roman"/>
          <w:sz w:val="20"/>
        </w:rPr>
      </w:pPr>
      <w:r>
        <w:rPr>
          <w:rFonts w:ascii="Times New Roman" w:hAnsi="Times New Roman"/>
          <w:b/>
          <w:i/>
          <w:color w:val="000000"/>
          <w:sz w:val="20"/>
        </w:rPr>
        <w:t>A portion of our chemistry-based product development and sourcing of certain manufacturing raw materials for our product candidates takes place outside the United States through third-party manufacturers. A significant disruption in the operation of those manufacturers, a trade war or political unrest in China could materially adversely affect our business,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contract certain product development and manufacturing operations to third parties outside the United States, including in China, and we expect to continue to use such third-party manufacturers to support the development of our product candidates. Any disruption in production or inability of our manufacturers outside the United States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outside the United States, we are exposed to the possibility of product supply disruption and increased costs in the event of changes in the policies of the United States or other foreign governments, political unrest or unstable economic conditions in these jurisdictions. In particular, the United States in July 2026 imposed baseline tariffs generally ranging from 10% - 12.5% on a substantial portion of U.S. imports. The United States also has imposed higher tariffs on certain pharmaceutical products. As such, a trade war or other trade restrictions could lead to additional tariffs on the chemical intermediates we use that are manufactured in China.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U.S. legislation, referred to as the BIOSECURE ACT, went into effect on December 18, 2025 as part of the National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Defense Authorization Act of 2026, may have the effect of restricting the ability of U.S. biopharmaceutical companies to purchase services or products from, or otherwise collaborate with, certain Chinese biotechnology companies of concern without losing the ability to contract with, or otherwise receive funding from, the U.S. government.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foreign currency fluctuations in the value of the local currency as future appreciation of the local currency could increase our costs. In addition, our labor costs could continue to rise as wage rates increase due to increased demand for skilled laborers and the availability of skilled labor declines outside the United States, including in China.</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to have to negotiate budgets and contracts with CROs, trial sites and CMOs and we may not be able to do so on favorable terms, which may result in delays to our development timelines and increased costs.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current Good Manufacturing Practices </w:t>
      </w:r>
      <w:r>
        <w:rPr>
          <w:rFonts w:ascii="Times New Roman" w:hAnsi="Times New Roman"/>
          <w:b/>
          <w:color w:val="000000"/>
          <w:sz w:val="20"/>
        </w:rPr>
        <w:t>(</w:t>
      </w:r>
      <w:r>
        <w:rPr>
          <w:rFonts w:ascii="Times New Roman" w:hAnsi="Times New Roman"/>
          <w:color w:val="000000"/>
          <w:sz w:val="20"/>
        </w:rPr>
        <w:t xml:space="preserve">cGMP) regulations and will require a large number of test participants. Our failure or any failure by these third parties to comply with these regulations or to recruit a sufficient number of participants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third parties conducting our preclinical studies or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preclinical studies,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preclinical or clinical protocols or regulatory requirements or for other reasons, our preclinical studies or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Switching or adding third parties to conduct our preclinical studies and clinical trials involves substantial cost and requires extensive management time and focus. In addition, there is a natural transition period when a new third party commences work. As a result, delays may occur, which can materially impact our ability to meet our desired clinical development timelines. </w:t>
      </w:r>
    </w:p>
    <w:p>
      <w:pPr>
        <w:pStyle w:val="TextBody"/>
        <w:bidi w:val="0"/>
        <w:spacing w:before="0" w:after="120"/>
        <w:jc w:val="left"/>
        <w:rPr>
          <w:rFonts w:ascii="Times New Roman" w:hAnsi="Times New Roman"/>
          <w:sz w:val="20"/>
        </w:rPr>
      </w:pPr>
      <w:r>
        <w:rPr>
          <w:rFonts w:ascii="Times New Roman" w:hAnsi="Times New Roman"/>
          <w:b/>
          <w:i/>
          <w:color w:val="000000"/>
          <w:sz w:val="20"/>
        </w:rPr>
        <w:t>We currently rely and expect to rely in the future on the use of dedicated manufacturing suites in third-party facilities or on third parties general manufacturing facilities to manufacture our product candidates, and we may rely on third parties to develop processes and testing methods for our products, if approved. Our business could be adversely affected if we are unable to use third-party manufacturing suites or if the third-party manufacturers fail to develop appropriate processes and testing methods to provide us with sufficient quantities of our product candidates or fail to do so at acceptable quality levels or prices.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currently own or lease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if approved. We will need to negotiate and maintain contractual arrangements with these outside vendors for the supply of our product candidates and we may not be able to do so on favorable terms.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limited control over the ability of our contract manufacturers to maintain adequate quality control, quality assurance, qualified personnel, their equipment and facilities and any applicable licenses or approvals. If the FDA or a comparable foreign regulatory authority does not approve these facilities for the manufacture of our product candidates or if it withdraws any such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anticipated reliance on a limited number of third-party manufacturers exposes us to a number of risks,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unable to identify manufacturers on acceptable terms or at all because the number of potential manufacturers is limited and the FDA or other comparable foreign regulatory authority must inspect any manufacturers for cGMP compliance as part of our marketing application;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manufacturing processes and testing methods may need to be transferred to a new manufacturer, or we or others on our behalf may need to develop substantially equivalent processes and testing methods for, the production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manufacturers might be unable to timely manufacture our product candidates or produce the quantity and quality required to meet our clinical and commercial needs,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contract manufacturers may not be able to execute our manufacturing procedures and other logistical support requirements appropriately;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contract manufacturers are subject to ongoing periodic unannounced inspection by the FDA or other comparable foreign regulatory authority and corresponding state agencies to ensure strict compliance with cGMP and other government regulations and corresponding foreign standards and we have no control over third-party manufacturers’ compliance with these changing and tightening regulations and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own, or may have to share, the intellectual property rights to any improvements made by our third-party manufacturers in the manufacturing process for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manufacturers could breach or terminate their agreements with us;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third-party manufacturers may experience change of control of their ownership including ownership by a competitor,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raw materials and components used in the manufacturing process, particularly those for which we have no other source or supplier, may not be available at acceptable prices, or at all, or may not be suitable or acceptable for use due to material or component defects;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contract manufacturers and critical reagent suppliers may be subject to inclement weather, as well as natural or man-made disasters;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contract manufacturers may have unacceptable or inconsistent product quality success rates and yields, and we have no direct control over our contract manufacturers’ ability to maintain adequate quality control, quality assurance, qualified personnel, their equipment and facilities and any applicable licenses or approvals.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addition, from time to time we have relied upon, and may continue to rely upon, third-party contract manufacturers that are based in jurisdictions outside the United States. Legislation was proposed that, if enacted, could have negatively impact U.S. funding for certain biotechnology providers having relationships with foreign adversaries or which pose a threat to national security. If any of our third-party manufacturers are impacted by these legislative proposals, the potential downstream adverse impacts on us are unknown but may include supply chain disruptions or delays.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business could be materially adversely affected by any business disruptions to our third-party providers that could materially adversely affect our potential future revenue and financial condition and increase our costs and expenses. Each of these risks could delay or prevent the initiation or completion of any clinical trials or the approval of any of our product candidates by the FDA or other comparable foreign regulatory authority,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comparable foreign regulatory authority could place significant restrictions on our company until deficiencies are remedied. </w:t>
      </w:r>
    </w:p>
    <w:p>
      <w:pPr>
        <w:pStyle w:val="TextBody"/>
        <w:bidi w:val="0"/>
        <w:spacing w:before="0" w:after="120"/>
        <w:jc w:val="left"/>
        <w:rPr>
          <w:rFonts w:ascii="Times New Roman" w:hAnsi="Times New Roman"/>
          <w:sz w:val="20"/>
        </w:rPr>
      </w:pPr>
      <w:r>
        <w:rPr>
          <w:rFonts w:ascii="Times New Roman" w:hAnsi="Times New Roman"/>
          <w:b/>
          <w:i/>
          <w:color w:val="000000"/>
          <w:sz w:val="20"/>
        </w:rPr>
        <w:t>We currently, and may in the future, depend on single-source suppliers for some of the ingredients, components and materials used in, and the manufacturing processes required to develop, our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and may in the future, depend on single-source suppliers for some of the ingredients, raw materials, components and materials used in, and development activities required to manufacture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be able to supply materials or services to us at cost that are acceptable to us,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or adversely impact the quality of our product candidates.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 candidates, any interruption or delay in the supply of ingredients, components or materials or our inability to obtain ingredients, components or materials from alternate sources at acceptable prices in a timely manner, could impair our ability to meet the demand for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If our third-party manufacturers use hazardous and biological materials in a manner that causes injury or violates applicable law, we may be liable for damages.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hazardous substances, including chemical and biological materials, by our third-party manufacturers. Our manufacturers may use highly flammable reagents at high reaction temperature, are subject to federal, state and local laws and regulations in the United States and their country governing the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manufacture, storage, handling and disposal of medical and hazardous materials. Although we believe that our manufacturers’ procedures for using, handling, storing and disposing of these materials comply with legally prescribed standards and regulations,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0" w:after="120"/>
        <w:jc w:val="left"/>
        <w:rPr>
          <w:rFonts w:ascii="Times New Roman" w:hAnsi="Times New Roman"/>
          <w:sz w:val="20"/>
        </w:rPr>
      </w:pPr>
      <w:r>
        <w:rPr>
          <w:rFonts w:ascii="Times New Roman" w:hAnsi="Times New Roman"/>
          <w:b/>
          <w:i/>
          <w:color w:val="000000"/>
          <w:sz w:val="20"/>
        </w:rPr>
        <w:t>We have and may, in the future, form or seek collaborations or strategic alliances or enter into licensing arrangements, and we may not realize the benefits of such collaborations, alliances or licensing arrangements.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and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 collaborations involving our product candidates are subject to numerous risks, which may include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a collaboration;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abandon a product candidate, repeat or conduct new clinical trials or require a new formulation of a product candidate for clinical testing;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products may not commit sufficient resources to their marketing and distribution;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disputes may arise between us and a collaborator that cause the delay or termination of the research, development or commercialization of our product candidates, or that result in costly litigation or arbitration that diverts management attention and resources;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results from our collaborating with them, and in such cases, we would not have the exclusive right to commercialize such intellectual property.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results of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issuance of our equity securities;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programs and initiatives in pursuing such a strategic merger or acquisition;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marketing approvals;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if we undertake acquisitions or pursue partnerships in the future, we may issue dilutive securities, assume or incur debt obligations, incur large one-time expenses and/or acquire intangible assets that could result in significant future amortization expense. </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If we are unable to obtain, maintain, enforce and adequately protect our patents and other intellectual property rights with respect to our technology and product candidates, or if the scope of our patents or other intellectual property rights are not sufficiently broad, our competitors could develop and commercialize technology and products similar or identical to ours, and our ability to successfully develop and commercialize our technology or product candidates may be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rely on a combination of patent applications, trade secret protection and confidentiality agreements to protect the intellectual property related to our technology and product candidates, and our success depends in large part on our ability to obtain and maintain patent protection in the United States and other countries with respect to such technology and product candidates.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factual and scientific questions and can be uncertain.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patent applications that we own may fail to result in issued patents with claims that cover our technology or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technology or product candidates, third parties may challenge the inventorship, ownership, validity, enforceability or scope of such patents, which may result in such patents being narrowed or invalidated, or being held unenforceable. Our pending and future patent applications may not issue to protect our technology or product candidates or which effectively prevent others from developing, manufacturing or commercializing competitive technologies and product candidates.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 and beyond.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breadth or strength of protection provided or potentially provided by the patents and patent applications we hold with respect to our technology or product candidates is threatened, it could dissuade companies from collaborating with us to develop, and threaten our ability to commercialize, our product candidates. Furthermore, even if our patents and patent applications are unchallenged, they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may not adequately protect our intellectual property, provide exclusivity for our technology and product candidates or prevent others from designing around our claims. In addition, no assurances can be given that third parties will not create similar or alternative technologies, products or methods that achieve similar results without infringing upon our patents. Any of these outcomes could impair our ability to prevent competition from third parties, which may have an adverse impact on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litigation, opposition, interference, derivation, post grant review, </w:t>
      </w:r>
      <w:r>
        <w:rPr>
          <w:rFonts w:ascii="Times New Roman" w:hAnsi="Times New Roman"/>
          <w:i/>
          <w:color w:val="000000"/>
          <w:sz w:val="20"/>
        </w:rPr>
        <w:t>inter partes</w:t>
      </w:r>
      <w:r>
        <w:rPr>
          <w:rFonts w:ascii="Times New Roman" w:hAnsi="Times New Roman"/>
          <w:color w:val="000000"/>
          <w:sz w:val="20"/>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any of our patents are found to be invalid or unenforceable, or if we are otherwise unable to adequately protect our rights, it could have a material adverse impact on our business and our ability to commercialize or license our technology and product candidates.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Filing, prosecuting and defending patents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However, trade secrets can be difficult to protect and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even then, the license may not be available on commercially reasonable terms. 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seek to protect our proprietary technology and processes, in part, by entering into confidentiality agreements with parties who have access to them, such as our employees,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Our success depends in part on our ability to protect our intellectual property rights. It is difficult and costly to protect our proprietary rights and technology, and we may not be able to protect our intellectual property rights throughout the world.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product candidates and any future products. These candidates include icovamenib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technology, product and product candidates is dependent upon the extent to which we have rights under valid and enforceable patents or trade secrets that cover these activities.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delay in filing a patent application, and a competitor files a patent application on the same or a similar technology before we do, we may face a limited ability to secure patent rights or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the competitor files a patent application on such an advance before we do, then we may no longer be able to protect the technology or product, we may require a license from the competitor, and if then the license may not be available on commercially reasonable terms. </w:t>
      </w:r>
    </w:p>
    <w:p>
      <w:pPr>
        <w:pStyle w:val="TextBody"/>
        <w:bidi w:val="0"/>
        <w:spacing w:before="0" w:after="120"/>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Any issued patents we may own covering our product candidates could be narrowed or found invalid or unenforceable if challenged in court or before administrative bodies in the United States or abroad, including the USPTO.</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of certain products or enter into a license agreement and pay royalties (which may not be possible on commercially-reasonable terms or at all). Any efforts to enforce our intellectual property rights are also likely to be costly and may divert the efforts of our scientific and management personnel.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become involved in lawsuits or litigation at the USPTO to protect or enforce our patents or other intellectual property, which could be expensive, time consuming and unsuccessful.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Competitors and other third parties may infringe or otherwise violate our or our future licensor’s patents, trademarks, copyrights or other intellectual property. To counter infringement or other violations, we may be required to file infringement, misappropriation or other intellectual property-related claims against such parties, which can be expensive and time consuming.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such a case, we could ultimately be forced to cease use of such marks. In any intellectual property litigation, even if we are successful, any award of monetary damages or other remedy we receive may not be commercially valuable. The outcome following legal assertions of invalidity and unenforceability is unpredictable.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may be required to protect our patents through procedures created to attack the validity of a patent at the USPTO. The USPTO hears post-grant proceedings, including post grant review (PGR), </w:t>
      </w:r>
      <w:r>
        <w:rPr>
          <w:rFonts w:ascii="Times New Roman" w:hAnsi="Times New Roman"/>
          <w:i/>
          <w:color w:val="000000"/>
          <w:sz w:val="20"/>
        </w:rPr>
        <w:t>inter partes</w:t>
      </w:r>
      <w:r>
        <w:rPr>
          <w:rFonts w:ascii="Times New Roman" w:hAnsi="Times New Roman"/>
          <w:color w:val="000000"/>
          <w:sz w:val="20"/>
        </w:rPr>
        <w:t xml:space="preserve"> review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U.S. patent law, or laws in other countries, could diminish the value of patents in general, thereby impairing our ability to protect our technology, products and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intellectual property and may increase the uncertainties and costs surrounding the prosecution of patent applications and the enforcement or defense of issued patents. We cannot predict the breadth of claims that may be allowed or enforced in our or future licensor’s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technology or product candidates. Also, former employees may become employed by competitors who develop similar technology or product candidates, and could assist the competitor in designing around our patents or trade secrets. While it is our policy to require our employees and contractors who may be involved in the development of our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technology or product candidates. Even if we are successful in defending against such claims, litigation could result in substantial costs and be a distraction to management and other employees.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financial condition, results of operations and prospects. </w:t>
      </w:r>
    </w:p>
    <w:p>
      <w:pPr>
        <w:pStyle w:val="TextBody"/>
        <w:bidi w:val="0"/>
        <w:spacing w:before="0" w:after="120"/>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use and will continue to use registered and/or unregistered trademarks or trade names to brand and market ourselves and any products that we develop.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0" w:after="120"/>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technology, product candidates and products and use our proprietary technologies without infringing the proprietary rights of third parties. U.S. and foreign issued patents and pending patent applications, which are owned by third parties, exist in the fields relating to our technology, product candidates and products. As the biotechnology and pharmaceutical industries expand and more patents are issued, the risk increases that others may assert our technology, product candidates or products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technology, product candidates and products.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technology, product candidates and/or products infringe or misappropriate their intellectual property rights.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a third party claims that we infringe or misappropriate its intellectual property rights, we may face a number of issues, including, but not limited to: infringement, misappropriation and other intellectual property related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or misappropriation was willful, we could be ordered to pay treble damages and the patent owner’s attorneys’ fees; a court prohibiting us from developing, manufacturing, marketing or selling our products or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technology, product candidates or products so they do not infringe such third party patents; redesign may not be possible or may require substantial monetary expenditures and time.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may choose to challenge the patentability of claims in a third party’s U.S. patent by requesting that the USPTO review the patent claims in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inter partes</w:t>
      </w:r>
      <w:r>
        <w:rPr>
          <w:rFonts w:ascii="Times New Roman" w:hAnsi="Times New Roman"/>
          <w:color w:val="000000"/>
          <w:sz w:val="20"/>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technology, product candidates or products. </w:t>
      </w:r>
    </w:p>
    <w:p>
      <w:pPr>
        <w:pStyle w:val="TextBody"/>
        <w:bidi w:val="0"/>
        <w:spacing w:before="0" w:after="120"/>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stock to decline.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ability to compete in the marketplace.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our obligations in any future agreements under which we license intellectual property rights from third parties or otherwise experience disruptions to our business relationships with any licensors, we could lose license rights that are important to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growth of our business may depend in part on our ability to acquire or in-license additional proprietary rights from third parties in the future. For example, our programs may involve additional product candidates that may require the use of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Thus, 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need to obtain licenses in the future from third parties to advance our research or allow commercialization of our technology, product candidates or products, and we cannot provide any assurances that there are no third-party patents which might be enforced against our technology, product candidates or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technology, product candidates or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Licensing of intellectual property from third parties may become of critical importance to our business, which involves complex legal, business and scientific issues. Disputes may arise between us and our future licensors regarding intellectual property subject to a license agreement,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right to sublicense patents and other rights to third parties;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right to transfer or assign the license;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and our partners.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disputes over intellectual property that we license in the future prevent or impair our ability to maintain our licensing arrangements on commercially reasonable terms, we may not be able to successfully develop and commercialize the affected technology, product candidates or products, which would have a material adverse effect on our business.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others may be able to make product candidates that are similar to ours but that are not covered by the claims of the patents that we own;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might not have been the first to make the inventions covered by the issued patent or pending patent applications that we license or may own in the future;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might not have been the first to file patent applications covering certain of our or their inventions;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in-licensed intellectual property rights;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it is possible that our owned and in-licensed pending patent applications or those we may own or in-license in the future will not lead to issued patents;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any of our patents, or any of our pending patent applications, if issued, or those of our licensors, will include claims having a scope sufficient to protect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any patents issued to us or our licensors will provide a basis for an exclusive market for our commercially viable product candidates or will provide us with any competitive advantages;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our commercial activities or product candidates will not infringe upon the patents of others;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ensure that we will be able to successfully commercialize our product candidates on a substantial scale, if approved, before the relevant patents that we own or license expire;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patents or intellectual property rights of others may harm our business;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prospects.</w:t>
      </w:r>
    </w:p>
    <w:p>
      <w:pPr>
        <w:pStyle w:val="TextBody"/>
        <w:bidi w:val="0"/>
        <w:spacing w:before="0" w:after="120"/>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The price of our stock has been and is likely to continue to be volatile, and you may not be able to resell shares of our common stock at or above the price you paid.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be highly volatile and could be subject to wide fluctuations in response to various factors, some of which are beyond our control, including limited trading volume. In addition to the factors discussed in this “Risk Factors” section and elsewhere herein, these factors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timing, progress, costs and results of our ongoing, planned or any future clinical trials, clinical development programs or preclinical studies;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commencement, enrollment, progress or results of clinical trials of our product candidates or any future clinical trials we may conduct, or changes in the development status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results or delays in preclinical studies and clinical trials such as the clinical hold on our INDs for the Phase I/II clinical trials of icovamenib in type 2 and type 1 diabetes, from June 2024 to September 2024;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decision to initiate a clinical trial, not to initiate a clinical trial, or to terminate an existing clinical trial, including due to the suspension of a clinical trial by the FDA or other regulatory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delay in our regulatory filings or any adverse regulatory decisions, including failure to receive regulatory approval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laws or regulations applicable to our product candidates and any future products, including but not limited to clinical trial requirements for approvals;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manufacturing plans;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inability to obtain adequate supply for any of our product candidates or the components thereof, or inability to do so at acceptable prices;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inability to establish collaborations if needed;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failure to commercialize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introduction of new products or services offered by us or our competitors;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by us or our competitors;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effectively manage our growth;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develop our product candidates for the treatment of type 1 and type 2 diabetes or other metabolic diseases;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actual or anticipated variations in quarterly operating results;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publication of research reports about us or our industry, or menin inhibitors in particular, or positive or negative recommendations or withdrawal of research coverage by securities analysts;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overall performance of the equity markets;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sales of our common stock or securities exercisable for or convertible into shares of our common stock, by us or our stockholders in the future;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in accounting practices;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disputes or other developments relating to intellectual property or proprietary rights, including patents, litigation matters and our ability to obtain patent protection for our technologies;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significant lawsuits, including intellectual property or stockholder litigation;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impact of any natural disasters or public health emergencies;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inflationary pressures and general economic, political, industry and market conditions;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volatile. In addition, broad market and industry factors may negatively affect the market price of our common stock, regardless of our actual operating performance. If the market price of our common stock does not exceed the price at which you purchased shares of our common stock,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 </w:t>
      </w:r>
    </w:p>
    <w:p>
      <w:pPr>
        <w:pStyle w:val="TextBody"/>
        <w:bidi w:val="0"/>
        <w:spacing w:before="0" w:after="120"/>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preferences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 significant portion of our total outstanding shares may be sold into the market in the near future, which could cause the market price of our common stock to drop significantly.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also registered or intend to register all shares of our common stock subject to options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our directors, executive officers and certain affiliates have established or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 </w:t>
      </w:r>
    </w:p>
    <w:p>
      <w:pPr>
        <w:pStyle w:val="TextBody"/>
        <w:bidi w:val="0"/>
        <w:spacing w:before="0" w:after="120"/>
        <w:jc w:val="left"/>
        <w:rPr>
          <w:rFonts w:ascii="Times New Roman" w:hAnsi="Times New Roman"/>
          <w:sz w:val="20"/>
        </w:rPr>
      </w:pPr>
      <w:r>
        <w:rPr>
          <w:rFonts w:ascii="Times New Roman" w:hAnsi="Times New Roman"/>
          <w:b/>
          <w:i/>
          <w:color w:val="000000"/>
          <w:sz w:val="20"/>
        </w:rPr>
        <w:t>Future sales and issuances of our common stock or rights to purchase common stock, including pursuant to our equity incentive plans or upon the exercise of outstanding warrants, would result in additional dilution of the percentage ownership of our stockholders and could cause our stock price to fall.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November 2022, we entered into our 2022 ATM Program, which provides for the offering, issuance and sale by us of shares of our common stock from time to time for aggregate gross proceeds of up to $100 million in sales deemed to be “at-the-market offerings” as defined by the Securities Act. During the three months ended June 30, 2026, we did not sell any shares pursuant to our 2022 ATM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2023, we sold 5,750,000 shares of common stock at $30.00 per share for gross proceeds of $172.5 million under the registration statement on Form S-3. 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August 2025, we filed a registration statement on Form S-3 relating to the registration of our common stock, preferred stock, debt securities, warrants and units or any combination thereof. In October 2025, pursuant to a registration statement on Form S-3 filed in August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to purchase additional common warrants. Any exercises of the common stock warrants issued in the June 2025 or October 2025 underwritten public offerings and any additional sales or issuances of securities pursuant to our 2022 ATM program, our August 2025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also authorized to grant stock options and other equity-based awards to our employees, directors and consultants pursuant to our 2021 Plan and our 2023 Inducement Equity Plan (the Inducement Plan). The number of shares available for future grant under the 2021 Plan will automatically increase each year on January 1, from January 1, 2022 to January 1, 2031, by the lesser of (A) five percent of the shares of Common Stock outstanding on the last day of the immediately preceding fiscal year and (B) such smaller number of shares as determined by the Board or the Committee (as defined in the 2021 Plan). We have also reserved shares of common stock for issuance pursuant to our ESPP which number of shares will automatically increase each year on January 1, from January 1, 2022 to January 1, 2031, by the lesser of (i) one percent of the shares of Common Stock outstanding on the last day of the immediately preceding fiscal year and (ii) such number of shares as may be determined by the Board (as defined in the ESPP); provided, however, no more than 4,500,000 shares may be issued under the ESPP. Currently, we plan to register any increase in the number of shares available for issuance under the 2021 Plan, the ESPP and the Inducement Plan promptly following the effectiveness of any such increase. If our Board elects to increase the number of shares available for future grant under the 2021 Plan, the ESPP or the Inducement Plan, our stockholders may experience additional dilution, and our stock price may fall.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must continue to satisfy Nasdaq continued listing requirements, including, among other things, certain corporate governance requirements such as Nasdaq Listing Rule 5605(c)(2)(A) (Rule 5605(c)(2)(A)), which requires companies listed on The Nasdaq Stock Market LLC (Nasdaq) to have an audit committee consisting of three independent directors. In March 2025, we notified the Listing Qualifications Department of Nasdaq that we were not in compliance with Rule 5605(c)(2)(A) due to having only two members on the audit committee of our Board. In July 2025, we appointed Julianne Averill to serve as a member of the Board and our audit committee and regained compliance with Rule 5605(c)(2)(A). However, there can be no assurance that we will be able to continue to satisfy Nasdaq’s continued listing requirements with respect to audit committee composition or otherwise. If we fail to comply with Nasdaq’s continued listing requirements, our common stock could cease to be listed for trading on Nasdaq and instead be available for trading only over-the-counter, which could further depress our stock price. </w:t>
      </w:r>
    </w:p>
    <w:p>
      <w:pPr>
        <w:pStyle w:val="TextBody"/>
        <w:bidi w:val="0"/>
        <w:spacing w:before="0" w:after="120"/>
        <w:jc w:val="left"/>
        <w:rPr>
          <w:rFonts w:ascii="Times New Roman" w:hAnsi="Times New Roman"/>
          <w:sz w:val="20"/>
        </w:rPr>
      </w:pPr>
      <w:r>
        <w:rPr>
          <w:rFonts w:ascii="Times New Roman" w:hAnsi="Times New Roman"/>
          <w:b/>
          <w:i/>
          <w:color w:val="000000"/>
          <w:sz w:val="20"/>
        </w:rPr>
        <w:t>Our management and directors own our stock and may be able to exert influence over matters subject to stockholder approval.</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Our executive officers, directors and their respective affiliates beneficially own approximately 6% of our outstanding voting stock as of June 30, 2026.</w:t>
      </w:r>
      <w:r>
        <w:rPr>
          <w:rFonts w:ascii="Times New Roman" w:hAnsi="Times New Roman"/>
          <w:color w:val="FF0000"/>
          <w:sz w:val="20"/>
        </w:rPr>
        <w:t xml:space="preserve"> </w:t>
      </w:r>
      <w:r>
        <w:rPr>
          <w:rFonts w:ascii="Times New Roman" w:hAnsi="Times New Roman"/>
          <w:color w:val="000000"/>
          <w:sz w:val="20"/>
        </w:rPr>
        <w:t xml:space="preserve">These stockholders, acting together, may be able to impact matters requiring stockholder approval, particularly if their collective ownership in our company increases.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 </w:t>
      </w:r>
    </w:p>
    <w:p>
      <w:pPr>
        <w:pStyle w:val="TextBody"/>
        <w:bidi w:val="0"/>
        <w:spacing w:before="0" w:after="120"/>
        <w:jc w:val="left"/>
        <w:rPr>
          <w:rFonts w:ascii="Times New Roman" w:hAnsi="Times New Roman"/>
          <w:sz w:val="20"/>
        </w:rPr>
      </w:pPr>
      <w:r>
        <w:rPr>
          <w:rFonts w:ascii="Times New Roman" w:hAnsi="Times New Roman"/>
          <w:b/>
          <w:i/>
          <w:color w:val="000000"/>
          <w:sz w:val="20"/>
        </w:rPr>
        <w:t>We do not intend to pay dividends on our capital stock, so any returns will be limited to the value of our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i/>
          <w:color w:val="000000"/>
          <w:sz w:val="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a change of control of our company or changes in our Board that our stockholders might consider favorable. These provisions, among other things: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 a classified Board so that not all members of our Board are elected at one time;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permit only the Board to establish the number of directors and fill vacancies on the Board;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could use to implement a stockholder rights plan (poison pill);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prohibit cumulative voting;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authorize our Board to amend the bylaws;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annual stockholder meetings;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require a super-majority vote of stockholders to amend some provisions described above.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120"/>
        <w:jc w:val="left"/>
        <w:rPr>
          <w:rFonts w:ascii="Times New Roman" w:hAnsi="Times New Roman"/>
          <w:sz w:val="20"/>
        </w:rPr>
      </w:pPr>
      <w:r>
        <w:rPr>
          <w:rFonts w:ascii="Times New Roman" w:hAnsi="Times New Roman"/>
          <w:b/>
          <w:i/>
          <w:color w:val="000000"/>
          <w:sz w:val="20"/>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report.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 </w:t>
      </w:r>
    </w:p>
    <w:p>
      <w:pPr>
        <w:pStyle w:val="TextBody"/>
        <w:bidi w:val="0"/>
        <w:spacing w:before="0" w:after="120"/>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as permitted by Section 145 of the DGCL, our amended and restated bylaws and our indemnification agreements that we have entered into with our directors and officers provide that: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or brought to enforce a right to indemnification;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 provisions to reduce our indemnification obligations to directors, officers, employees and agents.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While we maintain a directors’ and officers’ insurance policy, such insurance may not be adequate to cover all liabilities that we may incur, which may reduce our available funds to satisfy third-party claims and may materially adversely affect our cash position. </w:t>
      </w:r>
    </w:p>
    <w:p>
      <w:pPr>
        <w:pStyle w:val="TextBody"/>
        <w:bidi w:val="0"/>
        <w:spacing w:before="0" w:after="120"/>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 </w:t>
      </w:r>
    </w:p>
    <w:p>
      <w:pPr>
        <w:pStyle w:val="TextBody"/>
        <w:bidi w:val="0"/>
        <w:spacing w:before="0" w:after="120"/>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difficult to predict, including the following: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enroll participants in clinical trials and the timing of enrollment;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or other comparable foreign regulatory authority guidelines and requirements, the quantity of production and the terms of our agreements with manufacturers;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and outcomes of clinical trials for our current and future product candidates, or competing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our product candidates and any of our future product candidates, and changes in the competitive landscape of our industry, including consolidation among our competitors or partners;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any delays in regulatory review or approval of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level of demand for our future product candidates, if approved, which may fluctuate significantly and be difficult to predict;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our product candidates;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commercialize our product candidates, if approved, inside and outside of the United States, either independently or working with third parties;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future collaborations, licensing or other arrangements;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changing and volatile global economic and political environment.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before="0" w:after="120"/>
        <w:jc w:val="left"/>
        <w:rPr>
          <w:rFonts w:ascii="Times New Roman" w:hAnsi="Times New Roman"/>
          <w:sz w:val="20"/>
        </w:rPr>
      </w:pPr>
      <w:r>
        <w:rPr>
          <w:rFonts w:ascii="Times New Roman" w:hAnsi="Times New Roman"/>
          <w:b/>
          <w:i/>
          <w:color w:val="000000"/>
          <w:sz w:val="20"/>
        </w:rPr>
        <w:t>We will continue to incur significant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subject to the reporting requirements of the Securities Exchange Act of 1934, as amended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under the Dodd-Frank Wall Street Reform and Consumer Protection Act, the SEC has adopted significant corporate governance and executive compensation related rules and regulations, such as “say on pay” and proxy access. While emerging growth companies are permitted to implement many of these requirements over a longer period and up to five years from the pricing of the IPO, we cannot guarantee that we will not be required to implement these requirements sooner than budgeted or planned and thereby incur unexpected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increase our net loss and may require us to reduce costs in other areas of our business or increase the prices of any products that we develop,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w:t>
      </w:r>
    </w:p>
    <w:p>
      <w:pPr>
        <w:pStyle w:val="TextBody"/>
        <w:bidi w:val="0"/>
        <w:spacing w:before="0" w:after="120"/>
        <w:jc w:val="left"/>
        <w:rPr>
          <w:rFonts w:ascii="Times New Roman" w:hAnsi="Times New Roman"/>
          <w:sz w:val="20"/>
        </w:rPr>
      </w:pPr>
      <w:r>
        <w:rPr>
          <w:rFonts w:ascii="Times New Roman" w:hAnsi="Times New Roman"/>
          <w:b/>
          <w:i/>
          <w:color w:val="000000"/>
          <w:sz w:val="20"/>
        </w:rPr>
        <w:t>As a result of being a public company, we are obligated to develop and maintain proper and effective controls over financial reporting. If we fail to maintain proper and effective internal controls over financial reporting in the future, our ability to produce accurate and timely financial statements could be impaired, which could harm our operating results, investors’ views of us and, as a result, the value of our 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Pursuant to Section 404 of Sarbanes-Oxley Act, our management is required to report upon the effectiveness of our internal controls over financial reporting. However, while we remain an “emerging growth company,” as defined in the JOBS Act, or a smaller reporting company with less than $100 million in revenue, we will not be required to include an attestation report on internal control over financial reporting issued by our independent registered public accounting firm. The rules governing the standards that must be met for management to assess our internal controls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controls over financial reporting is effective, investors may lose confidence in our financial reporting, and the trading price of our common stock may decline.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previously identified a significant deficiency in our internal controls over financial reporting pertaining to our fiscal year ended December 31, 2024 and although it has been remediated,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results of operations or cash flows. If we are unable to conclude that our internal controls over financial reporting is effective, or if our independent registered public accounting firm determines we have a material weakness or significant deficiency in our internal controls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or significant deficiencies in our internal controls over financial reporting, or to implement or maintain other effective control systems required of public companies, could also restrict our future access to the capital markets. </w:t>
      </w:r>
    </w:p>
    <w:p>
      <w:pPr>
        <w:pStyle w:val="TextBody"/>
        <w:bidi w:val="0"/>
        <w:spacing w:before="0" w:after="120"/>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controls over financial reporting and disclosure controls and procedures. Effective internal controls are necessary for us to produce reliable financial reports and are important to help prevent financial fraud. We are required to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and we may experience difficulty in meeting these reporting requirements in a timely manner.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which may result in substantial costs. Any disruptions or difficulties in implementing or using our finance and accounting systems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the Nasdaq Global Select Market, the SEC or other regulatory authorities. </w:t>
      </w:r>
    </w:p>
    <w:p>
      <w:pPr>
        <w:pStyle w:val="TextBody"/>
        <w:bidi w:val="0"/>
        <w:spacing w:before="0" w:after="120"/>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0" w:after="120"/>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For additional information, see the section of our Annual Report on Form 10-K filed with the SEC on March 24, 2026 titled “Financial Statements and Supplementary Data—Notes to Financial Statements—Recent Accounting Pronouncements.” </w:t>
      </w:r>
    </w:p>
    <w:p>
      <w:pPr>
        <w:pStyle w:val="TextBody"/>
        <w:bidi w:val="0"/>
        <w:spacing w:before="0" w:after="120"/>
        <w:jc w:val="left"/>
        <w:rPr>
          <w:rFonts w:ascii="Times New Roman" w:hAnsi="Times New Roman"/>
          <w:sz w:val="20"/>
        </w:rPr>
      </w:pPr>
      <w:r>
        <w:rPr>
          <w:rFonts w:ascii="Times New Roman" w:hAnsi="Times New Roman"/>
          <w:b/>
          <w:i/>
          <w:color w:val="000000"/>
          <w:sz w:val="20"/>
        </w:rPr>
        <w:t>We are an “emerging growth company,” and we cannot be certain if the reduced reporting requirements applicable to emerging growth companies will make our common stock less attractive to investors.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an emerging growth company and,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of Section 404 of the Sarbanes-Oxley Act;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and our periodic reports and proxy statements;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stockholder votes on executive compensation and stockholder approval of any golden parachute payments not previously approved.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 billion in non-convertible debt securities during the prior three-year period; and (iv) December 31,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Even after we no longer qualify as an emerging growth company, we may still qualify as a “smaller reporting company,” which would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and our periodic reports and proxy statements.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0" w:after="120"/>
        <w:jc w:val="left"/>
        <w:rPr>
          <w:rFonts w:ascii="Times New Roman" w:hAnsi="Times New Roman"/>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OBBBA enacted many significant changes to the U.S. tax laws. Future guidance from the Internal Revenue Service and other tax authorities with respect to the OBBBA may affect us, and certain aspects of the OBBBA could be repealed or modified in future legislation. In addition, it is uncertain if and to what extent various states will conform to the OBBBA or any other newly enacted federal tax legislation. Changes in the realization of net deferred tax assets relating to our operations, the taxation of foreign earnings, and the deductibility of expenses under the OBBBA or future reform legislation could have a material impact on the value of our deferred tax assets, could result in significant one-time charges, and could increase our future U.S. tax expense. </w:t>
      </w:r>
    </w:p>
    <w:p>
      <w:pPr>
        <w:pStyle w:val="TextBody"/>
        <w:bidi w:val="0"/>
        <w:spacing w:before="0" w:after="120"/>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global credit and financial markets have recently experienced extreme volatility and disruptions, including severely diminished liquidity and credit availability, declines in consumer confidence, declines in economic growth, increases in unemployment rates, uncertainty about economic stability and changes in fiscal policy, including higher interest rates.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w:t>
      </w:r>
    </w:p>
    <w:p>
      <w:pPr>
        <w:pStyle w:val="TextBody"/>
        <w:bidi w:val="0"/>
        <w:spacing w:before="0" w:after="120"/>
        <w:jc w:val="left"/>
        <w:rPr>
          <w:rFonts w:ascii="Times New Roman" w:hAnsi="Times New Roman"/>
          <w:sz w:val="20"/>
        </w:rPr>
      </w:pPr>
      <w:r>
        <w:rPr>
          <w:rFonts w:ascii="Times New Roman" w:hAnsi="Times New Roman"/>
          <w:b/>
          <w:i/>
          <w:color w:val="000000"/>
          <w:sz w:val="20"/>
        </w:rPr>
        <w:t>If our security measures are compromised, or the security, confidentiality, integrity, or availability of our information technology, software, services, communications or data is compromised, limited or fails, this could result in a material adverse impact.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or third parties related to us (such as our partners, CROs, and CMOs) experience any material cybersecurity incidents that result in any deletion or destruction of, unauthorized access to, loss of, unauthorized acquisition or disclosure of, or inadvertent exposure or disclosure of, sensitive, confidential, or proprietary information, including trade secrets, other intellectual property, and personal information (Sensitive Information), or a compromise related to the security, confidentiality, integrity or availability of our (or their) information technology, software, services, communications, or data, it may result in a material adverse impact, including without limitation, regulatory investigations or enforcement actions, litigation, indemnity obligations, delays to the development and commercialization of our product candidates, disruption of our programs, negative publicity, and financial loss. Attacks upon information technology systems are increasing in their frequency, levels of persistence, sophistication and intensity, and are being conducted by sophisticated and organized groups and individuals with a wide range of motives and expertise. Systems containing Sensitive Information are vulnerable to service interruptions, malfunction, natural disasters, terrorism, war, software and hardware failures, telecommunication and electrical failures, theft or loss from inadvertent or intentional actions by employees, contractors, consultants, business partners and/or other third parties, malware, malicious code (such as viruses and worms), software bugs, ransomware, denial-of-service attacks (including credential stuffing), social engineering and other means that affect service reliability and threaten the security, confidentiality, integrity and availability of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may also face increased cybersecurity risks due to our reliance on internet technology and the number of our employees who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Such threats are prevalent and continue to rise, are increasingly difficult to detect, and now include potential attacks enhanced or facilitated by artificial intelligence. We or third parties related to us may also experience cybersecurity incidents, data breaches or other compromises that may remain undetected for an extended period. Further, we have outsourced elements of our information technology infrastructure, and as a result a number of third-party vendors may or could have access to our Sensitive Information. If our third-party vendors fail to protect their information technology systems and our confidential and proprietary information, we may also be vulnerable to disruptions in service and unauthorized access or misuse of our Sensitive Information. Like other companies in our industry, we, and third parties related to us, have experienced threats and cybersecurity incidents relating to our information technology systems and infrastructure.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While we implement commercially reasonable information security safeguards, consistent with companies of the same size and scope as ours, there is no guarantee that our security efforts and our investment in information technology, or the efforts or investments of CROs, consultants or other third parties related to us, will prevent breakdowns, data breaches or other cybersecurity incidents that cause loss, destruction, unavailability, alteration, misuse, or dissemination of, or damage to, Sensitive Information that could have a material adverse impact.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data breaches, cybersecurity incidents, or other compromises could result in the loss, misappropriation and/or unauthorized access, use or disclosure or other compromise of, or the prevention of access to, data (including trade secrets or other confidential information, intellectual property, proprietary business information and personal information and Sensitive Information), which could result in a material adverse impact including financial, legal, business and reputational harm. For example, any such event that leads to unauthorized access, use, or disclosure of personal information, including personal information regarding our clinical trial participants or employees, could harm our reputation directly, compel us to comply with federal and/or state breach notification laws and foreign law equivalents, subject us to mandatory corrective action, and otherwise subject us to liability under privacy, data protection, and information security laws and regulations, including litigation and governmental investigations and fines or penalties, which could result in significant legal and financial exposure and reputational damages that could potentially have a material adverse impact.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Notifications and follow-up actions related to a cybersecurity incident or data breach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cybersecurity incidents and data breaches, and we may face increased costs and requirements to expend substantial resources in the event of an actual or perceived security breach, incident, or compromise. We also rely on third parties to manufacture our product candidates, and similar material events relating to their computer systems could also have a material adverse impact. To the extent that any disruption or data breach, cybersecurity incident, or compromise were to result in a loss, destruction, misuse,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applicable privacy, data protection, and information security laws and regulations. Our contracts may not contain limitations of liability, and even where they do, there can be no assurance that limitations of liability in our contracts are sufficient to protect us from liabilities, damages, or claims related to our privacy and data security obligations.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Moreover, our use of new and evolving technologies, such as artificial intelligence,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For example, our use of artificial intelligence-based software may lead to inadvertent release, disclosure, or compromise of Sensitive Information or other confidential information through the use of generative artificial intelligence tools, or other cybersecurity incidents may arise that may impact us.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insurance policies, including cybersecurity liability insurance, may not be adequate to compensate us for the potential losses arising from any such cybersecurity incident, data breach, or compromise.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0" w:after="120"/>
        <w:jc w:val="left"/>
        <w:rPr>
          <w:rFonts w:ascii="Times New Roman" w:hAnsi="Times New Roman"/>
          <w:sz w:val="20"/>
        </w:rPr>
      </w:pPr>
      <w:r>
        <w:rPr>
          <w:rFonts w:ascii="Times New Roman" w:hAnsi="Times New Roman"/>
          <w:b/>
          <w:i/>
          <w:color w:val="000000"/>
          <w:sz w:val="20"/>
        </w:rPr>
        <w:t>If securities or industry analysts do not publish research or reports, or if they publish adverse or misleading research or reports, regarding us, our business or our market, our stock price and trading volume could decline.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could be negatively impacted by corporate citizenship and environmental, social and corporate governance (ESG) matters and/or our reporting of such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Geopolitical events and conditions could adversely affect our business, financial condition and operating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 Global conflicts, including Russia’s invasion of Ukraine, conflicts in the Middle East, and heightened tensions in the Pacific region, have significantly elevated global geopolitical tensions and security concerns. Economic sanctions, export controls, and other trade restrictions could directly and indirectly result in the disruption of our business and supply chain. Although we do not have any clinical trial sites or operations in the currently affected regions, if the current conflict expands further into the region or continues, resulting heightened economic sanctions from the United States and the international community, in addition to environmental regulations, could limit our ability to procure or use certain materials or manufacturing slots for the products needed for our clinical trials, which could lead to delays in these trials. 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political, trade, or regulatory developments in the jurisdictions in which we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In particular, the United States in July 2026 imposed baseline tariffs generally ranging from 10% - 12.5% on a substantial portion of U.S. imports. The United States also has imposed higher tariffs on certain pharmaceutical products. These and other U.S. tariff actions have led governments of other countries to undertake retaliatory trade actions, and may result in further retaliatory tariffs. Historically, tariffs have led to increased trade and political tensions. In response to tariffs, other countries have implemented or threatened to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U.S. Congress, the Trump administration, or any new administration may make substantial changes to fiscal, tax, and other federal policies that may adversely affect our business.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ESG matters may impact our business and reputation.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6" w:name="part2_item2"/>
      <w:bookmarkEnd w:id="16"/>
      <w:r>
        <w:rPr>
          <w:rFonts w:ascii="Times New Roman" w:hAnsi="Times New Roman"/>
          <w:b/>
          <w:color w:val="000000"/>
          <w:sz w:val="20"/>
        </w:rPr>
        <w:t>Item 2. Unregistered Sales of Equity Securities, Use of Proceeds. and Issuer Purchases of Equity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120"/>
        <w:jc w:val="left"/>
        <w:rPr>
          <w:rFonts w:ascii="Times New Roman" w:hAnsi="Times New Roman"/>
          <w:b/>
          <w:color w:val="000000"/>
          <w:sz w:val="20"/>
        </w:rPr>
      </w:pPr>
      <w:bookmarkStart w:id="17" w:name="part2_item3"/>
      <w:bookmarkEnd w:id="17"/>
      <w:r>
        <w:rPr>
          <w:rFonts w:ascii="Times New Roman" w:hAnsi="Times New Roman"/>
          <w:b/>
          <w:color w:val="000000"/>
          <w:sz w:val="20"/>
        </w:rPr>
        <w:t>Item 3. Defaults Upon Senior Securities.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120"/>
        <w:jc w:val="left"/>
        <w:rPr>
          <w:rFonts w:ascii="Times New Roman" w:hAnsi="Times New Roman"/>
          <w:b/>
          <w:color w:val="000000"/>
          <w:sz w:val="20"/>
        </w:rPr>
      </w:pPr>
      <w:bookmarkStart w:id="18" w:name="part2_item4"/>
      <w:bookmarkEnd w:id="18"/>
      <w:r>
        <w:rPr>
          <w:rFonts w:ascii="Times New Roman" w:hAnsi="Times New Roman"/>
          <w:b/>
          <w:color w:val="000000"/>
          <w:sz w:val="20"/>
        </w:rPr>
        <w:t>Item 4. Mine Safety Disclosures.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120"/>
        <w:jc w:val="left"/>
        <w:rPr>
          <w:rFonts w:ascii="Times New Roman" w:hAnsi="Times New Roman"/>
          <w:b/>
          <w:color w:val="000000"/>
          <w:sz w:val="20"/>
        </w:rPr>
      </w:pPr>
      <w:bookmarkStart w:id="19" w:name="part2_item5"/>
      <w:bookmarkEnd w:id="19"/>
      <w:r>
        <w:rPr>
          <w:rFonts w:ascii="Times New Roman" w:hAnsi="Times New Roman"/>
          <w:b/>
          <w:color w:val="000000"/>
          <w:sz w:val="20"/>
        </w:rPr>
        <w:t>Item 5. Other Information.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(c) </w:t>
      </w:r>
      <w:r>
        <w:rPr>
          <w:rFonts w:ascii="Times New Roman" w:hAnsi="Times New Roman"/>
          <w:i/>
          <w:color w:val="000000"/>
          <w:sz w:val="20"/>
        </w:rPr>
        <w:t>Insider Trading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quarter ended June 30, 2026, none of our directors or officers (as defined in Rule 16a-1(f) under the Exchange Act) adopted, modified or terminated a plan or other arrangement intended to satisfy the affirmative defense conditions of Rule 10b5-1(c) or any non-Rule 10b5-1 trading arrangements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20" w:name="part2_item6"/>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51"/>
        <w:gridCol w:w="146"/>
        <w:gridCol w:w="5899"/>
        <w:gridCol w:w="146"/>
        <w:gridCol w:w="529"/>
        <w:gridCol w:w="146"/>
        <w:gridCol w:w="656"/>
        <w:gridCol w:w="146"/>
        <w:gridCol w:w="691"/>
        <w:gridCol w:w="146"/>
        <w:gridCol w:w="949"/>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as currently in effect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as currently in effect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Description of Registrant’s Securities Registered pursuant to Section 12 of the Securities Exchange Act of 1934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Investors’ Rights Agreement, dated December 18, 2020, by and among the Registrant and the investors listed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Common Stock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me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not deemed filed with the SEC and are not to be incorporated by reference into any filing of the Registrant under the Securities Act or the Exchange Act, whether made before or after the date of this Form 10-Q, irrespective of any general incorporation language contained in such filing.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2" w:type="dxa"/>
        <w:jc w:val="left"/>
        <w:tblInd w:w="0" w:type="dxa"/>
        <w:tblLayout w:type="fixed"/>
        <w:tblCellMar>
          <w:top w:w="28" w:type="dxa"/>
          <w:left w:w="28" w:type="dxa"/>
          <w:bottom w:w="28" w:type="dxa"/>
          <w:right w:w="28" w:type="dxa"/>
        </w:tblCellMar>
      </w:tblPr>
      <w:tblGrid>
        <w:gridCol w:w="1846"/>
        <w:gridCol w:w="109"/>
        <w:gridCol w:w="406"/>
        <w:gridCol w:w="39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BIOMEA FUSION,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J.M. Hitchcock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i/>
                <w:color w:val="000000"/>
                <w:sz w:val="20"/>
              </w:rPr>
            </w:pPr>
            <w:r>
              <w:rPr>
                <w:rFonts w:ascii="Times New Roman" w:hAnsi="Times New Roman"/>
                <w:b/>
                <w:i/>
                <w:color w:val="000000"/>
                <w:sz w:val="20"/>
              </w:rPr>
              <w:t>Interim Chief Executive Officer, Director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Rainer Erdtmann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Rainer Erdtmann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i/>
                <w:color w:val="000000"/>
                <w:sz w:val="20"/>
              </w:rPr>
            </w:pPr>
            <w:r>
              <w:rPr>
                <w:rFonts w:ascii="Times New Roman" w:hAnsi="Times New Roman"/>
                <w:b/>
                <w:i/>
                <w:color w:val="000000"/>
                <w:sz w:val="20"/>
              </w:rPr>
              <w:t>Chief Operating Officer, Director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bmea-ex31_1.htm"/>
      <w:bookmarkStart w:id="23" w:name="ksbmeaex31_1"/>
      <w:bookmarkEnd w:id="22"/>
      <w:bookmarkEnd w:id="23"/>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Michael J.M. Hitchcock,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Biomea Fusion,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p>
      <w:pPr>
        <w:pStyle w:val="TextBody"/>
        <w:bidi w:val="0"/>
        <w:jc w:val="left"/>
        <w:rPr/>
      </w:pPr>
      <w:r>
        <w:rPr/>
        <w:t> </w:t>
      </w:r>
    </w:p>
    <w:tbl>
      <w:tblPr>
        <w:tblW w:w="5924" w:type="dxa"/>
        <w:jc w:val="left"/>
        <w:tblInd w:w="0" w:type="dxa"/>
        <w:tblLayout w:type="fixed"/>
        <w:tblCellMar>
          <w:top w:w="28" w:type="dxa"/>
          <w:left w:w="28" w:type="dxa"/>
          <w:bottom w:w="28" w:type="dxa"/>
          <w:right w:w="28" w:type="dxa"/>
        </w:tblCellMar>
      </w:tblPr>
      <w:tblGrid>
        <w:gridCol w:w="1846"/>
        <w:gridCol w:w="146"/>
        <w:gridCol w:w="406"/>
        <w:gridCol w:w="352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J.M. Hitchcock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Interim Chief Executive Officer,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bmea-ex31_2.htm"/>
      <w:bookmarkStart w:id="25" w:name="ksbmeaex31_2"/>
      <w:bookmarkEnd w:id="24"/>
      <w:bookmarkEnd w:id="25"/>
      <w:r>
        <w:rPr>
          <w:rFonts w:ascii="Times New Roman" w:hAnsi="Times New Roman"/>
          <w:b/>
          <w:color w:val="000000"/>
          <w:sz w:val="20"/>
        </w:rPr>
        <w:t>Exhibit 31.2</w:t>
      </w:r>
      <w:r>
        <w:br w:type="page"/>
      </w:r>
    </w:p>
    <w:p>
      <w:pPr>
        <w:pStyle w:val="TextBody"/>
        <w:bidi w:val="0"/>
        <w:jc w:val="righ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Rainer Erdtmann,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Biomea Fusion,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1846"/>
        <w:gridCol w:w="146"/>
        <w:gridCol w:w="406"/>
        <w:gridCol w:w="390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Rainer Erdtmann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Rainer Erdtmann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Chief Operating Officer,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bmea-ex32_1.htm"/>
      <w:bookmarkStart w:id="27" w:name="ksbmeaex32_1"/>
      <w:bookmarkEnd w:id="26"/>
      <w:bookmarkEnd w:id="27"/>
      <w:r>
        <w:rPr>
          <w:rFonts w:ascii="Times New Roman" w:hAnsi="Times New Roman"/>
          <w:b/>
          <w:color w:val="000000"/>
          <w:sz w:val="20"/>
        </w:rPr>
        <w:t>Exhibit 32.1</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Biomea Fusion, Inc. (the “Company”) on Form 10-Q for the period ended June 30, 2026 as filed with the Securities and Exchange Commission on the date hereof (the “Report”), I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924" w:type="dxa"/>
        <w:jc w:val="left"/>
        <w:tblInd w:w="0" w:type="dxa"/>
        <w:tblLayout w:type="fixed"/>
        <w:tblCellMar>
          <w:top w:w="28" w:type="dxa"/>
          <w:left w:w="28" w:type="dxa"/>
          <w:bottom w:w="28" w:type="dxa"/>
          <w:right w:w="28" w:type="dxa"/>
        </w:tblCellMar>
      </w:tblPr>
      <w:tblGrid>
        <w:gridCol w:w="1846"/>
        <w:gridCol w:w="146"/>
        <w:gridCol w:w="406"/>
        <w:gridCol w:w="352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J.M. Hitchcock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J.M. Hitchcock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Interim Chief Executive Officer,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bmea-ex32_2.htm"/>
      <w:bookmarkStart w:id="29" w:name="ksbmeaex32_2"/>
      <w:bookmarkEnd w:id="28"/>
      <w:bookmarkEnd w:id="29"/>
      <w:r>
        <w:rPr>
          <w:rFonts w:ascii="Times New Roman" w:hAnsi="Times New Roman"/>
          <w:b/>
          <w:color w:val="000000"/>
          <w:sz w:val="20"/>
        </w:rPr>
        <w:t>Exhibit 32.2</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Biomea Fusion, Inc. (the “Company”) on Form 10-Q for the period ended June 30, 2026 as filed with the Securities and Exchange Commission on the date hereof (the “Report”), I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1846"/>
        <w:gridCol w:w="146"/>
        <w:gridCol w:w="406"/>
        <w:gridCol w:w="390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Rainer Erdtmann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Rainer Erdtmann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Chief Operating Officer,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40439/000119312521122857/d119708dex32.htm" TargetMode="External"/><Relationship Id="rId3" Type="http://schemas.openxmlformats.org/officeDocument/2006/relationships/hyperlink" Target="https://www.sec.gov/Archives/edgar/data/0001840439/000119312521122857/d119708dex34.htm" TargetMode="External"/><Relationship Id="rId4" Type="http://schemas.openxmlformats.org/officeDocument/2006/relationships/hyperlink" Target="https://www.sec.gov/Archives/edgar/data/0001840439/000119312521112498/d113388dex42.htm" TargetMode="External"/><Relationship Id="rId5" Type="http://schemas.openxmlformats.org/officeDocument/2006/relationships/hyperlink" Target="https://www.sec.gov/Archives/edgar/data/1840439/000119312526121825/bmea-ex4_2.htm" TargetMode="External"/><Relationship Id="rId6" Type="http://schemas.openxmlformats.org/officeDocument/2006/relationships/hyperlink" Target="https://www.sec.gov/Archives/edgar/data/0001840439/000119312521096737/d113388dex101.htm" TargetMode="External"/><Relationship Id="rId7" Type="http://schemas.openxmlformats.org/officeDocument/2006/relationships/hyperlink" Target="https://www.sec.gov/Archives/edgar/data/1840439/000119312525143747/d877313dex41.htm" TargetMode="External"/><Relationship Id="rId8" Type="http://schemas.openxmlformats.org/officeDocument/2006/relationships/hyperlink" Target="https://www.sec.gov/Archives/edgar/data/1840439/000119312525143747/d877313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60865</Words>
  <Characters>341550</Characters>
  <CharactersWithSpaces>402987</CharactersWithSpaces>
  <Paragraphs>5588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