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Biomea Fusion,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001-40335</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82-2520134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1599 Industrial Road</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San Carlos, CA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94070</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980-9099</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$0.0001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BMEA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59"/>
        <w:spacing w:after="0" w:line="251" w:lineRule="auto"/>
        <w:rPr>
          <w:sz w:val="20"/>
          <w:szCs w:val="20"/>
          <w:color w:val="auto"/>
        </w:rPr>
      </w:pPr>
      <w:r>
        <w:rPr>
          <w:rFonts w:ascii="Times New Roman" w:cs="Times New Roman" w:eastAsia="Times New Roman" w:hAnsi="Times New Roman"/>
          <w:sz w:val="13"/>
          <w:szCs w:val="13"/>
          <w:color w:val="auto"/>
        </w:rPr>
        <w:t xml:space="preserve">On February 25, 2026, Biomea Fusion, Inc. (the “Company”) updated its corporate presentation to be used from time to time with investors, analysts and other third parties (the “Corporate Presentation”). The Company posted a copy of the presentation to the “Investors &amp; Media” section of the Company’s website at </w:t>
      </w:r>
      <w:r>
        <w:rPr>
          <w:rFonts w:ascii="Times New Roman" w:cs="Times New Roman" w:eastAsia="Times New Roman" w:hAnsi="Times New Roman"/>
          <w:sz w:val="13"/>
          <w:szCs w:val="13"/>
          <w:i w:val="1"/>
          <w:iCs w:val="1"/>
          <w:color w:val="auto"/>
        </w:rPr>
        <w:t>www.biomeafusion.com</w:t>
      </w:r>
      <w:r>
        <w:rPr>
          <w:rFonts w:ascii="Times New Roman" w:cs="Times New Roman" w:eastAsia="Times New Roman" w:hAnsi="Times New Roman"/>
          <w:sz w:val="13"/>
          <w:szCs w:val="13"/>
          <w:color w:val="auto"/>
        </w:rPr>
        <w:t>. A copy of the Corporate Presentation is furnished herewith as Exhibit 99.1 to this Current Report on Form 8-K.</w:t>
      </w:r>
    </w:p>
    <w:p>
      <w:pPr>
        <w:spacing w:after="0" w:line="13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contained in Item 7.01 of this Current Report on Form 8-K, including Exhibit 99.1 attached hereto, is being furnished and shall not be deemed to be “filed” for the purposes of Section 18 of the Securities Exchange Act of 1934 (the “Exchange Act”), or otherwise subject to the liabilities of that section and shall not be incorporated by reference in any filing under the Securities Act of 1933 or the Exchange Act, except as shall be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Forward-Looking Statements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This Current Report on Form 8-K and certain materials furnished within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could be deemed forward-looking, including any projections of financial information or profitability, including the Company’s expected cash runway, the initiation, timing and results of pending or future preclinical studies and clinical trials, the actual or potential actions of the U.S. Food and Drug Administration (FDA), the status and timing of ongoing research, development and corporate partnering activities, any statements about historical results that may suggest trends for the Company’s business; any statements of the plans, strategies, and objectives of management for future operations and any statements of expectation or belief regarding future events, potential markets or market size, or technology developments. The Company intends these forward-looking statements to be covered by the safe harbor provisions for forward-looking statements contained in Section 27A of the Securities Act and Section 21E of the Exchange Act and is making this statement for purposes of complying with those safe harbor provisions.</w:t>
      </w:r>
    </w:p>
    <w:p>
      <w:pPr>
        <w:spacing w:after="0" w:line="139"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Any forward-looking statements made in this Current Report on Form 8-K or included in certain of the materials furnished herewith are based on the Company’s current expectations, estimates and projections only as of the date of this Current Report on Form 8-K and are subject to a number of risks and uncertainties that could cause actual results to differ materially and adversely from those set forth in or implied by such forward-looking statements, including the risk that preliminary or interim results of preclinical studies or clinical trials may not be predictive of future or final results in connection with ongoing or future clinical trials and the risk that we may encounter delays in preclinical or clinical development, patient enrollment and in the initiation, conduct and completion the Company’s ongoing and planned clinical trials and other research and development activities. These risks concerning the Company’s business and operations are described in additional detail in its periodic filings with the U.S. Securities and Exchange Commission (the “SEC”), including its most recent periodic report filed with the SEC and subsequent filings thereafter. The Company explicitly disclaims any obligation to update any forward-looking statements except to the extent required by law.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8"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w w:val="96"/>
              </w:rPr>
              <w:t>Financial Statements and Exhibits.</w:t>
            </w: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9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41"/>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0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98"/>
              </w:rPr>
              <w:t>Biomea Fusion Corporate Presentation</w:t>
            </w:r>
          </w:p>
        </w:tc>
      </w:tr>
      <w:tr>
        <w:trPr>
          <w:trHeight w:val="20"/>
        </w:trPr>
        <w:tc>
          <w:tcPr>
            <w:tcW w:w="7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ind w:left="4480" w:right="3559" w:hanging="3843"/>
        <w:spacing w:after="0" w:line="435" w:lineRule="auto"/>
        <w:tabs>
          <w:tab w:leader="none" w:pos="137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3</w:t>
      </w:r>
    </w:p>
    <w:p>
      <w:pPr>
        <w:sectPr>
          <w:pgSz w:w="11900" w:h="16838" w:orient="portrait"/>
          <w:cols w:equalWidth="0" w:num="1">
            <w:col w:w="9019"/>
          </w:cols>
          <w:pgMar w:left="1440" w:top="24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540" w:type="dxa"/>
            <w:vAlign w:val="bottom"/>
          </w:tcPr>
          <w:p>
            <w:pPr>
              <w:spacing w:after="0"/>
              <w:rPr>
                <w:sz w:val="14"/>
                <w:szCs w:val="14"/>
                <w:color w:val="auto"/>
              </w:rPr>
            </w:pPr>
          </w:p>
        </w:tc>
        <w:tc>
          <w:tcPr>
            <w:tcW w:w="5200" w:type="dxa"/>
            <w:vAlign w:val="bottom"/>
            <w:gridSpan w:val="2"/>
          </w:tcPr>
          <w:p>
            <w:pPr>
              <w:ind w:left="1400"/>
              <w:spacing w:after="0"/>
              <w:rPr>
                <w:sz w:val="20"/>
                <w:szCs w:val="20"/>
                <w:color w:val="auto"/>
              </w:rPr>
            </w:pPr>
            <w:r>
              <w:rPr>
                <w:rFonts w:ascii="Times New Roman" w:cs="Times New Roman" w:eastAsia="Times New Roman" w:hAnsi="Times New Roman"/>
                <w:sz w:val="13"/>
                <w:szCs w:val="13"/>
                <w:b w:val="1"/>
                <w:bCs w:val="1"/>
                <w:color w:val="auto"/>
              </w:rPr>
              <w:t>BIOMEA FUSION, INC.</w:t>
            </w:r>
          </w:p>
        </w:tc>
      </w:tr>
      <w:tr>
        <w:trPr>
          <w:trHeight w:val="3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Date: February 25, 2026</w:t>
            </w:r>
          </w:p>
        </w:tc>
        <w:tc>
          <w:tcPr>
            <w:tcW w:w="5200" w:type="dxa"/>
            <w:vAlign w:val="bottom"/>
            <w:gridSpan w:val="2"/>
          </w:tcPr>
          <w:p>
            <w:pPr>
              <w:ind w:left="1400"/>
              <w:spacing w:after="0"/>
              <w:rPr>
                <w:sz w:val="20"/>
                <w:szCs w:val="20"/>
                <w:color w:val="auto"/>
              </w:rPr>
            </w:pPr>
            <w:r>
              <w:rPr>
                <w:rFonts w:ascii="Times New Roman" w:cs="Times New Roman" w:eastAsia="Times New Roman" w:hAnsi="Times New Roman"/>
                <w:sz w:val="13"/>
                <w:szCs w:val="13"/>
                <w:color w:val="auto"/>
              </w:rPr>
              <w:t>By:  /s/ Michael J.M. Hitchcock</w:t>
            </w:r>
          </w:p>
        </w:tc>
      </w:tr>
      <w:tr>
        <w:trPr>
          <w:trHeight w:val="136"/>
        </w:trPr>
        <w:tc>
          <w:tcPr>
            <w:tcW w:w="2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Michael J.M. Hitchcock</w:t>
            </w:r>
          </w:p>
        </w:tc>
      </w:tr>
      <w:tr>
        <w:trPr>
          <w:trHeight w:val="152"/>
        </w:trPr>
        <w:tc>
          <w:tcPr>
            <w:tcW w:w="2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Interim Chief Executive Officer, Director</w:t>
            </w:r>
          </w:p>
        </w:tc>
      </w:tr>
      <w:tr>
        <w:trPr>
          <w:trHeight w:val="167"/>
        </w:trPr>
        <w:tc>
          <w:tcPr>
            <w:tcW w:w="2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(Principal Executive Officer)</w:t>
            </w:r>
          </w:p>
        </w:tc>
      </w:tr>
      <w:tr>
        <w:trPr>
          <w:trHeight w:val="265"/>
        </w:trPr>
        <w:tc>
          <w:tcPr>
            <w:tcW w:w="2540" w:type="dxa"/>
            <w:vAlign w:val="bottom"/>
          </w:tcPr>
          <w:p>
            <w:pPr>
              <w:spacing w:after="0"/>
              <w:rPr>
                <w:sz w:val="23"/>
                <w:szCs w:val="23"/>
                <w:color w:val="auto"/>
              </w:rPr>
            </w:pPr>
          </w:p>
        </w:tc>
        <w:tc>
          <w:tcPr>
            <w:tcW w:w="17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4</w:t>
            </w:r>
          </w:p>
        </w:tc>
        <w:tc>
          <w:tcPr>
            <w:tcW w:w="3480" w:type="dxa"/>
            <w:vAlign w:val="bottom"/>
          </w:tcPr>
          <w:p>
            <w:pPr>
              <w:spacing w:after="0"/>
              <w:rPr>
                <w:sz w:val="23"/>
                <w:szCs w:val="23"/>
                <w:color w:val="auto"/>
              </w:rPr>
            </w:pPr>
          </w:p>
        </w:tc>
      </w:tr>
    </w:tbl>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2026-02-25T05:20:52Z</dcterms:created>
  <dcterms:modified xsi:type="dcterms:W3CDTF">2026-02-25T05:20:52Z</dcterms:modified>
</cp:coreProperties>
</file>