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AGUIAR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BIOMEA FUSION,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1599 INDUSTRIAL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Biomea Fusion, Inc.</w:t>
              </w:r>
            </w:hyperlink>
            <w:r>
              <w:rPr/>
              <w:t xml:space="preserve"> [ </w:t>
            </w:r>
            <w:r>
              <w:rPr>
                <w:rFonts w:ascii="Times;serif" w:hAnsi="Times;serif"/>
                <w:color w:val="0000FF"/>
                <w:sz w:val="24"/>
                <w:shd w:fill="FFFFFF" w:val="clear"/>
              </w:rPr>
              <w:t>BMEA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196,299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196,299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196,299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stock option will vest in full upon the earlier of (i) the one-year anniversary of the date of grant or (ii) immediately prior to the annual meeting of the Issuer's stockholders that occurs following the date of grant, subject to the Reporting Person's continued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Rainer Erdtmann as Attorney-in-Fact for Eric Aguiar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325" TargetMode="External"/><Relationship Id="rId5" Type="http://schemas.openxmlformats.org/officeDocument/2006/relationships/hyperlink" Target="http://www.sec.gov/cgi-bin/browse-edgar?action=getcompany&amp;CIK=00018404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3391</Characters>
  <CharactersWithSpaces>3958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