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13"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jc w:val="center"/>
        <w:spacing w:after="0"/>
        <w:rPr>
          <w:sz w:val="20"/>
          <w:szCs w:val="20"/>
          <w:color w:val="auto"/>
        </w:rPr>
      </w:pPr>
      <w:r>
        <w:rPr>
          <w:rFonts w:ascii="Arial" w:cs="Arial" w:eastAsia="Arial" w:hAnsi="Arial"/>
          <w:sz w:val="18"/>
          <w:szCs w:val="18"/>
          <w:b w:val="1"/>
          <w:bCs w:val="1"/>
          <w:color w:val="auto"/>
        </w:rPr>
        <w:t>OR</w:t>
      </w:r>
    </w:p>
    <w:p>
      <w:pPr>
        <w:ind w:left="480" w:hanging="459"/>
        <w:spacing w:after="0" w:line="219" w:lineRule="auto"/>
        <w:tabs>
          <w:tab w:leader="none" w:pos="480" w:val="left"/>
        </w:tabs>
        <w:numPr>
          <w:ilvl w:val="0"/>
          <w:numId w:val="2"/>
        </w:numPr>
        <w:rPr>
          <w:rFonts w:ascii="MS PGothic" w:cs="MS PGothic" w:eastAsia="MS PGothic" w:hAnsi="MS PGothic"/>
          <w:sz w:val="34"/>
          <w:szCs w:val="34"/>
          <w:color w:val="auto"/>
          <w:highlight w:val="black"/>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70" w:lineRule="exact"/>
        <w:rPr>
          <w:sz w:val="24"/>
          <w:szCs w:val="24"/>
          <w:color w:val="auto"/>
        </w:rPr>
      </w:pPr>
    </w:p>
    <w:p>
      <w:pPr>
        <w:ind w:left="42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43"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001-40335</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Biomea Fusion,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line="224" w:lineRule="auto"/>
        <w:rPr>
          <w:sz w:val="20"/>
          <w:szCs w:val="20"/>
          <w:color w:val="auto"/>
        </w:rPr>
      </w:pPr>
      <w:r>
        <w:rPr>
          <w:rFonts w:ascii="Arial" w:cs="Arial" w:eastAsia="Arial" w:hAnsi="Arial"/>
          <w:sz w:val="13"/>
          <w:szCs w:val="13"/>
          <w:b w:val="1"/>
          <w:bCs w:val="1"/>
          <w:color w:val="auto"/>
        </w:rPr>
        <w:t>incorporation or organization)</w:t>
      </w:r>
    </w:p>
    <w:p>
      <w:pPr>
        <w:ind w:left="1620"/>
        <w:spacing w:after="0" w:line="235" w:lineRule="auto"/>
        <w:rPr>
          <w:sz w:val="20"/>
          <w:szCs w:val="20"/>
          <w:color w:val="auto"/>
        </w:rPr>
      </w:pPr>
      <w:r>
        <w:rPr>
          <w:rFonts w:ascii="Arial" w:cs="Arial" w:eastAsia="Arial" w:hAnsi="Arial"/>
          <w:sz w:val="18"/>
          <w:szCs w:val="18"/>
          <w:b w:val="1"/>
          <w:bCs w:val="1"/>
          <w:color w:val="auto"/>
        </w:rPr>
        <w:t>900 Middlefield Road, 4</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Redwood City,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82-2520134</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6"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94063</w:t>
      </w:r>
    </w:p>
    <w:p>
      <w:pPr>
        <w:spacing w:after="0" w:line="36" w:lineRule="exact"/>
        <w:rPr>
          <w:sz w:val="24"/>
          <w:szCs w:val="24"/>
          <w:color w:val="auto"/>
        </w:rPr>
      </w:pPr>
    </w:p>
    <w:p>
      <w:pPr>
        <w:sectPr>
          <w:pgSz w:w="11900" w:h="16838" w:orient="portrait"/>
          <w:cols w:equalWidth="0" w:num="2">
            <w:col w:w="7700" w:space="240"/>
            <w:col w:w="3300"/>
          </w:cols>
          <w:pgMar w:left="320" w:top="692"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53"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(650) 980-9099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jc w:val="center"/>
              <w:spacing w:after="0"/>
              <w:rPr>
                <w:sz w:val="20"/>
                <w:szCs w:val="20"/>
                <w:color w:val="auto"/>
              </w:rPr>
            </w:pPr>
            <w:r>
              <w:rPr>
                <w:rFonts w:ascii="Arial" w:cs="Arial" w:eastAsia="Arial" w:hAnsi="Arial"/>
                <w:sz w:val="16"/>
                <w:szCs w:val="16"/>
                <w:color w:val="auto"/>
                <w:w w:val="91"/>
              </w:rPr>
              <w:t>Common Stock, $0.0001 par value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BMEA</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77" w:lineRule="exact"/>
        <w:rPr>
          <w:sz w:val="24"/>
          <w:szCs w:val="24"/>
          <w:color w:val="auto"/>
        </w:rPr>
      </w:pPr>
    </w:p>
    <w:p>
      <w:pPr>
        <w:jc w:val="both"/>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jc w:val="both"/>
        <w:ind w:right="260" w:firstLine="599"/>
        <w:spacing w:after="0" w:line="27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72"/>
        </w:trPr>
        <w:tc>
          <w:tcPr>
            <w:tcW w:w="2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1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51"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20"/>
        <w:spacing w:after="0" w:line="24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23, 2023, the registrant had 35,705,786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60" w:type="dxa"/>
            <w:vAlign w:val="bottom"/>
            <w:gridSpan w:val="5"/>
          </w:tcPr>
          <w:p>
            <w:pPr>
              <w:ind w:left="28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PART I.</w:t>
            </w:r>
          </w:p>
        </w:tc>
        <w:tc>
          <w:tcPr>
            <w:tcW w:w="9200" w:type="dxa"/>
            <w:vAlign w:val="bottom"/>
            <w:gridSpan w:val="17"/>
          </w:tcPr>
          <w:p>
            <w:pPr>
              <w:spacing w:after="0" w:line="176" w:lineRule="exact"/>
              <w:rPr>
                <w:sz w:val="20"/>
                <w:szCs w:val="20"/>
                <w:color w:val="auto"/>
              </w:rPr>
            </w:pPr>
            <w:r>
              <w:rPr>
                <w:rFonts w:ascii="Arial" w:cs="Arial" w:eastAsia="Arial" w:hAnsi="Arial"/>
                <w:sz w:val="18"/>
                <w:szCs w:val="18"/>
                <w:color w:val="0000FF"/>
              </w:rPr>
              <w:t>FINANCIAL INFORMATION</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17"/>
          </w:tcPr>
          <w:p>
            <w:pPr>
              <w:spacing w:after="0"/>
              <w:rPr>
                <w:sz w:val="20"/>
                <w:szCs w:val="20"/>
                <w:color w:val="auto"/>
              </w:rPr>
            </w:pPr>
            <w:r>
              <w:rPr>
                <w:rFonts w:ascii="Arial" w:cs="Arial" w:eastAsia="Arial" w:hAnsi="Arial"/>
                <w:sz w:val="18"/>
                <w:szCs w:val="18"/>
                <w:color w:val="0000FF"/>
              </w:rPr>
              <w:t>Condensed Balance Sheets</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17"/>
          </w:tcPr>
          <w:p>
            <w:pPr>
              <w:spacing w:after="0"/>
              <w:rPr>
                <w:sz w:val="20"/>
                <w:szCs w:val="20"/>
                <w:color w:val="auto"/>
              </w:rPr>
            </w:pPr>
            <w:r>
              <w:rPr>
                <w:rFonts w:ascii="Arial" w:cs="Arial" w:eastAsia="Arial" w:hAnsi="Arial"/>
                <w:sz w:val="18"/>
                <w:szCs w:val="18"/>
                <w:color w:val="0000FF"/>
              </w:rPr>
              <w:t>Condensed Statements of Operations and Comprehensive Loss</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17"/>
          </w:tcPr>
          <w:p>
            <w:pPr>
              <w:spacing w:after="0"/>
              <w:rPr>
                <w:sz w:val="20"/>
                <w:szCs w:val="20"/>
                <w:color w:val="auto"/>
              </w:rPr>
            </w:pPr>
            <w:r>
              <w:rPr>
                <w:rFonts w:ascii="Arial" w:cs="Arial" w:eastAsia="Arial" w:hAnsi="Arial"/>
                <w:sz w:val="18"/>
                <w:szCs w:val="18"/>
                <w:color w:val="0000FF"/>
              </w:rPr>
              <w:t>Condensed Statements of Stockholders’ Equity</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17"/>
          </w:tcPr>
          <w:p>
            <w:pPr>
              <w:spacing w:after="0"/>
              <w:rPr>
                <w:sz w:val="20"/>
                <w:szCs w:val="20"/>
                <w:color w:val="auto"/>
              </w:rPr>
            </w:pPr>
            <w:r>
              <w:rPr>
                <w:rFonts w:ascii="Arial" w:cs="Arial" w:eastAsia="Arial" w:hAnsi="Arial"/>
                <w:sz w:val="18"/>
                <w:szCs w:val="18"/>
                <w:color w:val="0000FF"/>
              </w:rPr>
              <w:t>Condensed Statements of Cash Flows</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17"/>
          </w:tcPr>
          <w:p>
            <w:pPr>
              <w:spacing w:after="0"/>
              <w:rPr>
                <w:sz w:val="20"/>
                <w:szCs w:val="20"/>
                <w:color w:val="auto"/>
              </w:rPr>
            </w:pPr>
            <w:r>
              <w:rPr>
                <w:rFonts w:ascii="Arial" w:cs="Arial" w:eastAsia="Arial" w:hAnsi="Arial"/>
                <w:sz w:val="18"/>
                <w:szCs w:val="18"/>
                <w:color w:val="0000FF"/>
              </w:rPr>
              <w:t>Notes to Unaudited Condensed Financial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860" w:type="dxa"/>
            <w:vAlign w:val="bottom"/>
            <w:tcBorders>
              <w:left w:val="single" w:sz="8" w:color="0000FF"/>
            </w:tcBorders>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vMerge w:val="continue"/>
          </w:tcPr>
          <w:p>
            <w:pPr>
              <w:spacing w:after="0"/>
              <w:rPr>
                <w:sz w:val="18"/>
                <w:szCs w:val="18"/>
                <w:color w:val="auto"/>
              </w:rPr>
            </w:pPr>
          </w:p>
        </w:tc>
        <w:tc>
          <w:tcPr>
            <w:tcW w:w="920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88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440" w:type="dxa"/>
            <w:vAlign w:val="bottom"/>
            <w:gridSpan w:val="1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0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8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37"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6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sufficiency of our existing cash, cash equivalents and investments to fund our future operating expenses and capital expenditure requirements;</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our existing cash, cash equivalents and investments;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260" w:right="24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clinical trials and investigational new drug applications (INDs) and other regulatory submissions;</w:t>
      </w:r>
    </w:p>
    <w:p>
      <w:pPr>
        <w:spacing w:after="0" w:line="62" w:lineRule="exact"/>
        <w:rPr>
          <w:rFonts w:ascii="Arial" w:cs="Arial" w:eastAsia="Arial" w:hAnsi="Arial"/>
          <w:sz w:val="18"/>
          <w:szCs w:val="18"/>
          <w:color w:val="auto"/>
        </w:rPr>
      </w:pPr>
    </w:p>
    <w:p>
      <w:pPr>
        <w:ind w:left="260" w:right="30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 and the ability of our FUSION™ System to generate additional product candidates with such characteristics;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focus of our ongoing and future clinical trials, and the reporting of data from those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260" w:right="52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patient populations addressable by our product candidates, if approved, and the number of participants that will enroll in our ongoing and planned clinical trials;</w:t>
      </w:r>
    </w:p>
    <w:p>
      <w:pPr>
        <w:spacing w:after="0" w:line="62" w:lineRule="exact"/>
        <w:rPr>
          <w:rFonts w:ascii="Arial" w:cs="Arial" w:eastAsia="Arial" w:hAnsi="Arial"/>
          <w:sz w:val="18"/>
          <w:szCs w:val="18"/>
          <w:color w:val="auto"/>
        </w:rPr>
      </w:pPr>
    </w:p>
    <w:p>
      <w:pPr>
        <w:ind w:left="260" w:right="14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special designations, such as orphan drug designation, for our product candidates;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the further development and manufacturing of our product candidates, including for additional indications that we may pursue;</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pandemics or other related disruptions on our business;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global economic conditions, including inflationary pressures, market volatility, acts of war and civil and political unrest; and</w:t>
      </w:r>
    </w:p>
    <w:p>
      <w:pPr>
        <w:spacing w:after="0" w:line="117" w:lineRule="exact"/>
        <w:rPr>
          <w:rFonts w:ascii="Arial" w:cs="Arial" w:eastAsia="Arial" w:hAnsi="Arial"/>
          <w:sz w:val="18"/>
          <w:szCs w:val="18"/>
          <w:color w:val="auto"/>
        </w:rPr>
      </w:pPr>
    </w:p>
    <w:p>
      <w:pPr>
        <w:ind w:left="260" w:right="10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as amended.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 w:name="page4"/>
    <w:bookmarkEnd w:id="3"/>
    <w:p>
      <w:pPr>
        <w:ind w:right="20"/>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We qualify all of the forward-looking statements in this Quarterly Report on Form 10-Q by these cautionary statements.</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Biomea Fusion, Inc., the Biomea logo and our other registered or common law trademarks, trade names or service marks appearing in this Quarterly Report on Form 10-Q are owned by us. This Quarterly Report on Form 10-Q contains references to our trademarks and to trademarks belonging to other entities. Solely for convenience, trademarks and trade names referred to in this Quarterly Report on Form 10-Q, including logos, artwork and other visual displays, generally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The following is a summary of the principal factors that make an investment in our common stock speculative or risky. This summary does not address every aspect of our risk factors, all of the risks that we face, or other factors not presently known to us or that we currently believe are immaterial. Additional discussion of the risks summarized in these summary risk factors, and other risks that we face, can be found under the heading “Risk Factors” in this Quarterly Report on Form 10-Q and should be carefully considered, together with other information in this Quarterly Report on Form 10-Q and our other filings with the Securities and Exchange Commission, or SEC, before making investment decisions regarding our common stock.</w:t>
      </w:r>
    </w:p>
    <w:p>
      <w:pPr>
        <w:spacing w:after="0" w:line="53" w:lineRule="exact"/>
        <w:rPr>
          <w:sz w:val="20"/>
          <w:szCs w:val="20"/>
          <w:color w:val="auto"/>
        </w:rPr>
      </w:pPr>
    </w:p>
    <w:p>
      <w:pPr>
        <w:ind w:left="260" w:right="20" w:hanging="252"/>
        <w:spacing w:after="0" w:line="342"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have not completed the clinical development of any product candidates, have no products approved for commercial sale, and have not generated any revenue, which may make it difficult for you to evaluate our current business and likelihood of success and viability.</w:t>
      </w:r>
    </w:p>
    <w:p>
      <w:pPr>
        <w:spacing w:after="0" w:line="15" w:lineRule="exact"/>
        <w:rPr>
          <w:rFonts w:ascii="Arial" w:cs="Arial" w:eastAsia="Arial" w:hAnsi="Arial"/>
          <w:sz w:val="16"/>
          <w:szCs w:val="16"/>
          <w:color w:val="auto"/>
        </w:rPr>
      </w:pPr>
    </w:p>
    <w:p>
      <w:pPr>
        <w:ind w:left="260" w:right="200" w:hanging="252"/>
        <w:spacing w:after="0" w:line="342"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15" w:lineRule="exact"/>
        <w:rPr>
          <w:rFonts w:ascii="Arial" w:cs="Arial" w:eastAsia="Arial" w:hAnsi="Arial"/>
          <w:sz w:val="16"/>
          <w:szCs w:val="16"/>
          <w:color w:val="auto"/>
        </w:rPr>
      </w:pPr>
    </w:p>
    <w:p>
      <w:pPr>
        <w:ind w:left="260" w:right="80" w:hanging="252"/>
        <w:spacing w:after="0" w:line="26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discovery and preclinical development is focused on the development of novel covalent small-molecule therapies to treat patients with genetically-defined cancers and metabolic diseases, and the approach we are taking to discover and develop such binders is novel, may never lead to marketable products and may not ultimately represent a significant market.</w:t>
      </w:r>
    </w:p>
    <w:p>
      <w:pPr>
        <w:spacing w:after="0" w:line="75" w:lineRule="exact"/>
        <w:rPr>
          <w:rFonts w:ascii="Arial" w:cs="Arial" w:eastAsia="Arial" w:hAnsi="Arial"/>
          <w:sz w:val="18"/>
          <w:szCs w:val="18"/>
          <w:color w:val="auto"/>
        </w:rPr>
      </w:pPr>
    </w:p>
    <w:p>
      <w:pPr>
        <w:ind w:left="260" w:right="260" w:hanging="252"/>
        <w:spacing w:after="0" w:line="281"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novel approach to the discovery and development of our current and future product candidates is unproven, and we may not be successful in our efforts to use and expand our FUSION</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System to build a pipeline of product candidates with commercial value.</w:t>
      </w:r>
    </w:p>
    <w:p>
      <w:pPr>
        <w:spacing w:after="0" w:line="1" w:lineRule="exact"/>
        <w:rPr>
          <w:rFonts w:ascii="Arial" w:cs="Arial" w:eastAsia="Arial" w:hAnsi="Arial"/>
          <w:sz w:val="18"/>
          <w:szCs w:val="18"/>
          <w:color w:val="auto"/>
        </w:rPr>
      </w:pPr>
    </w:p>
    <w:p>
      <w:pPr>
        <w:ind w:left="260" w:right="240" w:hanging="252"/>
        <w:spacing w:after="0" w:line="259"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very early in our development efforts and are substantially dependent on our product candidates, BMF-219 and BMF-500. If we are unable to advance BMF-219, BMF-500 or any of our future product candidates through clinical development, obtain regulatory approval and ultimately commercialize BMF-219, BMF-500 or any of our future product candidates, or experience significant delays in doing so, our business, financial condition and results of operations will be materially adversely affected.</w:t>
      </w:r>
    </w:p>
    <w:p>
      <w:pPr>
        <w:spacing w:after="0" w:line="78" w:lineRule="exact"/>
        <w:rPr>
          <w:rFonts w:ascii="Arial" w:cs="Arial" w:eastAsia="Arial" w:hAnsi="Arial"/>
          <w:sz w:val="18"/>
          <w:szCs w:val="18"/>
          <w:color w:val="auto"/>
        </w:rPr>
      </w:pPr>
    </w:p>
    <w:p>
      <w:pPr>
        <w:ind w:left="260" w:right="60" w:hanging="252"/>
        <w:spacing w:after="0" w:line="26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Preclinical and clinical drug development is a lengthy and expensive process, with an uncertain outcome. Our preclinical and clinical programs may experience delays or may never be initiated or completed, which would adversely affect our ability to obtain regulatory approvals or commercialize our product candidates on a timely basis or at all, which could have an adverse effect on our business.</w:t>
      </w:r>
    </w:p>
    <w:p>
      <w:pPr>
        <w:spacing w:after="0" w:line="75" w:lineRule="exact"/>
        <w:rPr>
          <w:rFonts w:ascii="Arial" w:cs="Arial" w:eastAsia="Arial" w:hAnsi="Arial"/>
          <w:sz w:val="18"/>
          <w:szCs w:val="18"/>
          <w:color w:val="auto"/>
        </w:rPr>
      </w:pPr>
    </w:p>
    <w:p>
      <w:pPr>
        <w:ind w:left="260" w:right="100" w:hanging="252"/>
        <w:spacing w:after="0" w:line="26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75" w:lineRule="exact"/>
        <w:rPr>
          <w:rFonts w:ascii="Arial" w:cs="Arial" w:eastAsia="Arial" w:hAnsi="Arial"/>
          <w:sz w:val="18"/>
          <w:szCs w:val="18"/>
          <w:color w:val="auto"/>
        </w:rPr>
      </w:pPr>
    </w:p>
    <w:p>
      <w:pPr>
        <w:ind w:left="260" w:right="360" w:hanging="252"/>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experience as a company in conducting clinical trials and have not successfully completed the clinical development of any product candidates to date.</w:t>
      </w:r>
    </w:p>
    <w:p>
      <w:pPr>
        <w:spacing w:after="0" w:line="62"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global economic conditions, including supply chain issues, and inflationary pressures could materially adversely impact our business, results of operations, and financial condition, including our preclinical studies and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ind w:left="252" w:hanging="252"/>
        <w:spacing w:after="0" w:line="311" w:lineRule="auto"/>
        <w:tabs>
          <w:tab w:leader="none" w:pos="25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40" w:lineRule="exact"/>
        <w:rPr>
          <w:rFonts w:ascii="Arial" w:cs="Arial" w:eastAsia="Arial" w:hAnsi="Arial"/>
          <w:sz w:val="16"/>
          <w:szCs w:val="16"/>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stock may be volatile, and you may not be able to resell shares of our common stock at or above the price you paid.</w:t>
      </w:r>
    </w:p>
    <w:p>
      <w:pPr>
        <w:spacing w:after="0" w:line="225"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2"/>
          </w:cols>
          <w:pgMar w:left="328" w:top="449" w:right="5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w w:val="89"/>
              </w:rPr>
              <w:t>Biomea Fusion, Inc.</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w w:val="86"/>
              </w:rPr>
              <w:t>Condensed Balance Sheets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40" w:type="dxa"/>
            <w:vAlign w:val="bottom"/>
          </w:tcPr>
          <w:p>
            <w:pPr>
              <w:jc w:val="center"/>
              <w:ind w:left="3410"/>
              <w:spacing w:after="0"/>
              <w:rPr>
                <w:sz w:val="20"/>
                <w:szCs w:val="20"/>
                <w:color w:val="auto"/>
              </w:rPr>
            </w:pPr>
            <w:r>
              <w:rPr>
                <w:rFonts w:ascii="Arial" w:cs="Arial" w:eastAsia="Arial" w:hAnsi="Arial"/>
                <w:sz w:val="18"/>
                <w:szCs w:val="18"/>
                <w:color w:val="auto"/>
                <w:w w:val="87"/>
              </w:rPr>
              <w:t>(in thousands, except share and per share data)</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r>
      <w:tr>
        <w:trPr>
          <w:trHeight w:val="250"/>
        </w:trPr>
        <w:tc>
          <w:tcPr>
            <w:tcW w:w="7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199,090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111,899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202,504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117,819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11,810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1"/>
                <w:szCs w:val="21"/>
                <w:color w:val="auto"/>
              </w:rPr>
            </w:pPr>
          </w:p>
        </w:tc>
      </w:tr>
      <w:tr>
        <w:trPr>
          <w:trHeight w:val="277"/>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225,087</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129,307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3,194</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11,657</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r>
      <w:tr>
        <w:trPr>
          <w:trHeight w:val="237"/>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16,210</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19,101</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25,475</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rPr>
              <w:t>Preferred stock, $0.0001 par value; 10,000,000 shares authorized as of</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340"/>
              <w:spacing w:after="0"/>
              <w:rPr>
                <w:sz w:val="20"/>
                <w:szCs w:val="20"/>
                <w:color w:val="auto"/>
              </w:rPr>
            </w:pPr>
            <w:r>
              <w:rPr>
                <w:rFonts w:ascii="Arial" w:cs="Arial" w:eastAsia="Arial" w:hAnsi="Arial"/>
                <w:sz w:val="18"/>
                <w:szCs w:val="18"/>
                <w:color w:val="auto"/>
              </w:rPr>
              <w:t>September 30, 2023 and December 31, 2022; 0 shares issued and</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340"/>
              <w:spacing w:after="0"/>
              <w:rPr>
                <w:sz w:val="20"/>
                <w:szCs w:val="20"/>
                <w:color w:val="auto"/>
              </w:rPr>
            </w:pPr>
            <w:r>
              <w:rPr>
                <w:rFonts w:ascii="Arial" w:cs="Arial" w:eastAsia="Arial" w:hAnsi="Arial"/>
                <w:sz w:val="18"/>
                <w:szCs w:val="18"/>
                <w:color w:val="auto"/>
              </w:rPr>
              <w:t>outstanding as of September 30, 2023 and December 31, 2022</w:t>
            </w:r>
          </w:p>
        </w:tc>
        <w:tc>
          <w:tcPr>
            <w:tcW w:w="18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$0.0001 par value; 300,000,000 shares authorized as of</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2023 and December 31, 2022; 35,698,847 and 29,561,554</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 issued and outstanding as of September 30, 2023 and</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2022, respectively</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413,549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240,107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(213,941 )</w:t>
            </w:r>
          </w:p>
        </w:tc>
        <w:tc>
          <w:tcPr>
            <w:tcW w:w="16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(131,570 )</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199,612</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225,087</w:t>
            </w:r>
          </w:p>
        </w:tc>
        <w:tc>
          <w:tcPr>
            <w:tcW w:w="3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129,307</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-4345305</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-3402330</wp:posOffset>
            </wp:positionV>
            <wp:extent cx="122555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555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-2125345</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Biomea Fusion,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46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gridSpan w:val="5"/>
          </w:tcPr>
          <w:p>
            <w:pPr>
              <w:jc w:val="right"/>
              <w:ind w:right="93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1"/>
                <w:szCs w:val="21"/>
                <w:color w:val="auto"/>
              </w:rPr>
            </w:pPr>
          </w:p>
        </w:tc>
        <w:tc>
          <w:tcPr>
            <w:tcW w:w="2460" w:type="dxa"/>
            <w:vAlign w:val="bottom"/>
            <w:gridSpan w:val="5"/>
          </w:tcPr>
          <w:p>
            <w:pPr>
              <w:jc w:val="right"/>
              <w:ind w:right="76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25,347</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18,242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71,680</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17,127</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31,119</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(88,807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(57,358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5660" w:type="dxa"/>
            <w:vAlign w:val="bottom"/>
          </w:tcPr>
          <w:p>
            <w:pPr>
              <w:ind w:left="200"/>
              <w:spacing w:after="0"/>
              <w:rPr>
                <w:sz w:val="20"/>
                <w:szCs w:val="20"/>
                <w:color w:val="auto"/>
              </w:rPr>
            </w:pPr>
            <w:r>
              <w:rPr>
                <w:rFonts w:ascii="Arial" w:cs="Arial" w:eastAsia="Arial" w:hAnsi="Arial"/>
                <w:sz w:val="18"/>
                <w:szCs w:val="18"/>
                <w:color w:val="auto"/>
              </w:rPr>
              <w:t>Interest and other income, net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6,436</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(82,371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56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investments, net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(28,429 )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(22,886 )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(82,371 )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(56,517 )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660" w:type="dxa"/>
            <w:vAlign w:val="bottom"/>
          </w:tcPr>
          <w:p>
            <w:pPr>
              <w:ind w:left="20"/>
              <w:spacing w:after="0" w:line="195" w:lineRule="exact"/>
              <w:rPr>
                <w:sz w:val="20"/>
                <w:szCs w:val="20"/>
                <w:color w:val="auto"/>
              </w:rPr>
            </w:pPr>
            <w:r>
              <w:rPr>
                <w:rFonts w:ascii="Arial" w:cs="Arial" w:eastAsia="Arial" w:hAnsi="Arial"/>
                <w:sz w:val="18"/>
                <w:szCs w:val="18"/>
                <w:color w:val="auto"/>
              </w:rPr>
              <w:t>Weighted-average number of common shares used to</w:t>
            </w: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35,653,988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29,319,042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33,551,808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29,214,549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60"/>
              <w:spacing w:after="0" w:line="203" w:lineRule="exact"/>
              <w:rPr>
                <w:sz w:val="20"/>
                <w:szCs w:val="20"/>
                <w:color w:val="auto"/>
              </w:rPr>
            </w:pPr>
            <w:r>
              <w:rPr>
                <w:rFonts w:ascii="Arial" w:cs="Arial" w:eastAsia="Arial" w:hAnsi="Arial"/>
                <w:sz w:val="18"/>
                <w:szCs w:val="18"/>
                <w:color w:val="auto"/>
              </w:rPr>
              <w:t>compute basic and diluted net loss per common share</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-1636395</wp:posOffset>
            </wp:positionV>
            <wp:extent cx="7747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-1636395</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-1636395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-993775</wp:posOffset>
            </wp:positionV>
            <wp:extent cx="277749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77490" cy="17970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-659130</wp:posOffset>
            </wp:positionV>
            <wp:extent cx="7747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-659130</wp:posOffset>
            </wp:positionV>
            <wp:extent cx="6858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-659130</wp:posOffset>
            </wp:positionV>
            <wp:extent cx="6858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-316230</wp:posOffset>
            </wp:positionV>
            <wp:extent cx="2777490" cy="316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77490" cy="31686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Biomea Fusion,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2120" w:type="dxa"/>
            <w:vAlign w:val="bottom"/>
            <w:gridSpan w:val="3"/>
            <w:vMerge w:val="restart"/>
          </w:tcPr>
          <w:p>
            <w:pPr>
              <w:jc w:val="right"/>
              <w:ind w:right="33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Paid-In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Comprehensive</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19"/>
                <w:szCs w:val="19"/>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Gain (Loss)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29,561,554</w:t>
            </w:r>
          </w:p>
        </w:tc>
        <w:tc>
          <w:tcPr>
            <w:tcW w:w="106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240,107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(1 )</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(131,570 )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20" w:type="dxa"/>
            <w:vAlign w:val="bottom"/>
          </w:tcPr>
          <w:p>
            <w:pPr>
              <w:ind w:left="200"/>
              <w:spacing w:after="0"/>
              <w:rPr>
                <w:sz w:val="20"/>
                <w:szCs w:val="20"/>
                <w:color w:val="auto"/>
              </w:rPr>
            </w:pPr>
            <w:r>
              <w:rPr>
                <w:rFonts w:ascii="Arial" w:cs="Arial" w:eastAsia="Arial" w:hAnsi="Arial"/>
                <w:sz w:val="16"/>
                <w:szCs w:val="16"/>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6"/>
                <w:szCs w:val="16"/>
                <w:color w:val="auto"/>
              </w:rPr>
              <w:t>44,501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restricted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45,079</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4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gain (loss) on</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investments, net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(29,051 )</w:t>
            </w: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(29,051 )</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March 31, 2023</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29,651,134</w:t>
            </w:r>
          </w:p>
        </w:tc>
        <w:tc>
          <w:tcPr>
            <w:tcW w:w="260" w:type="dxa"/>
            <w:vAlign w:val="bottom"/>
            <w:shd w:val="clear" w:color="auto" w:fill="CFF0FC"/>
          </w:tcPr>
          <w:p>
            <w:pPr>
              <w:spacing w:after="0"/>
              <w:rPr>
                <w:sz w:val="23"/>
                <w:szCs w:val="23"/>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243,747</w:t>
            </w:r>
          </w:p>
        </w:tc>
        <w:tc>
          <w:tcPr>
            <w:tcW w:w="24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(160,621 )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83,129</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342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Issuance of common stock from</w:t>
            </w:r>
          </w:p>
        </w:tc>
        <w:tc>
          <w:tcPr>
            <w:tcW w:w="106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320"/>
              <w:spacing w:after="0"/>
              <w:rPr>
                <w:sz w:val="20"/>
                <w:szCs w:val="20"/>
                <w:color w:val="auto"/>
              </w:rPr>
            </w:pPr>
            <w:r>
              <w:rPr>
                <w:rFonts w:ascii="Arial" w:cs="Arial" w:eastAsia="Arial" w:hAnsi="Arial"/>
                <w:sz w:val="16"/>
                <w:szCs w:val="16"/>
                <w:color w:val="auto"/>
              </w:rPr>
              <w:t>public offering, net of offering costs</w:t>
            </w:r>
          </w:p>
        </w:tc>
        <w:tc>
          <w:tcPr>
            <w:tcW w:w="1060" w:type="dxa"/>
            <w:vAlign w:val="bottom"/>
          </w:tcPr>
          <w:p>
            <w:pPr>
              <w:jc w:val="right"/>
              <w:spacing w:after="0"/>
              <w:rPr>
                <w:sz w:val="20"/>
                <w:szCs w:val="20"/>
                <w:color w:val="auto"/>
              </w:rPr>
            </w:pPr>
            <w:r>
              <w:rPr>
                <w:rFonts w:ascii="Arial" w:cs="Arial" w:eastAsia="Arial" w:hAnsi="Arial"/>
                <w:sz w:val="16"/>
                <w:szCs w:val="16"/>
                <w:color w:val="auto"/>
              </w:rPr>
              <w:t>5,750,000</w:t>
            </w:r>
          </w:p>
        </w:tc>
        <w:tc>
          <w:tcPr>
            <w:tcW w:w="1060" w:type="dxa"/>
            <w:vAlign w:val="bottom"/>
            <w:gridSpan w:val="2"/>
          </w:tcPr>
          <w:p>
            <w:pPr>
              <w:jc w:val="right"/>
              <w:ind w:right="61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161,802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31,560</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20" w:type="dxa"/>
            <w:vAlign w:val="bottom"/>
          </w:tcPr>
          <w:p>
            <w:pPr>
              <w:ind w:left="200"/>
              <w:spacing w:after="0"/>
              <w:rPr>
                <w:sz w:val="20"/>
                <w:szCs w:val="20"/>
                <w:color w:val="auto"/>
              </w:rPr>
            </w:pPr>
            <w:r>
              <w:rPr>
                <w:rFonts w:ascii="Arial" w:cs="Arial" w:eastAsia="Arial" w:hAnsi="Arial"/>
                <w:sz w:val="16"/>
                <w:szCs w:val="16"/>
                <w:color w:val="auto"/>
              </w:rPr>
              <w:t>Issuance of restricted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45,080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3"/>
              </w:rPr>
              <w:t>Purchases under employee stock purchase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152,502</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3,436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gain (loss) on</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investments, net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34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(24,891 )</w:t>
            </w: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(24,891 )</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2023</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35,630,276</w:t>
            </w:r>
          </w:p>
        </w:tc>
        <w:tc>
          <w:tcPr>
            <w:tcW w:w="260" w:type="dxa"/>
            <w:vAlign w:val="bottom"/>
            <w:shd w:val="clear" w:color="auto" w:fill="CFF0FC"/>
          </w:tcPr>
          <w:p>
            <w:pPr>
              <w:spacing w:after="0"/>
              <w:rPr>
                <w:sz w:val="23"/>
                <w:szCs w:val="23"/>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409,813</w:t>
            </w:r>
          </w:p>
        </w:tc>
        <w:tc>
          <w:tcPr>
            <w:tcW w:w="24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(185,512 )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224,305</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42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Exercise of stock options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23,493</w:t>
            </w:r>
          </w:p>
        </w:tc>
        <w:tc>
          <w:tcPr>
            <w:tcW w:w="26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restricted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45,078</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4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loss on investments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34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(28,429 )</w:t>
            </w: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(28,429 )</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September 30, 2023</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35,698,847</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413,549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(213,941 )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199,612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-2390775</wp:posOffset>
            </wp:positionV>
            <wp:extent cx="429450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94505" cy="3003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-933450</wp:posOffset>
            </wp:positionV>
            <wp:extent cx="429450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94505" cy="17145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Biomea Fusion,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2120" w:type="dxa"/>
            <w:vAlign w:val="bottom"/>
            <w:gridSpan w:val="3"/>
            <w:vMerge w:val="restart"/>
          </w:tcPr>
          <w:p>
            <w:pPr>
              <w:jc w:val="right"/>
              <w:ind w:right="33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Paid-In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Comprehensive</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Gain (Loss)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29,115,421</w:t>
            </w:r>
          </w:p>
        </w:tc>
        <w:tc>
          <w:tcPr>
            <w:tcW w:w="106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228,532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(10 )</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(49,742 )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20" w:type="dxa"/>
            <w:vAlign w:val="bottom"/>
          </w:tcPr>
          <w:p>
            <w:pPr>
              <w:ind w:left="200"/>
              <w:spacing w:after="0"/>
              <w:rPr>
                <w:sz w:val="20"/>
                <w:szCs w:val="20"/>
                <w:color w:val="auto"/>
              </w:rPr>
            </w:pPr>
            <w:r>
              <w:rPr>
                <w:rFonts w:ascii="Arial" w:cs="Arial" w:eastAsia="Arial" w:hAnsi="Arial"/>
                <w:sz w:val="16"/>
                <w:szCs w:val="16"/>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6"/>
                <w:szCs w:val="16"/>
                <w:color w:val="auto"/>
              </w:rPr>
              <w:t>6,044</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restricted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47,216</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4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gain (loss) on</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investments, net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(13 )</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27"/>
        </w:trPr>
        <w:tc>
          <w:tcPr>
            <w:tcW w:w="34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(16,366 )</w:t>
            </w: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(16,366 )</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March 31, 2022</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29,168,681</w:t>
            </w:r>
          </w:p>
        </w:tc>
        <w:tc>
          <w:tcPr>
            <w:tcW w:w="260" w:type="dxa"/>
            <w:vAlign w:val="bottom"/>
            <w:shd w:val="clear" w:color="auto" w:fill="CFF0FC"/>
          </w:tcPr>
          <w:p>
            <w:pPr>
              <w:spacing w:after="0"/>
              <w:rPr>
                <w:sz w:val="23"/>
                <w:szCs w:val="23"/>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230,893</w:t>
            </w:r>
          </w:p>
        </w:tc>
        <w:tc>
          <w:tcPr>
            <w:tcW w:w="24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(23 )</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(66,108 )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164,765</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42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Exercise of stock options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9,366</w:t>
            </w:r>
          </w:p>
        </w:tc>
        <w:tc>
          <w:tcPr>
            <w:tcW w:w="26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restricted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47,216</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420" w:type="dxa"/>
            <w:vAlign w:val="bottom"/>
          </w:tcPr>
          <w:p>
            <w:pPr>
              <w:ind w:left="200"/>
              <w:spacing w:after="0"/>
              <w:rPr>
                <w:sz w:val="20"/>
                <w:szCs w:val="20"/>
                <w:color w:val="auto"/>
              </w:rPr>
            </w:pPr>
            <w:r>
              <w:rPr>
                <w:rFonts w:ascii="Arial" w:cs="Arial" w:eastAsia="Arial" w:hAnsi="Arial"/>
                <w:sz w:val="16"/>
                <w:szCs w:val="16"/>
                <w:color w:val="auto"/>
                <w:w w:val="93"/>
              </w:rPr>
              <w:t>Purchases under employee stock purchase plan</w:t>
            </w:r>
          </w:p>
        </w:tc>
        <w:tc>
          <w:tcPr>
            <w:tcW w:w="1060" w:type="dxa"/>
            <w:vAlign w:val="bottom"/>
          </w:tcPr>
          <w:p>
            <w:pPr>
              <w:jc w:val="right"/>
              <w:spacing w:after="0"/>
              <w:rPr>
                <w:sz w:val="20"/>
                <w:szCs w:val="20"/>
                <w:color w:val="auto"/>
              </w:rPr>
            </w:pPr>
            <w:r>
              <w:rPr>
                <w:rFonts w:ascii="Arial" w:cs="Arial" w:eastAsia="Arial" w:hAnsi="Arial"/>
                <w:sz w:val="16"/>
                <w:szCs w:val="16"/>
                <w:color w:val="auto"/>
              </w:rPr>
              <w:t>54,868</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420" w:type="dxa"/>
            <w:vAlign w:val="bottom"/>
          </w:tcPr>
          <w:p>
            <w:pPr>
              <w:ind w:left="200"/>
              <w:spacing w:after="0"/>
              <w:rPr>
                <w:sz w:val="20"/>
                <w:szCs w:val="20"/>
                <w:color w:val="auto"/>
              </w:rPr>
            </w:pPr>
            <w:r>
              <w:rPr>
                <w:rFonts w:ascii="Arial" w:cs="Arial" w:eastAsia="Arial" w:hAnsi="Arial"/>
                <w:sz w:val="16"/>
                <w:szCs w:val="16"/>
                <w:color w:val="auto"/>
              </w:rPr>
              <w:t>Unrealized gain (loss) on</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320"/>
              <w:spacing w:after="0"/>
              <w:rPr>
                <w:sz w:val="20"/>
                <w:szCs w:val="20"/>
                <w:color w:val="auto"/>
              </w:rPr>
            </w:pPr>
            <w:r>
              <w:rPr>
                <w:rFonts w:ascii="Arial" w:cs="Arial" w:eastAsia="Arial" w:hAnsi="Arial"/>
                <w:sz w:val="16"/>
                <w:szCs w:val="16"/>
                <w:color w:val="auto"/>
              </w:rPr>
              <w:t>investments, net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(17,258 )</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(17,258 )</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42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060" w:type="dxa"/>
            <w:vAlign w:val="bottom"/>
          </w:tcPr>
          <w:p>
            <w:pPr>
              <w:jc w:val="right"/>
              <w:spacing w:after="0"/>
              <w:rPr>
                <w:sz w:val="20"/>
                <w:szCs w:val="20"/>
                <w:color w:val="auto"/>
              </w:rPr>
            </w:pPr>
            <w:r>
              <w:rPr>
                <w:rFonts w:ascii="Arial" w:cs="Arial" w:eastAsia="Arial" w:hAnsi="Arial"/>
                <w:sz w:val="16"/>
                <w:szCs w:val="16"/>
                <w:color w:val="auto"/>
              </w:rPr>
              <w:t>29,280,131</w:t>
            </w:r>
          </w:p>
        </w:tc>
        <w:tc>
          <w:tcPr>
            <w:tcW w:w="26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233,770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(17 )</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(83,366 )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61,405</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20" w:type="dxa"/>
            <w:vAlign w:val="bottom"/>
          </w:tcPr>
          <w:p>
            <w:pPr>
              <w:ind w:left="200"/>
              <w:spacing w:after="0"/>
              <w:rPr>
                <w:sz w:val="20"/>
                <w:szCs w:val="20"/>
                <w:color w:val="auto"/>
              </w:rPr>
            </w:pPr>
            <w:r>
              <w:rPr>
                <w:rFonts w:ascii="Arial" w:cs="Arial" w:eastAsia="Arial" w:hAnsi="Arial"/>
                <w:sz w:val="16"/>
                <w:szCs w:val="16"/>
                <w:color w:val="auto"/>
              </w:rPr>
              <w:t>Issuance of restricted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47,217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420" w:type="dxa"/>
            <w:vAlign w:val="bottom"/>
          </w:tcPr>
          <w:p>
            <w:pPr>
              <w:ind w:left="200"/>
              <w:spacing w:after="0"/>
              <w:rPr>
                <w:sz w:val="20"/>
                <w:szCs w:val="20"/>
                <w:color w:val="auto"/>
              </w:rPr>
            </w:pPr>
            <w:r>
              <w:rPr>
                <w:rFonts w:ascii="Arial" w:cs="Arial" w:eastAsia="Arial" w:hAnsi="Arial"/>
                <w:sz w:val="16"/>
                <w:szCs w:val="16"/>
                <w:color w:val="auto"/>
              </w:rPr>
              <w:t>Unrealized gain (loss) on</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320"/>
              <w:spacing w:after="0"/>
              <w:rPr>
                <w:sz w:val="20"/>
                <w:szCs w:val="20"/>
                <w:color w:val="auto"/>
              </w:rPr>
            </w:pPr>
            <w:r>
              <w:rPr>
                <w:rFonts w:ascii="Arial" w:cs="Arial" w:eastAsia="Arial" w:hAnsi="Arial"/>
                <w:sz w:val="16"/>
                <w:szCs w:val="16"/>
                <w:color w:val="auto"/>
              </w:rPr>
              <w:t>investments, net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(22,890 )</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(22,890 )</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42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1060" w:type="dxa"/>
            <w:vAlign w:val="bottom"/>
          </w:tcPr>
          <w:p>
            <w:pPr>
              <w:jc w:val="right"/>
              <w:spacing w:after="0"/>
              <w:rPr>
                <w:sz w:val="20"/>
                <w:szCs w:val="20"/>
                <w:color w:val="auto"/>
              </w:rPr>
            </w:pPr>
            <w:r>
              <w:rPr>
                <w:rFonts w:ascii="Arial" w:cs="Arial" w:eastAsia="Arial" w:hAnsi="Arial"/>
                <w:sz w:val="16"/>
                <w:szCs w:val="16"/>
                <w:color w:val="auto"/>
              </w:rPr>
              <w:t>29,388,753</w:t>
            </w:r>
          </w:p>
        </w:tc>
        <w:tc>
          <w:tcPr>
            <w:tcW w:w="26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236,901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(13 )</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(106,256 )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130,635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-2245360</wp:posOffset>
            </wp:positionV>
            <wp:extent cx="429450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94505" cy="17145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-1216660</wp:posOffset>
            </wp:positionV>
            <wp:extent cx="7747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-1216660</wp:posOffset>
            </wp:positionV>
            <wp:extent cx="7747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-1216660</wp:posOffset>
            </wp:positionV>
            <wp:extent cx="6858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-1216660</wp:posOffset>
            </wp:positionV>
            <wp:extent cx="6858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-1216660</wp:posOffset>
            </wp:positionV>
            <wp:extent cx="6858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-179070</wp:posOffset>
            </wp:positionV>
            <wp:extent cx="7747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-179070</wp:posOffset>
            </wp:positionV>
            <wp:extent cx="7747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-179070</wp:posOffset>
            </wp:positionV>
            <wp:extent cx="685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-179070</wp:posOffset>
            </wp:positionV>
            <wp:extent cx="6858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-179070</wp:posOffset>
            </wp:positionV>
            <wp:extent cx="6858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700" w:type="dxa"/>
            <w:vAlign w:val="bottom"/>
          </w:tcPr>
          <w:p>
            <w:pPr>
              <w:jc w:val="center"/>
              <w:ind w:left="3450"/>
              <w:spacing w:after="0"/>
              <w:rPr>
                <w:sz w:val="20"/>
                <w:szCs w:val="20"/>
                <w:color w:val="auto"/>
              </w:rPr>
            </w:pPr>
            <w:r>
              <w:rPr>
                <w:rFonts w:ascii="Arial" w:cs="Arial" w:eastAsia="Arial" w:hAnsi="Arial"/>
                <w:sz w:val="18"/>
                <w:szCs w:val="18"/>
                <w:b w:val="1"/>
                <w:bCs w:val="1"/>
                <w:color w:val="auto"/>
                <w:w w:val="89"/>
              </w:rPr>
              <w:t>Biomea Fusion, Inc.</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Condensed Statements of Cash Flows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00" w:type="dxa"/>
            <w:vAlign w:val="bottom"/>
          </w:tcPr>
          <w:p>
            <w:pPr>
              <w:jc w:val="center"/>
              <w:ind w:left="345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jc w:val="center"/>
              <w:ind w:left="3470"/>
              <w:spacing w:after="0"/>
              <w:rPr>
                <w:sz w:val="20"/>
                <w:szCs w:val="20"/>
                <w:color w:val="auto"/>
              </w:rPr>
            </w:pPr>
            <w:r>
              <w:rPr>
                <w:rFonts w:ascii="Arial" w:cs="Arial" w:eastAsia="Arial" w:hAnsi="Arial"/>
                <w:sz w:val="18"/>
                <w:szCs w:val="18"/>
                <w:color w:val="auto"/>
                <w:w w:val="89"/>
              </w:rPr>
              <w:t>(in thousands)</w:t>
            </w:r>
          </w:p>
        </w:tc>
        <w:tc>
          <w:tcPr>
            <w:tcW w:w="3540" w:type="dxa"/>
            <w:vAlign w:val="bottom"/>
            <w:gridSpan w:val="6"/>
            <w:vMerge w:val="restart"/>
          </w:tcPr>
          <w:p>
            <w:pPr>
              <w:jc w:val="right"/>
              <w:ind w:right="10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19"/>
                <w:szCs w:val="19"/>
                <w:color w:val="auto"/>
              </w:rPr>
            </w:pPr>
          </w:p>
        </w:tc>
        <w:tc>
          <w:tcPr>
            <w:tcW w:w="354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7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(82,371 )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(56,514 )</w:t>
            </w: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1,095</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operating lease expense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10,267</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amortization of premiums and accretion of discounts on investments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(2,358 )</w:t>
            </w:r>
          </w:p>
        </w:tc>
        <w:tc>
          <w:tcPr>
            <w:tcW w:w="0" w:type="dxa"/>
            <w:vAlign w:val="bottom"/>
          </w:tcPr>
          <w:p>
            <w:pPr>
              <w:spacing w:after="0"/>
              <w:rPr>
                <w:sz w:val="1"/>
                <w:szCs w:val="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(1,684 )</w:t>
            </w: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(1,099 )</w:t>
            </w:r>
          </w:p>
        </w:tc>
        <w:tc>
          <w:tcPr>
            <w:tcW w:w="4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(1,466 )</w:t>
            </w: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(1,830 )</w:t>
            </w:r>
          </w:p>
        </w:tc>
        <w:tc>
          <w:tcPr>
            <w:tcW w:w="4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(73,755 )</w:t>
            </w:r>
          </w:p>
        </w:tc>
        <w:tc>
          <w:tcPr>
            <w:tcW w:w="4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(42,216 )</w:t>
            </w: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(3,362 )</w:t>
            </w:r>
          </w:p>
        </w:tc>
        <w:tc>
          <w:tcPr>
            <w:tcW w:w="4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(318 )</w:t>
            </w: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investments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Maturities of investments</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3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from public offering, net of offering costs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161,803</w:t>
            </w: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8"/>
                <w:szCs w:val="18"/>
                <w:color w:val="auto"/>
              </w:rPr>
              <w:t>Proceeds from stock option exercise and purchases under the employee</w:t>
            </w:r>
          </w:p>
        </w:tc>
        <w:tc>
          <w:tcPr>
            <w:tcW w:w="96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1,373</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00"/>
              <w:spacing w:after="0"/>
              <w:rPr>
                <w:sz w:val="20"/>
                <w:szCs w:val="20"/>
                <w:color w:val="auto"/>
              </w:rPr>
            </w:pPr>
            <w:r>
              <w:rPr>
                <w:rFonts w:ascii="Arial" w:cs="Arial" w:eastAsia="Arial" w:hAnsi="Arial"/>
                <w:sz w:val="18"/>
                <w:szCs w:val="18"/>
                <w:color w:val="auto"/>
              </w:rPr>
              <w:t>stock purchase plan</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163,176</w:t>
            </w:r>
          </w:p>
        </w:tc>
        <w:tc>
          <w:tcPr>
            <w:tcW w:w="3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87,209</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(13,425 )</w:t>
            </w:r>
          </w:p>
        </w:tc>
        <w:tc>
          <w:tcPr>
            <w:tcW w:w="0" w:type="dxa"/>
            <w:vAlign w:val="bottom"/>
          </w:tcPr>
          <w:p>
            <w:pPr>
              <w:spacing w:after="0"/>
              <w:rPr>
                <w:sz w:val="1"/>
                <w:szCs w:val="1"/>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112,250</w:t>
            </w:r>
          </w:p>
        </w:tc>
        <w:tc>
          <w:tcPr>
            <w:tcW w:w="3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199,459</w:t>
            </w:r>
          </w:p>
        </w:tc>
        <w:tc>
          <w:tcPr>
            <w:tcW w:w="34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Non-cash financing and investing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 of operating lease right-of-use assets</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11,639</w:t>
            </w: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8"/>
                <w:szCs w:val="18"/>
                <w:color w:val="auto"/>
              </w:rPr>
              <w:t>Acquisition of property and equipment in accounts payable</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340"/>
              <w:spacing w:after="0"/>
              <w:rPr>
                <w:sz w:val="20"/>
                <w:szCs w:val="20"/>
                <w:color w:val="auto"/>
              </w:rPr>
            </w:pPr>
            <w:r>
              <w:rPr>
                <w:rFonts w:ascii="Arial" w:cs="Arial" w:eastAsia="Arial" w:hAnsi="Arial"/>
                <w:sz w:val="18"/>
                <w:szCs w:val="18"/>
                <w:color w:val="auto"/>
              </w:rPr>
              <w:t>and accrued liabilities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and cash equivalents and restricted cash:</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199,090</w:t>
            </w: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cash and cash equivalents and restricted cash</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199,459</w:t>
            </w:r>
          </w:p>
        </w:tc>
        <w:tc>
          <w:tcPr>
            <w:tcW w:w="3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132,662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-3754120</wp:posOffset>
            </wp:positionV>
            <wp:extent cx="685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-3754120</wp:posOffset>
            </wp:positionV>
            <wp:extent cx="6858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-1748155</wp:posOffset>
            </wp:positionV>
            <wp:extent cx="685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Biomea Fusion,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Biomea Fusion, Inc., (the Company), was established in the state of Delaware in August 2017 as Biomea Fusion, LLC. In December 2020, all outstanding membership interests in Biomea Fusion, LLC were converted into equity interests in the Company. The capitalization information included in these unaudited condensed financial statements is consistently presented as if it is that of Biomea Fusion, Inc., even during the prior period when investors held their equity interests in Biomea Fusion, LLC.</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is a clinical-stage biopharmaceutical company dedicated to discovering and developing novel covalent small molecules to treat and improve the lives of patients with genetically defined cancers and metabolic diseases. Since its inception in 2017, the Company has built its proprietary FUSION</w:t>
      </w:r>
      <w:r>
        <w:rPr>
          <w:rFonts w:ascii="Arial" w:cs="Arial" w:eastAsia="Arial" w:hAnsi="Arial"/>
          <w:sz w:val="9"/>
          <w:szCs w:val="9"/>
          <w:color w:val="auto"/>
        </w:rPr>
        <w:t>TM</w:t>
      </w:r>
      <w:r>
        <w:rPr>
          <w:rFonts w:ascii="Arial" w:cs="Arial" w:eastAsia="Arial" w:hAnsi="Arial"/>
          <w:sz w:val="18"/>
          <w:szCs w:val="18"/>
          <w:color w:val="auto"/>
        </w:rPr>
        <w:t xml:space="preserve"> System platform to design and develop a pipeline of novel covalent product candidates.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2022 has been derived from the audited financial statements at that date but does not include all of the information required by GAAP for complete financial statements. These unaudited condensed financial statements have been prepared on the same basis as the Company’s annual financial statements and, in the opinion of management, reflect all adjustments, consisting only of normal recurring adjustments which are necessary for a fair statement of the Company’s financial information. The unaudited interim results of operations for the three and nine months ended September 30, 2023 are not necessarily indicative of the results to be expected for the year ending December 31, 2023 or for any other interim period or for any other future year.</w:t>
      </w:r>
    </w:p>
    <w:p>
      <w:pPr>
        <w:spacing w:after="0" w:line="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accompanying unaudited condensed financial statements should be read in conjunction with the audited financial statements and the related notes thereto for the year ended December 31, 2022, included in the Company’s Annual Report on Form 10-K filed with the SEC on March 28,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has incurred net operating losses and negative cash flows from operations since its inception and had an accumulated deficit of $213.9 million at September 30, 2023. As of September 30, 2023, the Company had cash, cash equivalents, restricted cash, and investments of $199.5 million. Management believes that the existing financial resources are sufficient to continue operating activities for at least one year past the issuance date of these unaudited condensed financial statements. The Company has historically financed its operations primarily through the sale of convertible preferred stock and common stock and the issuance of unsecured promissory notes. To date, none of the Company’s product candidates have been approved for sale, and the Company has not generated any revenue since inception. Management expects operating losses to continue and increase for the foreseeable future, as the Company continues clinical development activities for its lead product candidate and advances the preclinical and clinical development of other product candidates. The Company’s prospects are subject to risks, expenses and uncertainties frequently encountered by companies in the biotechnology industry as discussed below. There can be no assurance that in the event the Company requires additional financing, such financing will be available on terms which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preparation of these unaudited condensed financial statements in conformity with U.S. GAAP requires management to make estimates and assumptions that affect the amounts reported in the financial statements and accompanying notes. On an ongoing basis, the Company evaluates its estimates, including, but not limited to, those related to clinical and preclinical accruals, manufacturing accruals, fair value of common stock, stock-based compensation, operating lease right-of-use (ROU) assets and liabilities and income taxes. The Company bases its estimates on its historical experience and also on assumptions that it believes are reasonable; however, actual results could significantly differ from those estimates.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developing covalent small molecule drugs to treat patients with genetically defined cancers and metabolic diseases. The Company’s chief executive officer, who is the chief operating decision maker, reviews financial information on an aggregate basis for allocating resources and evaluating financial performance. All long-lived assets are maintained in, and all losses are attributable to, the United States of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primarily of cash, cash equivalents and investments. The Company maintains bank deposits in federally insured financial institutions and these deposits may exceed federally insured limits. The Company invests in money market funds, U.S. Treasury securities, U.S. government agency securities, corporate notes, commercial paper, and asset backed securities. The Company is exposed to credit risk in the event of default by the financial institutions holding its cash and cash equivalents and issuers of investments to the extent recorded in the balance sheet. The Company’s investment policy limits investments to money market funds, certain types of debt securities issued by the U.S. Government and its agencies, corporate notes and commercial paper, and places restrictions on the credit ratings, maturities and concentration by type and issuer. The Company has not experienced any losses on its deposits of cash, cash equivalents and investments</w:t>
      </w:r>
      <w:r>
        <w:rPr>
          <w:rFonts w:ascii="Arial" w:cs="Arial" w:eastAsia="Arial" w:hAnsi="Arial"/>
          <w:sz w:val="16"/>
          <w:szCs w:val="16"/>
          <w:i w:val="1"/>
          <w:iCs w:val="1"/>
          <w:color w:val="auto"/>
        </w:rPr>
        <w:t>.</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preclinical studies, clinical trials and achievement of milestones, uncertainty of regulatory approval of the Company’s existing and potential product candidates, uncertainty of market acceptance of the Company’s product candidates (if approved), competition from substitute products and larger companies, securing and protecting proprietary technology, strategic relationships and dependence on key individuals or sole source suppliers and changes in the Company's operating expenses as a result of these uncertainties and other factors, such as inflation. 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and cash equivalents. Cash equivalents consist of amounts invested in money market accounts and are stated at fair value. Restricted cash consists of two stand-by letters of credit issued to the Company’s landlord in connection with two of the Company’s 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adopted ASU 2016-13, Measurement of Credit Losses on Financial Instruments, on January 1, 2023. Investments consist of money market funds, U.S. Treasury Securities, and corporate notes. The Company’s investments have been classified and accounted for as available-for-sale securities. Fixed income securities consist of U.S. Treasury securities, U.S. government agency securities, corporate debt securities, commercial paper and asset backed securities. The specific identification method is used to determine the cost basis of fixed income securities sold. These securities are recorded on the balance sheets at fair value and reported in cash equivalents, short-term investments, or long-term investments. The Company classifies its investments with the remaining effective maturities of twelve months or less from the balance sheet date as short-term; otherwise, they are classified as long-term on the balance sheet.</w:t>
      </w:r>
    </w:p>
    <w:p>
      <w:pPr>
        <w:spacing w:after="0" w:line="19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interest and other income, net in the statement of operations. If neither criterion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ind w:right="60"/>
        <w:spacing w:after="0" w:line="259" w:lineRule="auto"/>
        <w:rPr>
          <w:sz w:val="20"/>
          <w:szCs w:val="20"/>
          <w:color w:val="auto"/>
        </w:rPr>
      </w:pPr>
      <w:r>
        <w:rPr>
          <w:rFonts w:ascii="Arial" w:cs="Arial" w:eastAsia="Arial" w:hAnsi="Arial"/>
          <w:sz w:val="18"/>
          <w:szCs w:val="18"/>
          <w:color w:val="auto"/>
        </w:rPr>
        <w:t>collected is less than the amortized cost basis, a credit loss exists and an allowance for credit losses is recorded for the credit loss on the condensed balance sheet, limited by the amount that the fair value is less than the amortized cost basis</w:t>
      </w:r>
      <w:r>
        <w:rPr>
          <w:rFonts w:ascii="Arial" w:cs="Arial" w:eastAsia="Arial" w:hAnsi="Arial"/>
          <w:sz w:val="16"/>
          <w:szCs w:val="16"/>
          <w:color w:val="auto"/>
        </w:rPr>
        <w:t>.</w:t>
      </w:r>
      <w:r>
        <w:rPr>
          <w:rFonts w:ascii="Arial" w:cs="Arial" w:eastAsia="Arial" w:hAnsi="Arial"/>
          <w:sz w:val="18"/>
          <w:szCs w:val="18"/>
          <w:color w:val="auto"/>
        </w:rPr>
        <w:t xml:space="preserve"> Credit-related impairment losses, limited by the amount that the fair value is less than the amortized cost basis, are recorded through an allowance for credit losses in interest and other income, net in the statement of operations.</w:t>
      </w:r>
    </w:p>
    <w:p>
      <w:pPr>
        <w:spacing w:after="0" w:line="187"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color w:val="auto"/>
        </w:rPr>
        <w:t>Any unrealized losses from declines in fair value below the amortized cost basis as a result of non-credit factors are recognized in accumulated other comprehensive income (loss), net of tax as a separate component of stockholders’ equity, along with unrealized gains. Realized gains and losses and declines in fair value, if any, on available-for-sale securities are included in interest and other income, net in the statement of operations.</w:t>
      </w:r>
    </w:p>
    <w:p>
      <w:pPr>
        <w:spacing w:after="0" w:line="14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to prepaid expenses and other current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Property and equipment are recorded at cost net of accumulated depreciation and amortization. Property and equipment are depreciated using the straight-line method over the estimated useful lives of the assets. The useful lives of property and equipment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8100" w:type="dxa"/>
            <w:vAlign w:val="bottom"/>
            <w:shd w:val="clear" w:color="auto" w:fill="CFF0FC"/>
          </w:tcPr>
          <w:p>
            <w:pPr>
              <w:ind w:left="1300"/>
              <w:spacing w:after="0"/>
              <w:rPr>
                <w:sz w:val="20"/>
                <w:szCs w:val="20"/>
                <w:color w:val="auto"/>
              </w:rPr>
            </w:pPr>
            <w:r>
              <w:rPr>
                <w:rFonts w:ascii="Arial" w:cs="Arial" w:eastAsia="Arial" w:hAnsi="Arial"/>
                <w:sz w:val="18"/>
                <w:szCs w:val="18"/>
                <w:color w:val="auto"/>
              </w:rPr>
              <w:t>3 years</w:t>
            </w: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8100" w:type="dxa"/>
            <w:vAlign w:val="bottom"/>
          </w:tcPr>
          <w:p>
            <w:pPr>
              <w:ind w:left="1300"/>
              <w:spacing w:after="0"/>
              <w:rPr>
                <w:sz w:val="20"/>
                <w:szCs w:val="20"/>
                <w:color w:val="auto"/>
              </w:rPr>
            </w:pPr>
            <w:r>
              <w:rPr>
                <w:rFonts w:ascii="Arial" w:cs="Arial" w:eastAsia="Arial" w:hAnsi="Arial"/>
                <w:sz w:val="18"/>
                <w:szCs w:val="18"/>
                <w:color w:val="auto"/>
              </w:rPr>
              <w:t>5 years</w:t>
            </w:r>
          </w:p>
        </w:tc>
      </w:tr>
      <w:tr>
        <w:trPr>
          <w:trHeight w:val="24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8100" w:type="dxa"/>
            <w:vAlign w:val="bottom"/>
            <w:shd w:val="clear" w:color="auto" w:fill="CFF0FC"/>
          </w:tcPr>
          <w:p>
            <w:pPr>
              <w:ind w:left="1300"/>
              <w:spacing w:after="0"/>
              <w:rPr>
                <w:sz w:val="20"/>
                <w:szCs w:val="20"/>
                <w:color w:val="auto"/>
              </w:rPr>
            </w:pPr>
            <w:r>
              <w:rPr>
                <w:rFonts w:ascii="Arial" w:cs="Arial" w:eastAsia="Arial" w:hAnsi="Arial"/>
                <w:sz w:val="18"/>
                <w:szCs w:val="18"/>
                <w:color w:val="auto"/>
              </w:rPr>
              <w:t>5 years</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8100" w:type="dxa"/>
            <w:vAlign w:val="bottom"/>
          </w:tcPr>
          <w:p>
            <w:pPr>
              <w:ind w:left="1300"/>
              <w:spacing w:after="0"/>
              <w:rPr>
                <w:sz w:val="20"/>
                <w:szCs w:val="20"/>
                <w:color w:val="auto"/>
              </w:rPr>
            </w:pPr>
            <w:r>
              <w:rPr>
                <w:rFonts w:ascii="Arial" w:cs="Arial" w:eastAsia="Arial" w:hAnsi="Arial"/>
                <w:sz w:val="18"/>
                <w:szCs w:val="18"/>
                <w:color w:val="auto"/>
              </w:rPr>
              <w:t>Shorter of remaining lease term or estimated useful life</w:t>
            </w:r>
          </w:p>
        </w:tc>
      </w:tr>
    </w:tbl>
    <w:p>
      <w:pPr>
        <w:spacing w:after="0" w:line="1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Upon retirement or sale of the assets, the cost and related accumulated depreciation and amortization are removed from the balance sheet and the resulting gain or loss is recorded to the statements of operations. Repairs and maintenance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determines if an arrangement is a lease at inception in accordance with Accounting Standard Codification 842, “Leases” (ASC 842). As of September 30, 2023, the Company's lease population consisted of real estate leases and the Company did not have any finance leases.</w:t>
      </w:r>
    </w:p>
    <w:p>
      <w:pPr>
        <w:spacing w:after="0" w:line="14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Operating leases are included in operating lease right-of-use assets, current operating lease liabilities and non-current operating lease liabilities on the Company’s balance sheet.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The Company’s lease terms may include options to extend or terminate the lease when it is reasonably certain that the Company will exercise such options. The Company’s leases do not provide an implicit rate, the Company uses its incremental borrowing rate based on the information available at commencement date in determining the present value of those lease payments. The Company determines the incremental borrowing rate based on an analysis of corporate bond yields with a credit rating similar to the Company. The determination of the Company’s incremental borrowing rate requires management judgment including the development of a synthetic credit rating and cost of debt as the Company currently does not carry any debt. The Company believes that the estimates used in determining the incremental borrowing rate are reasonable based upon current facts and circumstances. Applying different judgments to the same facts and circumstances could result in the estimated amounts to vary. The operating lease ROU assets also include adjustments for prepayments and accrued lease payments and exclude lease incentives. Operating lease cost is recognized on a straight-line basis over the expected lease term. Variable lease costs represent payments that are dependent on usage, a rate or index. Variable lease cost primarily relates to common area maintenance charges. Lease agreements that include lease and non-lease components are accounted for as a single lease component. The Company has elected to apply the short-term lease exception for all lease agreements with a noncancelable term of less than twelve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right="480"/>
        <w:spacing w:after="0" w:line="277" w:lineRule="auto"/>
        <w:rPr>
          <w:sz w:val="20"/>
          <w:szCs w:val="20"/>
          <w:color w:val="auto"/>
        </w:rPr>
      </w:pPr>
      <w:r>
        <w:rPr>
          <w:rFonts w:ascii="Arial" w:cs="Arial" w:eastAsia="Arial" w:hAnsi="Arial"/>
          <w:sz w:val="18"/>
          <w:szCs w:val="18"/>
          <w:color w:val="auto"/>
        </w:rPr>
        <w:t>flows, an impairment charge is recognized by the amount by which the carrying amount of the asset exceeds the fair value of the asset. There was no impairment of long-lived assets during the three and nine months ended September 30,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expenses research and development costs as they are incurred. Research and development expenses consist primarily of: (i) personnel-related expenses, including salaries, benefits and stock-based compensation expense, for personnel in the Company’s research and development functions;</w:t>
      </w:r>
    </w:p>
    <w:p>
      <w:pPr>
        <w:ind w:right="20" w:firstLine="8"/>
        <w:spacing w:after="0" w:line="273"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fees paid to third parties such as contractors, consultants and contract research organizations (CROs), for animal studies and other costs related to preclinical and clinical testing; (iii) costs related to acquiring and manufacturing research and clinical trial materials, including under agreements with third parties such as contract manufacturing organizations (CMOs), and other vendors; (iv) costs related to the preparation of regulatory submissions; (v) expenses related to laboratory supplies and services; and (vi) depreciation of equipment and facilities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records accruals for estimated costs of research, preclinical studies, clinical trials, and manufacturing development, which are significant components of research and development expenses. A substantial portion of the Company’s ongoing research and development activities is conducted by third-party service providers, CROs and CMOs. The Company’s contracts with the CROs and CMOs generally include fees such as initiation fees, reservation fees, costs related to animal studies and safety tests, verification run costs, materials and reagents expenses, investigator fees, taxes, etc.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and actual timeline (start-date and end-date) of the services and the agreed-upon fees to be paid for such services. Through September 30, 2023, there have been no material differences from the Company’s estimated accrued research and development expenses to actual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accounts for stock-based compensation by measuring and recognizing compensation expense for all share-based awards made to employees, non-employees and directors based on estimated grant-date fair values. The Company uses the straight-line method to allocate compensation cost to reporting periods over the requisite service period, which is generally the vesting period, and estimates the fair value of share-based awards to employees, non-employees and directors using the Black-Scholes option-pricing model. The Company accounts for forfeitures as they occur. The fair value of restricted stock awards is based on grant-date fair value. The fair value of each purchase under the employee stock purchase plan (ESPP) is estimated at the beginning of the offering period using the Black-Scholes option pricing model and recorded as expense over the service period using the straight-line method.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began providing for income taxes under the asset and liability method in December 2020 upon conversion from a limited liability company into a corporation.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accounts for uncertain tax positions in accordance with ASC No.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Company includes any penalties and interest expense related to income taxes as a component of income tax expense, as necessary.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 Adopted</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which requires that financial assets measured at amortized cost be presented at the net amount expected to be collected. ASU 2016-13 replaces the existing incurred loss impairment model with an expected loss methodology, which will result in more timely recognition of credit losses. The measurement of expected credit losses is based on historical experience, current conditions, and reasonable and supportable forecasts that affect collectability. This ASU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This ASU is effective for fiscal years beginning after December 15, 2022 and interim periods within those fiscal years. The Company adopted ASU 2016-13 on January 1, 2023, using the modified retrospective approach, and no cumulative effect adjustment to accumulated deficit was needed as of the adoption date. Additionally, no prior period amounts were adjusted and continue to be reported in accordance with the legacy other-than-temporary impairment model. The adoption of ASU 2016-13 did not have a material impact on the Company’s unaudited condensed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measures and reports certain financial instruments as assets and liabilities at fair value on a recurring basis. The following tables set forth the fair value of the Company’s financial assets, which consist of cash equivalents and marketable securities measured and recognized at fair value (in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b w:val="1"/>
                <w:bCs w:val="1"/>
                <w:color w:val="auto"/>
                <w:w w:val="90"/>
              </w:rPr>
              <w:t>September 30, 2023</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43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Hierarchy</w:t>
            </w: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8"/>
                <w:szCs w:val="18"/>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r>
      <w:tr>
        <w:trPr>
          <w:trHeight w:val="241"/>
        </w:trPr>
        <w:tc>
          <w:tcPr>
            <w:tcW w:w="43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Level</w:t>
            </w: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9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r>
      <w:tr>
        <w:trPr>
          <w:trHeight w:val="215"/>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 included in cash and cash</w:t>
            </w: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4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equivalents:</w:t>
            </w:r>
          </w:p>
        </w:tc>
        <w:tc>
          <w:tcPr>
            <w:tcW w:w="1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32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196,838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196,838</w:t>
            </w:r>
          </w:p>
        </w:tc>
        <w:tc>
          <w:tcPr>
            <w:tcW w:w="100" w:type="dxa"/>
            <w:vAlign w:val="bottom"/>
          </w:tcPr>
          <w:p>
            <w:pPr>
              <w:spacing w:after="0"/>
              <w:rPr>
                <w:sz w:val="20"/>
                <w:szCs w:val="20"/>
                <w:color w:val="auto"/>
              </w:rPr>
            </w:pPr>
          </w:p>
        </w:tc>
      </w:tr>
      <w:tr>
        <w:trPr>
          <w:trHeight w:val="276"/>
        </w:trPr>
        <w:tc>
          <w:tcPr>
            <w:tcW w:w="43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196,838</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196,838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547"/>
        </w:trPr>
        <w:tc>
          <w:tcPr>
            <w:tcW w:w="4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b w:val="1"/>
                <w:bCs w:val="1"/>
                <w:color w:val="auto"/>
                <w:w w:val="88"/>
              </w:rPr>
              <w:t>December 31, 2022</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43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Hierarchy</w:t>
            </w: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8"/>
                <w:szCs w:val="18"/>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r>
      <w:tr>
        <w:trPr>
          <w:trHeight w:val="241"/>
        </w:trPr>
        <w:tc>
          <w:tcPr>
            <w:tcW w:w="43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Level</w:t>
            </w: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9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Financial assets included within cash and</w:t>
            </w: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320" w:type="dxa"/>
            <w:vAlign w:val="bottom"/>
          </w:tcPr>
          <w:p>
            <w:pPr>
              <w:ind w:left="160"/>
              <w:spacing w:after="0"/>
              <w:rPr>
                <w:sz w:val="20"/>
                <w:szCs w:val="20"/>
                <w:color w:val="auto"/>
              </w:rPr>
            </w:pPr>
            <w:r>
              <w:rPr>
                <w:rFonts w:ascii="Arial" w:cs="Arial" w:eastAsia="Arial" w:hAnsi="Arial"/>
                <w:sz w:val="18"/>
                <w:szCs w:val="18"/>
                <w:color w:val="auto"/>
              </w:rPr>
              <w:t>cash equivalents: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5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2"/>
              </w:rPr>
              <w:t>Level 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105,684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105,684</w:t>
            </w:r>
          </w:p>
        </w:tc>
        <w:tc>
          <w:tcPr>
            <w:tcW w:w="100" w:type="dxa"/>
            <w:vAlign w:val="bottom"/>
            <w:shd w:val="clear" w:color="auto" w:fill="CFF0FC"/>
          </w:tcPr>
          <w:p>
            <w:pPr>
              <w:spacing w:after="0"/>
              <w:rPr>
                <w:sz w:val="21"/>
                <w:szCs w:val="2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Financial assets included within short-term</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32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notes</w:t>
            </w:r>
          </w:p>
        </w:tc>
        <w:tc>
          <w:tcPr>
            <w:tcW w:w="15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2"/>
              </w:rPr>
              <w:t>Level 2</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21"/>
                <w:szCs w:val="2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106,835</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106,834</w:t>
            </w: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-1910715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-1893570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-2073910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-1910715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-1893570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-2073910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-1910715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-1893570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-2073910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-187960</wp:posOffset>
            </wp:positionV>
            <wp:extent cx="7747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between Levels 1, 2 and 3 during the three and nine months ended September 30, 2023 and 2022. As of September 30, 2023 and December 31, 2022, there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100"/>
        <w:spacing w:after="0" w:line="277" w:lineRule="auto"/>
        <w:rPr>
          <w:sz w:val="20"/>
          <w:szCs w:val="20"/>
          <w:color w:val="auto"/>
        </w:rPr>
      </w:pPr>
      <w:r>
        <w:rPr>
          <w:rFonts w:ascii="Arial" w:cs="Arial" w:eastAsia="Arial" w:hAnsi="Arial"/>
          <w:sz w:val="18"/>
          <w:szCs w:val="18"/>
          <w:color w:val="auto"/>
        </w:rPr>
        <w:t>were no financial instruments classified as Level 3. There have been no realized gains or losses recognized for the periods presented. Unrealized gains and losses are included in accumulated other comprehensive loss within stockholders' equity on the balance sheet.</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September 30, 2023, there was no unrealized loss. As of December 31, 2022, all debt securities with an unrealized loss position have been in a loss position for less than one year. The aggregate fair value of debt securities in an unrealized loss position as of December 31, 2022 was $1.2 million with no individual securities in a significant unrealized loss position. The Company evaluated its securities for other-than-temporary impairment as of December 31, 2022, and considered the decline in market value to be primarily attributable to current economic and market conditions and would not be required to sell the securities before recovery of the amortized cost basis. Based on this analysis, these marketable securities were not considered to be other-than-temporarily impaired as of December 31, 2022. As there were no unrealized losses as of September 30, 2023, no allowance for credit losses has been recognized as of September 30, 2023. During the three and nine months ended September 30, 2023 and 2022, the Company did not recognize any impairment losses related to investments.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4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740" w:type="dxa"/>
            <w:vAlign w:val="bottom"/>
          </w:tcPr>
          <w:p>
            <w:pPr>
              <w:spacing w:after="0"/>
              <w:rPr>
                <w:sz w:val="20"/>
                <w:szCs w:val="20"/>
                <w:color w:val="auto"/>
              </w:rPr>
            </w:pPr>
            <w:r>
              <w:rPr>
                <w:rFonts w:ascii="Arial" w:cs="Arial" w:eastAsia="Arial" w:hAnsi="Arial"/>
                <w:sz w:val="18"/>
                <w:szCs w:val="18"/>
                <w:color w:val="auto"/>
              </w:rPr>
              <w:t>Property and equipment, net consists of the following (in thousands):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3"/>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r>
      <w:tr>
        <w:trPr>
          <w:trHeight w:val="250"/>
        </w:trPr>
        <w:tc>
          <w:tcPr>
            <w:tcW w:w="7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3,186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Total property and equipment, gross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7,586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6,757</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(2,011 )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(916 )</w:t>
            </w:r>
          </w:p>
        </w:tc>
      </w:tr>
      <w:tr>
        <w:trPr>
          <w:trHeight w:val="237"/>
        </w:trPr>
        <w:tc>
          <w:tcPr>
            <w:tcW w:w="774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5,841</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-505460</wp:posOffset>
            </wp:positionV>
            <wp:extent cx="6858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expense for the three and nine months ended September 30, 2023 was $0.4 million and $1.1 million, respectively. Depreciation expense for the three and nine months ended September 30, 2022 was $0.2 million and $0.5 million, respectively.</w:t>
      </w:r>
    </w:p>
    <w:p>
      <w:pPr>
        <w:sectPr>
          <w:pgSz w:w="11900" w:h="16838" w:orient="portrait"/>
          <w:cols w:equalWidth="0" w:num="1">
            <w:col w:w="11240"/>
          </w:cols>
          <w:pgMar w:left="320" w:top="557"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research and development materials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professional services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accrued expenses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50"/>
        </w:trPr>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4,984</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6,039</w:t>
            </w:r>
          </w:p>
        </w:tc>
      </w:tr>
      <w:tr>
        <w:trPr>
          <w:trHeight w:val="242"/>
        </w:trPr>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4,749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4,774</w:t>
            </w:r>
          </w:p>
        </w:tc>
      </w:tr>
      <w:tr>
        <w:trPr>
          <w:trHeight w:val="250"/>
        </w:trPr>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10,191</w:t>
            </w:r>
          </w:p>
        </w:tc>
        <w:tc>
          <w:tcPr>
            <w:tcW w:w="3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720"/>
            <w:col w:w="3500"/>
          </w:cols>
          <w:pgMar w:left="320" w:top="557"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its headquarters with its main offices and laboratory facilities in Redwood City and San Carlos, California.</w:t>
      </w:r>
    </w:p>
    <w:p>
      <w:pPr>
        <w:spacing w:after="0" w:line="22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 September 2022, the Company entered into a thirty-month sublease agreement for office space located at 900 Middlefield Road, 4th Floor, Redwood City, California, which commenced in January 2023 and expires in July 2025. In connection with the sublease, the Company made a security deposit of $2.1 million which is included in other assets on the balance sheet at September 30, 2023. Upon commencement, the Company recognized a right-of-use asset and lease liability of $6.0 million, discounted at 11.5%, the Company’s estimated incremental borrowing rate.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6" w:name="page17"/>
    <w:bookmarkEnd w:id="16"/>
    <w:p>
      <w:pPr>
        <w:ind w:right="160"/>
        <w:spacing w:after="0" w:line="271" w:lineRule="auto"/>
        <w:rPr>
          <w:sz w:val="20"/>
          <w:szCs w:val="20"/>
          <w:color w:val="auto"/>
        </w:rPr>
      </w:pPr>
      <w:r>
        <w:rPr>
          <w:rFonts w:ascii="Arial" w:cs="Arial" w:eastAsia="Arial" w:hAnsi="Arial"/>
          <w:sz w:val="17"/>
          <w:szCs w:val="17"/>
          <w:color w:val="auto"/>
        </w:rPr>
        <w:t>In November 2021, the Company entered into a four-year lease for additional lab space located at 1585 Industrial Road, San Carlos, California which commenced in January 2023 and expires in January 2027. Under the provisions of the agreement, upon the commencement date, the term of the lab space located at 1599 Industrial Road, San Carlos, California (1599 lease), was also extended from April 2026 to January 2027. The lease included a renewal option for an additional five years until January 2032, which has been included in the determination of the right-of-use as of September 30, 2023. As the term of the 1599 lease was extended, this did not result in a separate contract, accordingly, the Company remeasured the right-of-use asset and lease liability totaling to $7.8 million under one lease, discounted at 11.4%, the Company’s estimated incremental borrowing rate. In addition, the Company is eligible for a tenant improvement allowance of up to $1.4 million, which will be accounted for as a lease incentive if utilized. There has been no lease incentive paid nor payable as of September 30,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5"/>
          </w:tcPr>
          <w:p>
            <w:pPr>
              <w:spacing w:after="0"/>
              <w:rPr>
                <w:sz w:val="20"/>
                <w:szCs w:val="20"/>
                <w:color w:val="auto"/>
              </w:rPr>
            </w:pPr>
            <w:r>
              <w:rPr>
                <w:rFonts w:ascii="Arial" w:cs="Arial" w:eastAsia="Arial" w:hAnsi="Arial"/>
                <w:sz w:val="18"/>
                <w:szCs w:val="18"/>
                <w:color w:val="auto"/>
                <w:w w:val="90"/>
              </w:rPr>
              <w:t>The following table summarizes the lease costs and cash paid for the Company’s leases (in thousands):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50"/>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w w:val="99"/>
              </w:rPr>
              <w:t>September 30,</w:t>
            </w:r>
          </w:p>
        </w:tc>
      </w:tr>
      <w:tr>
        <w:trPr>
          <w:trHeight w:val="237"/>
        </w:trPr>
        <w:tc>
          <w:tcPr>
            <w:tcW w:w="58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2,870</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0"/>
                <w:szCs w:val="20"/>
                <w:color w:val="auto"/>
              </w:rPr>
            </w:pPr>
          </w:p>
        </w:tc>
      </w:tr>
      <w:tr>
        <w:trPr>
          <w:trHeight w:val="24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21"/>
                <w:szCs w:val="2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0"/>
                <w:szCs w:val="20"/>
                <w:color w:val="auto"/>
              </w:rPr>
            </w:pPr>
          </w:p>
        </w:tc>
      </w:tr>
      <w:tr>
        <w:trPr>
          <w:trHeight w:val="24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lease costs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21"/>
                <w:szCs w:val="21"/>
                <w:color w:val="auto"/>
              </w:rPr>
            </w:pPr>
          </w:p>
        </w:tc>
      </w:tr>
      <w:tr>
        <w:trPr>
          <w:trHeight w:val="540"/>
        </w:trPr>
        <w:tc>
          <w:tcPr>
            <w:tcW w:w="7020" w:type="dxa"/>
            <w:vAlign w:val="bottom"/>
            <w:gridSpan w:val="3"/>
          </w:tcPr>
          <w:p>
            <w:pPr>
              <w:spacing w:after="0"/>
              <w:rPr>
                <w:sz w:val="20"/>
                <w:szCs w:val="20"/>
                <w:color w:val="auto"/>
              </w:rPr>
            </w:pPr>
            <w:r>
              <w:rPr>
                <w:rFonts w:ascii="Arial" w:cs="Arial" w:eastAsia="Arial" w:hAnsi="Arial"/>
                <w:sz w:val="18"/>
                <w:szCs w:val="18"/>
                <w:color w:val="auto"/>
                <w:w w:val="97"/>
              </w:rPr>
              <w:t>The maturities of lease liabilities as of September 30, 2023 were as follows (in thousands):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Operating Lease</w:t>
            </w: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Commitments</w:t>
            </w:r>
          </w:p>
        </w:tc>
      </w:tr>
      <w:tr>
        <w:trPr>
          <w:trHeight w:val="243"/>
        </w:trPr>
        <w:tc>
          <w:tcPr>
            <w:tcW w:w="58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 (remaining three months)</w:t>
            </w:r>
          </w:p>
        </w:tc>
        <w:tc>
          <w:tcPr>
            <w:tcW w:w="2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FF0FC"/>
          </w:tcPr>
          <w:p>
            <w:pPr>
              <w:spacing w:after="0"/>
              <w:rPr>
                <w:sz w:val="21"/>
                <w:szCs w:val="2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20"/>
                <w:szCs w:val="20"/>
                <w:color w:val="auto"/>
              </w:rPr>
            </w:pPr>
          </w:p>
        </w:tc>
      </w:tr>
      <w:tr>
        <w:trPr>
          <w:trHeight w:val="24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FF0FC"/>
          </w:tcPr>
          <w:p>
            <w:pPr>
              <w:spacing w:after="0"/>
              <w:rPr>
                <w:sz w:val="21"/>
                <w:szCs w:val="2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0"/>
                <w:szCs w:val="20"/>
                <w:color w:val="auto"/>
              </w:rPr>
            </w:pPr>
          </w:p>
        </w:tc>
      </w:tr>
      <w:tr>
        <w:trPr>
          <w:trHeight w:val="24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FF0FC"/>
          </w:tcPr>
          <w:p>
            <w:pPr>
              <w:spacing w:after="0"/>
              <w:rPr>
                <w:sz w:val="21"/>
                <w:szCs w:val="2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0"/>
                <w:szCs w:val="20"/>
                <w:color w:val="auto"/>
              </w:rPr>
            </w:pPr>
          </w:p>
        </w:tc>
      </w:tr>
      <w:tr>
        <w:trPr>
          <w:trHeight w:val="243"/>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future undiscounted lease payments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16,908</w:t>
            </w:r>
          </w:p>
        </w:tc>
        <w:tc>
          <w:tcPr>
            <w:tcW w:w="100" w:type="dxa"/>
            <w:vAlign w:val="bottom"/>
            <w:shd w:val="clear" w:color="auto" w:fill="CFF0FC"/>
          </w:tcPr>
          <w:p>
            <w:pPr>
              <w:spacing w:after="0"/>
              <w:rPr>
                <w:sz w:val="21"/>
                <w:szCs w:val="2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(4,818 )</w:t>
            </w:r>
          </w:p>
        </w:tc>
      </w:tr>
      <w:tr>
        <w:trPr>
          <w:trHeight w:val="283"/>
        </w:trPr>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586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18"/>
                <w:szCs w:val="18"/>
                <w:color w:val="auto"/>
              </w:rPr>
            </w:pPr>
          </w:p>
        </w:tc>
      </w:tr>
      <w:tr>
        <w:trPr>
          <w:trHeight w:val="24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12,090</w:t>
            </w:r>
          </w:p>
        </w:tc>
        <w:tc>
          <w:tcPr>
            <w:tcW w:w="10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Capital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8"/>
          <w:szCs w:val="18"/>
          <w:color w:val="auto"/>
        </w:rPr>
        <w:t>The Company’s amended and restated certificate of incorporation authorizes the Company to issue up to 300,000,000 shares of common stock with a par value of $0.0001 per share and 10,000,000 shares of preferred stock with a par value of $0.0001 per share.</w:t>
      </w:r>
    </w:p>
    <w:p>
      <w:pPr>
        <w:spacing w:after="0" w:line="3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Common stockholders are entitled to dividends when and if declared by the Company’s Board of Directors and after any preferred share dividends are fully paid. The holder of each share of common stock is entitled to one vote. As of September 30, 2023, no dividends have been declared.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reserved common stock, on an as-converted basis, for future issuance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40" w:type="dxa"/>
            <w:vAlign w:val="bottom"/>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2000" w:type="dxa"/>
            <w:vAlign w:val="bottom"/>
          </w:tcPr>
          <w:p>
            <w:pPr>
              <w:jc w:val="right"/>
              <w:ind w:right="39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r>
      <w:tr>
        <w:trPr>
          <w:trHeight w:val="250"/>
        </w:trPr>
        <w:tc>
          <w:tcPr>
            <w:tcW w:w="4940" w:type="dxa"/>
            <w:vAlign w:val="bottom"/>
          </w:tcPr>
          <w:p>
            <w:pPr>
              <w:spacing w:after="0"/>
              <w:rPr>
                <w:sz w:val="21"/>
                <w:szCs w:val="21"/>
                <w:color w:val="auto"/>
              </w:rPr>
            </w:pPr>
          </w:p>
        </w:tc>
        <w:tc>
          <w:tcPr>
            <w:tcW w:w="39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228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issued and outstanding</w:t>
            </w:r>
          </w:p>
        </w:tc>
        <w:tc>
          <w:tcPr>
            <w:tcW w:w="1880" w:type="dxa"/>
            <w:vAlign w:val="bottom"/>
            <w:shd w:val="clear" w:color="auto" w:fill="CFF0FC"/>
          </w:tcPr>
          <w:p>
            <w:pPr>
              <w:spacing w:after="0"/>
              <w:rPr>
                <w:sz w:val="21"/>
                <w:szCs w:val="21"/>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7,315,216</w:t>
            </w:r>
          </w:p>
        </w:tc>
        <w:tc>
          <w:tcPr>
            <w:tcW w:w="280" w:type="dxa"/>
            <w:vAlign w:val="bottom"/>
            <w:shd w:val="clear" w:color="auto" w:fill="CFF0FC"/>
          </w:tcPr>
          <w:p>
            <w:pPr>
              <w:spacing w:after="0"/>
              <w:rPr>
                <w:sz w:val="21"/>
                <w:szCs w:val="21"/>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5,341,975</w:t>
            </w:r>
          </w:p>
        </w:tc>
        <w:tc>
          <w:tcPr>
            <w:tcW w:w="100" w:type="dxa"/>
            <w:vAlign w:val="bottom"/>
            <w:shd w:val="clear" w:color="auto" w:fill="CFF0FC"/>
          </w:tcPr>
          <w:p>
            <w:pPr>
              <w:spacing w:after="0"/>
              <w:rPr>
                <w:sz w:val="21"/>
                <w:szCs w:val="2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Stock options, authorized for future issuance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867,514</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1,446,872</w:t>
            </w:r>
          </w:p>
        </w:tc>
        <w:tc>
          <w:tcPr>
            <w:tcW w:w="100" w:type="dxa"/>
            <w:vAlign w:val="bottom"/>
          </w:tcPr>
          <w:p>
            <w:pPr>
              <w:spacing w:after="0"/>
              <w:rPr>
                <w:sz w:val="20"/>
                <w:szCs w:val="20"/>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 available for future issuance</w:t>
            </w:r>
          </w:p>
        </w:tc>
        <w:tc>
          <w:tcPr>
            <w:tcW w:w="3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548,932</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402,747</w:t>
            </w:r>
          </w:p>
        </w:tc>
        <w:tc>
          <w:tcPr>
            <w:tcW w:w="100" w:type="dxa"/>
            <w:vAlign w:val="bottom"/>
            <w:shd w:val="clear" w:color="auto" w:fill="CFF0FC"/>
          </w:tcPr>
          <w:p>
            <w:pPr>
              <w:spacing w:after="0"/>
              <w:rPr>
                <w:sz w:val="21"/>
                <w:szCs w:val="2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Restricted stock, issued and outstanding</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156,999</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292,236</w:t>
            </w:r>
          </w:p>
        </w:tc>
        <w:tc>
          <w:tcPr>
            <w:tcW w:w="100" w:type="dxa"/>
            <w:vAlign w:val="bottom"/>
          </w:tcPr>
          <w:p>
            <w:pPr>
              <w:spacing w:after="0"/>
              <w:rPr>
                <w:sz w:val="21"/>
                <w:szCs w:val="21"/>
                <w:color w:val="auto"/>
              </w:rPr>
            </w:pPr>
          </w:p>
        </w:tc>
      </w:tr>
      <w:tr>
        <w:trPr>
          <w:trHeight w:val="277"/>
        </w:trPr>
        <w:tc>
          <w:tcPr>
            <w:tcW w:w="49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CFF0FC"/>
            </w:tcBorders>
            <w:shd w:val="clear" w:color="auto" w:fill="CFF0FC"/>
          </w:tcPr>
          <w:p>
            <w:pPr>
              <w:spacing w:after="0"/>
              <w:rPr>
                <w:sz w:val="24"/>
                <w:szCs w:val="24"/>
                <w:color w:val="auto"/>
              </w:rPr>
            </w:pP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8,888,661</w:t>
            </w:r>
          </w:p>
        </w:tc>
        <w:tc>
          <w:tcPr>
            <w:tcW w:w="280" w:type="dxa"/>
            <w:vAlign w:val="bottom"/>
            <w:tcBorders>
              <w:bottom w:val="single" w:sz="8" w:color="CFF0FC"/>
            </w:tcBorders>
            <w:shd w:val="clear" w:color="auto" w:fill="CFF0FC"/>
          </w:tcPr>
          <w:p>
            <w:pPr>
              <w:spacing w:after="0"/>
              <w:rPr>
                <w:sz w:val="24"/>
                <w:szCs w:val="24"/>
                <w:color w:val="auto"/>
              </w:rPr>
            </w:pP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7,483,830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4940" w:type="dxa"/>
            <w:vAlign w:val="bottom"/>
          </w:tcPr>
          <w:p>
            <w:pPr>
              <w:spacing w:after="0"/>
              <w:rPr>
                <w:sz w:val="24"/>
                <w:szCs w:val="24"/>
                <w:color w:val="auto"/>
              </w:rPr>
            </w:pPr>
          </w:p>
        </w:tc>
        <w:tc>
          <w:tcPr>
            <w:tcW w:w="1880" w:type="dxa"/>
            <w:vAlign w:val="bottom"/>
          </w:tcPr>
          <w:p>
            <w:pPr>
              <w:jc w:val="right"/>
              <w:ind w:right="1010"/>
              <w:spacing w:after="0"/>
              <w:rPr>
                <w:sz w:val="20"/>
                <w:szCs w:val="20"/>
                <w:color w:val="auto"/>
              </w:rPr>
            </w:pPr>
            <w:r>
              <w:rPr>
                <w:rFonts w:ascii="Arial" w:cs="Arial" w:eastAsia="Arial" w:hAnsi="Arial"/>
                <w:sz w:val="18"/>
                <w:szCs w:val="18"/>
                <w:color w:val="auto"/>
              </w:rPr>
              <w:t>12</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94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-504825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-488315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Public Offering</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April 2023, pursuant to a registration statement on Form S-3, the Company issued and sold 5,750,000 shares of common stock at a public offering price of $30.00 per share in an underwritten public offering. The net proceeds to the Company from the offering were approximately $161.8 million, after deducting underwriting discounts and commissions and offering costs of approximately $11.0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2021 Equity Incentive Plan (the “2021 Plan”) provides for an increase of shares on the first day of each fiscal year beginning in 2022 and ending in 2031, equal to the lesser of (i) 5% of the Company’s common stock outstanding at December 31 of the immediately preceding year, or (ii) such number of shares as determined by the Company’s Board of Directors. Effective January 1, 2023, the number of shares of common stock available under the 2021 Plan increased by 1,493,437 shares pursuant to the evergreen provision of the 2021 Plan. As of September 30, 2023, 867,514 shares of common stock remained available for issuance under the 2021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stock-based compensation expense related to the Company’s equity incentive plan and employee stock purchase plan was recorded in the statements of operations and allocated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0"/>
                <w:szCs w:val="20"/>
                <w:color w:val="auto"/>
              </w:rPr>
            </w:pPr>
          </w:p>
        </w:tc>
      </w:tr>
      <w:tr>
        <w:trPr>
          <w:trHeight w:val="250"/>
        </w:trPr>
        <w:tc>
          <w:tcPr>
            <w:tcW w:w="5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r>
      <w:tr>
        <w:trPr>
          <w:trHeight w:val="239"/>
        </w:trPr>
        <w:tc>
          <w:tcPr>
            <w:tcW w:w="5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1"/>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20"/>
                <w:szCs w:val="20"/>
                <w:color w:val="auto"/>
              </w:rPr>
            </w:pPr>
          </w:p>
        </w:tc>
      </w:tr>
      <w:tr>
        <w:trPr>
          <w:trHeight w:val="28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2,731</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September 30, 2023, there was $30.1 million of total unrecognized stock-based compensation expense which is expected to be recognized over a weighted-average period of 2.4 years.</w:t>
      </w:r>
    </w:p>
    <w:p>
      <w:pPr>
        <w:spacing w:after="0" w:line="6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 estimates the fair value of stock options using the Black-Scholes option pricing model and the fair value of these stock options was estimated using the following weighted-average assumptions: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50"/>
        </w:trPr>
        <w:tc>
          <w:tcPr>
            <w:tcW w:w="4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39"/>
        </w:trPr>
        <w:tc>
          <w:tcPr>
            <w:tcW w:w="4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82 %</w:t>
            </w:r>
          </w:p>
        </w:tc>
        <w:tc>
          <w:tcPr>
            <w:tcW w:w="8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96 %</w:t>
            </w:r>
          </w:p>
        </w:tc>
        <w:tc>
          <w:tcPr>
            <w:tcW w:w="2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80 %</w:t>
            </w:r>
          </w:p>
        </w:tc>
        <w:tc>
          <w:tcPr>
            <w:tcW w:w="26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94 %</w:t>
            </w:r>
          </w:p>
        </w:tc>
      </w:tr>
      <w:tr>
        <w:trPr>
          <w:trHeight w:val="242"/>
        </w:trPr>
        <w:tc>
          <w:tcPr>
            <w:tcW w:w="49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4.4 %</w:t>
            </w:r>
          </w:p>
        </w:tc>
        <w:tc>
          <w:tcPr>
            <w:tcW w:w="8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3.6 %</w:t>
            </w:r>
          </w:p>
        </w:tc>
        <w:tc>
          <w:tcPr>
            <w:tcW w:w="2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3.7 %</w:t>
            </w:r>
          </w:p>
        </w:tc>
        <w:tc>
          <w:tcPr>
            <w:tcW w:w="26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3.0 %</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5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fair value of share-based awards granted</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8.81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648"/>
        </w:trPr>
        <w:tc>
          <w:tcPr>
            <w:tcW w:w="490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972"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8"/>
                <w:szCs w:val="18"/>
                <w:b w:val="1"/>
                <w:bCs w:val="1"/>
                <w:color w:val="auto"/>
                <w:w w:val="91"/>
              </w:rPr>
              <w:t>Outstanding Options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Weighted-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Remaining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89"/>
              </w:rPr>
              <w:t>Weighted-</w:t>
            </w:r>
          </w:p>
        </w:tc>
        <w:tc>
          <w:tcPr>
            <w:tcW w:w="13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3"/>
              </w:rPr>
              <w:t>Contractual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Term</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00" w:type="dxa"/>
            <w:vAlign w:val="bottom"/>
          </w:tcPr>
          <w:p>
            <w:pPr>
              <w:spacing w:after="0"/>
              <w:rPr>
                <w:sz w:val="20"/>
                <w:szCs w:val="20"/>
                <w:color w:val="auto"/>
              </w:rPr>
            </w:pPr>
          </w:p>
        </w:tc>
        <w:tc>
          <w:tcPr>
            <w:tcW w:w="1440" w:type="dxa"/>
            <w:vAlign w:val="bottom"/>
          </w:tcPr>
          <w:p>
            <w:pPr>
              <w:ind w:left="860"/>
              <w:spacing w:after="0"/>
              <w:rPr>
                <w:sz w:val="20"/>
                <w:szCs w:val="20"/>
                <w:color w:val="auto"/>
              </w:rPr>
            </w:pPr>
            <w:r>
              <w:rPr>
                <w:rFonts w:ascii="Arial" w:cs="Arial" w:eastAsia="Arial" w:hAnsi="Arial"/>
                <w:sz w:val="18"/>
                <w:szCs w:val="18"/>
                <w:b w:val="1"/>
                <w:bCs w:val="1"/>
                <w:color w:val="auto"/>
                <w:w w:val="93"/>
              </w:rPr>
              <w:t>Shares</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89"/>
              </w:rPr>
              <w:t>Exercise</w:t>
            </w:r>
          </w:p>
        </w:tc>
        <w:tc>
          <w:tcPr>
            <w:tcW w:w="120" w:type="dxa"/>
            <w:vAlign w:val="bottom"/>
          </w:tcPr>
          <w:p>
            <w:pPr>
              <w:spacing w:after="0"/>
              <w:rPr>
                <w:sz w:val="20"/>
                <w:szCs w:val="20"/>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(Years)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December 31, 2022</w:t>
            </w:r>
          </w:p>
        </w:tc>
        <w:tc>
          <w:tcPr>
            <w:tcW w:w="144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5,341,975</w:t>
            </w:r>
          </w:p>
        </w:tc>
        <w:tc>
          <w:tcPr>
            <w:tcW w:w="3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3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21"/>
                <w:szCs w:val="21"/>
                <w:color w:val="auto"/>
              </w:rPr>
            </w:pPr>
          </w:p>
        </w:tc>
      </w:tr>
      <w:tr>
        <w:trPr>
          <w:trHeight w:val="237"/>
        </w:trPr>
        <w:tc>
          <w:tcPr>
            <w:tcW w:w="534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2,304,295</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10.54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(99,554 )</w:t>
            </w:r>
          </w:p>
        </w:tc>
        <w:tc>
          <w:tcPr>
            <w:tcW w:w="16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340" w:type="dxa"/>
            <w:vAlign w:val="bottom"/>
            <w:gridSpan w:val="2"/>
          </w:tcPr>
          <w:p>
            <w:pPr>
              <w:ind w:left="20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(231,500 )</w:t>
            </w:r>
          </w:p>
        </w:tc>
        <w:tc>
          <w:tcPr>
            <w:tcW w:w="160" w:type="dxa"/>
            <w:vAlign w:val="bottom"/>
          </w:tcPr>
          <w:p>
            <w:pPr>
              <w:spacing w:after="0"/>
              <w:rPr>
                <w:sz w:val="21"/>
                <w:szCs w:val="21"/>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September 30, 2023</w:t>
            </w:r>
          </w:p>
        </w:tc>
        <w:tc>
          <w:tcPr>
            <w:tcW w:w="144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7,315,216</w:t>
            </w: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1"/>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Exercisable, September 30, 2023</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3,037,500</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647"/>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The following table summarizes the restricted stock activity:</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2"/>
        </w:trPr>
        <w:tc>
          <w:tcPr>
            <w:tcW w:w="3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Restricted</w:t>
            </w:r>
          </w:p>
        </w:tc>
        <w:tc>
          <w:tcPr>
            <w:tcW w:w="120" w:type="dxa"/>
            <w:vAlign w:val="bottom"/>
          </w:tcPr>
          <w:p>
            <w:pPr>
              <w:spacing w:after="0"/>
              <w:rPr>
                <w:sz w:val="18"/>
                <w:szCs w:val="18"/>
                <w:color w:val="auto"/>
              </w:rPr>
            </w:pPr>
          </w:p>
        </w:tc>
        <w:tc>
          <w:tcPr>
            <w:tcW w:w="1200" w:type="dxa"/>
            <w:vAlign w:val="bottom"/>
          </w:tcPr>
          <w:p>
            <w:pPr>
              <w:jc w:val="center"/>
              <w:ind w:left="190"/>
              <w:spacing w:after="0"/>
              <w:rPr>
                <w:sz w:val="20"/>
                <w:szCs w:val="20"/>
                <w:color w:val="auto"/>
              </w:rPr>
            </w:pPr>
            <w:r>
              <w:rPr>
                <w:rFonts w:ascii="Arial" w:cs="Arial" w:eastAsia="Arial" w:hAnsi="Arial"/>
                <w:sz w:val="18"/>
                <w:szCs w:val="18"/>
                <w:b w:val="1"/>
                <w:bCs w:val="1"/>
                <w:color w:val="auto"/>
                <w:w w:val="95"/>
              </w:rPr>
              <w:t>Grant Date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Stock Awards</w:t>
            </w:r>
          </w:p>
        </w:tc>
        <w:tc>
          <w:tcPr>
            <w:tcW w:w="120" w:type="dxa"/>
            <w:vAlign w:val="bottom"/>
          </w:tcPr>
          <w:p>
            <w:pPr>
              <w:spacing w:after="0"/>
              <w:rPr>
                <w:sz w:val="20"/>
                <w:szCs w:val="20"/>
                <w:color w:val="auto"/>
              </w:rPr>
            </w:pPr>
          </w:p>
        </w:tc>
        <w:tc>
          <w:tcPr>
            <w:tcW w:w="120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Fair Value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December 31, 2022</w:t>
            </w: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6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292,236</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4.04</w:t>
            </w:r>
          </w:p>
        </w:tc>
        <w:tc>
          <w:tcPr>
            <w:tcW w:w="100" w:type="dxa"/>
            <w:vAlign w:val="bottom"/>
            <w:shd w:val="clear" w:color="auto" w:fill="CFF0FC"/>
          </w:tcPr>
          <w:p>
            <w:pPr>
              <w:spacing w:after="0"/>
              <w:rPr>
                <w:sz w:val="21"/>
                <w:szCs w:val="21"/>
                <w:color w:val="auto"/>
              </w:rPr>
            </w:pPr>
          </w:p>
        </w:tc>
      </w:tr>
      <w:tr>
        <w:trPr>
          <w:trHeight w:val="237"/>
        </w:trPr>
        <w:tc>
          <w:tcPr>
            <w:tcW w:w="534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Released</w:t>
            </w: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20" w:type="dxa"/>
            <w:vAlign w:val="bottom"/>
            <w:gridSpan w:val="5"/>
            <w:shd w:val="clear" w:color="auto" w:fill="CFF0FC"/>
          </w:tcPr>
          <w:p>
            <w:pPr>
              <w:jc w:val="right"/>
              <w:ind w:right="100"/>
              <w:spacing w:after="0"/>
              <w:rPr>
                <w:sz w:val="20"/>
                <w:szCs w:val="20"/>
                <w:color w:val="auto"/>
              </w:rPr>
            </w:pPr>
            <w:r>
              <w:rPr>
                <w:rFonts w:ascii="Arial" w:cs="Arial" w:eastAsia="Arial" w:hAnsi="Arial"/>
                <w:sz w:val="18"/>
                <w:szCs w:val="18"/>
                <w:color w:val="auto"/>
              </w:rPr>
              <w:t>(135,237 )</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4.02</w:t>
            </w:r>
          </w:p>
        </w:tc>
        <w:tc>
          <w:tcPr>
            <w:tcW w:w="100" w:type="dxa"/>
            <w:vAlign w:val="bottom"/>
            <w:shd w:val="clear" w:color="auto" w:fill="CFF0FC"/>
          </w:tcPr>
          <w:p>
            <w:pPr>
              <w:spacing w:after="0"/>
              <w:rPr>
                <w:sz w:val="21"/>
                <w:szCs w:val="21"/>
                <w:color w:val="auto"/>
              </w:rPr>
            </w:pPr>
          </w:p>
        </w:tc>
      </w:tr>
      <w:tr>
        <w:trPr>
          <w:trHeight w:val="237"/>
        </w:trPr>
        <w:tc>
          <w:tcPr>
            <w:tcW w:w="5340" w:type="dxa"/>
            <w:vAlign w:val="bottom"/>
            <w:gridSpan w:val="2"/>
          </w:tcPr>
          <w:p>
            <w:pPr>
              <w:ind w:left="200"/>
              <w:spacing w:after="0"/>
              <w:rPr>
                <w:sz w:val="20"/>
                <w:szCs w:val="20"/>
                <w:color w:val="auto"/>
              </w:rPr>
            </w:pPr>
            <w:r>
              <w:rPr>
                <w:rFonts w:ascii="Arial" w:cs="Arial" w:eastAsia="Arial" w:hAnsi="Arial"/>
                <w:sz w:val="18"/>
                <w:szCs w:val="18"/>
                <w:color w:val="auto"/>
              </w:rPr>
              <w:t>Forfeited</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7"/>
        </w:trPr>
        <w:tc>
          <w:tcPr>
            <w:tcW w:w="53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Balance, September 30, 2023</w:t>
            </w:r>
          </w:p>
        </w:tc>
        <w:tc>
          <w:tcPr>
            <w:tcW w:w="8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156,999</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-2228215</wp:posOffset>
            </wp:positionV>
            <wp:extent cx="76835"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its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fair value of these agreements is not material.</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9. Net Loss Per Share</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Basic and diluted net loss per share is computed by dividing net loss by the weighted-average number of common stock outstanding for the period. For periods in which the Company generated a net loss, the Company does not include the potential impact of dilutive securities in diluted net loss per share, as the impact of these items is anti-dilutive.</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equity instruments were excluded from the calculation of diluted net loss per share because their effect would have been anti-dilutive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80" w:type="dxa"/>
            <w:vAlign w:val="bottom"/>
          </w:tcPr>
          <w:p>
            <w:pPr>
              <w:spacing w:after="0"/>
              <w:rPr>
                <w:sz w:val="20"/>
                <w:szCs w:val="20"/>
                <w:color w:val="auto"/>
              </w:rPr>
            </w:pPr>
          </w:p>
        </w:tc>
        <w:tc>
          <w:tcPr>
            <w:tcW w:w="2380" w:type="dxa"/>
            <w:vAlign w:val="bottom"/>
            <w:tcBorders>
              <w:bottom w:val="single" w:sz="8" w:color="auto"/>
            </w:tcBorders>
            <w:gridSpan w:val="3"/>
          </w:tcPr>
          <w:p>
            <w:pPr>
              <w:ind w:left="1180"/>
              <w:spacing w:after="0"/>
              <w:rPr>
                <w:sz w:val="20"/>
                <w:szCs w:val="20"/>
                <w:color w:val="auto"/>
              </w:rPr>
            </w:pPr>
            <w:r>
              <w:rPr>
                <w:rFonts w:ascii="Arial" w:cs="Arial" w:eastAsia="Arial" w:hAnsi="Arial"/>
                <w:sz w:val="18"/>
                <w:szCs w:val="18"/>
                <w:b w:val="1"/>
                <w:bCs w:val="1"/>
                <w:color w:val="auto"/>
                <w:w w:val="95"/>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680" w:type="dxa"/>
            <w:vAlign w:val="bottom"/>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issued and outstanding</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7,315,216</w:t>
            </w: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5,189,839</w:t>
            </w: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Estimated shares issuable under the employee stock purchase plan</w:t>
            </w:r>
          </w:p>
        </w:tc>
        <w:tc>
          <w:tcPr>
            <w:tcW w:w="1620" w:type="dxa"/>
            <w:vAlign w:val="bottom"/>
          </w:tcPr>
          <w:p>
            <w:pPr>
              <w:jc w:val="right"/>
              <w:spacing w:after="0"/>
              <w:rPr>
                <w:sz w:val="20"/>
                <w:szCs w:val="20"/>
                <w:color w:val="auto"/>
              </w:rPr>
            </w:pPr>
            <w:r>
              <w:rPr>
                <w:rFonts w:ascii="Arial" w:cs="Arial" w:eastAsia="Arial" w:hAnsi="Arial"/>
                <w:sz w:val="18"/>
                <w:szCs w:val="18"/>
                <w:color w:val="auto"/>
              </w:rPr>
              <w:t>108,082</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97,459</w:t>
            </w:r>
          </w:p>
        </w:tc>
        <w:tc>
          <w:tcPr>
            <w:tcW w:w="100" w:type="dxa"/>
            <w:vAlign w:val="bottom"/>
          </w:tcPr>
          <w:p>
            <w:pPr>
              <w:spacing w:after="0"/>
              <w:rPr>
                <w:sz w:val="20"/>
                <w:szCs w:val="20"/>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stock, issued and outstanding</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156,999</w:t>
            </w:r>
          </w:p>
        </w:tc>
        <w:tc>
          <w:tcPr>
            <w:tcW w:w="2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7,580,297</w:t>
            </w: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5,639,563</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02124"/>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 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are a clinical-stage biopharmaceutical company focused on the discovery and development of oral covalent small molecule drugs to treat patients with genetically defined cancers and metabolic diseases. A covalent small molecule drug is a synthetic compound that forms a permanent bond to its target protein and offers a number of potential advantages over conventional non-covalent drugs, including greater target selectivity, lower drug exposure, and the ability to drive a deeper, more durable response. Leveraging our extensive expertise in covalent binding chemistry and development, we built our proprietary FUSION™ System discovery platform to advance a pipeline of novel covalent small molecule product candidates. Our goal is to utilize our capabilities and FUSION</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System to become the leader in developing covalent small molecules to maximize the depth and durability of clinical benefit when treating various diseases. To date we have announced two clinical development candidates, BMF-219 and BMF-500.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BMF-219</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Our lead product candidate, BMF-219, is designed to be an orally bioavailable, potent, and selective covalent inhibitor of menin, a ubiquitously expressed scaffold protein that functions in histone modification and epigenetic gene regulation to impact multiple cellular processes including cell cycle control, apoptosis, and DNA damage repair. Menin plays a key role in beta-cell proliferation and function, as previously demonstrated through increased beta-cell mass generation in </w:t>
      </w:r>
      <w:r>
        <w:rPr>
          <w:rFonts w:ascii="Arial" w:cs="Arial" w:eastAsia="Arial" w:hAnsi="Arial"/>
          <w:sz w:val="18"/>
          <w:szCs w:val="18"/>
          <w:i w:val="1"/>
          <w:iCs w:val="1"/>
          <w:color w:val="auto"/>
        </w:rPr>
        <w:t>Men1</w:t>
      </w:r>
      <w:r>
        <w:rPr>
          <w:rFonts w:ascii="Arial" w:cs="Arial" w:eastAsia="Arial" w:hAnsi="Arial"/>
          <w:sz w:val="18"/>
          <w:szCs w:val="18"/>
          <w:color w:val="auto"/>
        </w:rPr>
        <w:t xml:space="preserve"> knockout mice (Ja et al.,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BMF-219 in Oncology</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current cleared INDs for BMF-219 in oncology relate to COVALENT-101 (patients with subtypes of leukemia and lymphoma and COVALENT-102 (patients with KRAS solid tumors).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January 2022, we announced that we had initiated dosing in COVALENT-101, a Phase 1 clinical trial to explore the safety and efficacy of BMF-219 in patients with relapsed/refractory AML and acute lymphoblastic leukemia (ALL), including those with MLL/KMT2A gene arrangements or NPM1 mutations. In 2022, we amended the IND to initiate additional cohorts in the COVALENT-101 study to explore the potential utility of BMF-219 across a range of menin-dependent hematologic malignancies including MM, DLBCL, and CLL.</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October 2022, we announced the initiation of a Phase 1/1b clinical trial of BMF-219 (COVALENT-102) in patients with unresectable, locally advanced, or metastatic non-small cell lung cancer (NSCLC), colorectal cancer (CRC) and pancreatic ductal adenocarcinoma (PDAC) with an activating KRAS mutation.</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July 2023, we also reported initial topline data from ongoing Phase 1 clinical trial (COVALENT-101) showcasing initial responses in relapsed/refractory AML patients with menin-dependent mutations. New data revealed 2 Complete Responses (CRs) out of 5 relapsed/refractory AML patients carrying menin-dependent mutations treated at Dose Level 4. BMF-219, the first and only investigational covalent small-molecule menin inhibitor in clinical development, was generally well tolerated with no dose-limiting toxicities observed, and no QTc prolongation reported. Dose Level 4 exposure correlates with initial activity seen in BMF-219’s preclinical studies. Safety profile of BMF-219 supports further dose escalation. Enrollment for Dose Level 5 has commenced to explore the optimal biological dose.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BMF-219 in Diabetes Mellitus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current cleared INDs for BMF-219 in diabetes mellitus relate to COVALENT-111 (patients with type 2 diabetes mellitus) and COVALENT-112 (patients with type 1 diabetes mellitus).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Loss of functional beta cell mass is a core component of the natural history in both types of diabetes — type 1 diabetes mellitus (mediated by autoimmune dysfunction) and type 2 diabetes mellitus (mediated by metabolic dysfunction). Beta cells are found in the pancreas and are responsible for the synthesis and secretion of insulin, a hormone that helps regulate the body’s capacity to absorb, metabolize, and convert glucose for energy. In patients with diabetes, beta cell mass and function are diminished, leading 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1" w:name="page22"/>
    <w:bookmarkEnd w:id="21"/>
    <w:p>
      <w:pPr>
        <w:ind w:right="120"/>
        <w:spacing w:after="0" w:line="311" w:lineRule="auto"/>
        <w:rPr>
          <w:sz w:val="20"/>
          <w:szCs w:val="20"/>
          <w:color w:val="auto"/>
        </w:rPr>
      </w:pPr>
      <w:r>
        <w:rPr>
          <w:rFonts w:ascii="Arial" w:cs="Arial" w:eastAsia="Arial" w:hAnsi="Arial"/>
          <w:sz w:val="16"/>
          <w:szCs w:val="16"/>
          <w:color w:val="auto"/>
        </w:rPr>
        <w:t>insufficient insulin secretion and hyperglycemia. Menin is thought to act as a brake on beta cell turnover / beta cell growth, supporting the notion that inhibition of menin could lead to the regeneration of normal healthy beta cells. Based on these and other scientific findings, we are exploring the potential for menin inhibition as a possible therapeutic approach to improve beta cell health and mass, and thus potentially treat an underlying driver of diabetes.</w:t>
      </w:r>
    </w:p>
    <w:p>
      <w:pPr>
        <w:spacing w:after="0" w:line="14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October 2022, we announced completion of the Phase 1 portion of COVALENT-111, a Phase 1/2 clinical trial of BMF-219 in healthy volunteers and adults with type 2 diabetes mellitus in Canada. In December 2022, we announced FDA clearance of the IND for BMF-219 in type 2 diabetes mellitus, allowing us to expand the COVALENT-111 study to sites in the United States. In January 2023, we announced the dosing of the first patient with type 2 diabetes mellitus in the United States.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March 2023, we reported initial clinical data from the Phase 2 portion of COVALENT-111. 40 patients were enrolled in the first three cohorts of COVALENT-111, with the first cohort (Cohort 1) comprising 16 healthy volunteers (HVs); 12 HVs were exposed to 100 mg BMF-219 once daily (QD) for two weeks and 4 HVs were exposed to placebo. In Cohorts 2 and 3, T2DM patients (n=12 per cohort with 10 patients treated with BMF-219 and 2 patients on placebo) received BMF-219 once daily for 4 weeks with or without food, respectively. In the two active treatment cohorts, enrolled patients had T2DM diagnosed for </w:t>
      </w:r>
      <w:r>
        <w:rPr>
          <w:rFonts w:ascii="Arial" w:cs="Arial" w:eastAsia="Arial" w:hAnsi="Arial"/>
          <w:sz w:val="16"/>
          <w:szCs w:val="16"/>
          <w:u w:val="single" w:color="auto"/>
          <w:color w:val="auto"/>
        </w:rPr>
        <w:t>&lt;</w:t>
      </w:r>
      <w:r>
        <w:rPr>
          <w:rFonts w:ascii="Arial" w:cs="Arial" w:eastAsia="Arial" w:hAnsi="Arial"/>
          <w:sz w:val="16"/>
          <w:szCs w:val="16"/>
          <w:color w:val="auto"/>
        </w:rPr>
        <w:t>15 years, were between the ages of 18 to 65, had been treated with lifestyle management together with up to three anti-diabetic medications, with a stable dose for at least two months prior to screening, had a BMI ≥25 and ≤40 kg/m2, and had poorly controlled diabetes (HbA1c ≥7.0% and ≤10%). At baseline, diabetic patients enrolled in the two active treatment cohorts, Cohorts 2 and 3, had a median A1c of 7.9 and 7.8%, respectively.</w:t>
      </w:r>
    </w:p>
    <w:p>
      <w:pPr>
        <w:spacing w:after="0" w:line="166"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Active treatment Cohort 3 (BMF-219 without food) compared to Cohort 2 (BMF-219 with food) showed a positive dose-response pharmacokinetics relationship demonstrated by about a threefold median increase in C</w:t>
      </w:r>
      <w:r>
        <w:rPr>
          <w:rFonts w:ascii="Arial" w:cs="Arial" w:eastAsia="Arial" w:hAnsi="Arial"/>
          <w:sz w:val="23"/>
          <w:szCs w:val="23"/>
          <w:color w:val="auto"/>
          <w:vertAlign w:val="subscript"/>
        </w:rPr>
        <w:t>max</w:t>
      </w:r>
      <w:r>
        <w:rPr>
          <w:rFonts w:ascii="Arial" w:cs="Arial" w:eastAsia="Arial" w:hAnsi="Arial"/>
          <w:sz w:val="17"/>
          <w:szCs w:val="17"/>
          <w:color w:val="auto"/>
        </w:rPr>
        <w:t xml:space="preserve"> (ng/ml) and AUC (ng x h/ml) when BMF-219 was administered without food. This increase in BMF-219 systemic exposure was in line with the differences seen in the response rates between the two cohorts. Specifically, the change in HbA1c at four weeks for Cohort 3 patients (n=9) (the active group denominator in Cohort 3 is 9 because the week 4 sample for one patient was unable to process) on BMF-219 (100 mg, without food) showed a median A1c reduction of -1.0% and a 89% (8/9) response rate at four weeks, with 78% of subjects achieving a </w:t>
      </w:r>
      <w:r>
        <w:rPr>
          <w:rFonts w:ascii="Arial" w:cs="Arial" w:eastAsia="Arial" w:hAnsi="Arial"/>
          <w:sz w:val="17"/>
          <w:szCs w:val="17"/>
          <w:u w:val="single" w:color="auto"/>
          <w:color w:val="auto"/>
        </w:rPr>
        <w:t>&gt;</w:t>
      </w:r>
      <w:r>
        <w:rPr>
          <w:rFonts w:ascii="Arial" w:cs="Arial" w:eastAsia="Arial" w:hAnsi="Arial"/>
          <w:sz w:val="17"/>
          <w:szCs w:val="17"/>
          <w:color w:val="auto"/>
        </w:rPr>
        <w:t xml:space="preserve">0.5% reduction in A1c and 56% achieving a </w:t>
      </w:r>
      <w:r>
        <w:rPr>
          <w:rFonts w:ascii="Arial" w:cs="Arial" w:eastAsia="Arial" w:hAnsi="Arial"/>
          <w:sz w:val="17"/>
          <w:szCs w:val="17"/>
          <w:u w:val="single" w:color="auto"/>
          <w:color w:val="auto"/>
        </w:rPr>
        <w:t>&gt;</w:t>
      </w:r>
      <w:r>
        <w:rPr>
          <w:rFonts w:ascii="Arial" w:cs="Arial" w:eastAsia="Arial" w:hAnsi="Arial"/>
          <w:sz w:val="17"/>
          <w:szCs w:val="17"/>
          <w:color w:val="auto"/>
        </w:rPr>
        <w:t xml:space="preserve">1.0% reduction in A1c. Cohort 2 patients (n=10) on BMF-219 (100 mg, with food) showed a median A1c reduction of -0.3% and a 70% (7/10) response rate at 4 weeks, with 30% of subjects achieving a </w:t>
      </w:r>
      <w:r>
        <w:rPr>
          <w:rFonts w:ascii="Arial" w:cs="Arial" w:eastAsia="Arial" w:hAnsi="Arial"/>
          <w:sz w:val="17"/>
          <w:szCs w:val="17"/>
          <w:u w:val="single" w:color="auto"/>
          <w:color w:val="auto"/>
        </w:rPr>
        <w:t>&gt;</w:t>
      </w:r>
      <w:r>
        <w:rPr>
          <w:rFonts w:ascii="Arial" w:cs="Arial" w:eastAsia="Arial" w:hAnsi="Arial"/>
          <w:sz w:val="17"/>
          <w:szCs w:val="17"/>
          <w:color w:val="auto"/>
        </w:rPr>
        <w:t xml:space="preserve">0.5% to </w:t>
      </w:r>
      <w:r>
        <w:rPr>
          <w:rFonts w:ascii="Arial" w:cs="Arial" w:eastAsia="Arial" w:hAnsi="Arial"/>
          <w:sz w:val="17"/>
          <w:szCs w:val="17"/>
          <w:u w:val="single" w:color="auto"/>
          <w:color w:val="auto"/>
        </w:rPr>
        <w:t>&lt;</w:t>
      </w:r>
      <w:r>
        <w:rPr>
          <w:rFonts w:ascii="Arial" w:cs="Arial" w:eastAsia="Arial" w:hAnsi="Arial"/>
          <w:sz w:val="17"/>
          <w:szCs w:val="17"/>
          <w:color w:val="auto"/>
        </w:rPr>
        <w:t>1.0% reduction in A1c. Placebo patients (n=4) showed a median and mean A1c reduction between -0.1% and -0.15%.</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reported on the tolerability profile of BMF-219 observed in Cohorts 1, 2, and 3 of COVALENT-111. BMF-219 was generally well tolerated; all patients completed the four-week treatment, and all patients continue in follow-up to assess the durability of the treatment effect. There were no dose reductions, serious adverse events, or severe adverse events. In the active treatment Cohorts 2 and 3 (100 mg QD, n=24) 7 of 20 patients treated with BMF-219 showed mild (Grade 1) Treatment Emergent AEs (TEAEs), 1 of 20 patients treated with BMF-219 showed a moderate (Grade 2) TEAE and 2 of 4 patients treated with placebo showed mild (Grade 1) TEAEs. No patients showed symptomatic hypoglycemia and no other TEAEs were observed. In the healthy volunteer (HV) Cohort 1 (100 mg QD, n=16), 2 of 12 subjects treated with BMF-219 and 1 of 4 subjects treated with placebo showed mild (Grade 1) TEAEs. No other TEAEs were observed.</w:t>
      </w:r>
    </w:p>
    <w:p>
      <w:pPr>
        <w:spacing w:after="0" w:line="19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June 2023, we presented additional clinical data from the first two cohorts of patients with T2D enrolled in the Phase 2 portion of COVALENT-111. At Week 12, eight weeks after the last dose of BMF-219, patients who received BMF-219 in Cohort 2 and 3 had a mean HbA1c reduction of 0.1% and 1.0%, respectively. Specifically in Cohort 3 (100 mg BMF-219 QD without food for 4 weeks), 50% of patients (n=5/10) saw a continued improvement in HbA1c with a mean reduction in HbA1c of 1.49% at Week 12, compared to the mean reduction of 0.9% at the end of the dosing period at Week 4 (an additional 62% HbA1c reduction). 60% (n=6/10) of Cohort 3 patients achieved an HbA1c of 7% or below at the end of Week 12, compared to 30% (n=3/10) at the end of dosing period (Week 4) and 10% (n=1/10) at the end of Week 1. The average C-peptide expression for patients in Cohort 3 increased through Week</w:t>
      </w:r>
    </w:p>
    <w:p>
      <w:pPr>
        <w:spacing w:after="0" w:line="4" w:lineRule="exact"/>
        <w:rPr>
          <w:sz w:val="20"/>
          <w:szCs w:val="20"/>
          <w:color w:val="auto"/>
        </w:rPr>
      </w:pPr>
    </w:p>
    <w:p>
      <w:pPr>
        <w:ind w:right="160" w:firstLine="8"/>
        <w:spacing w:after="0" w:line="253"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similar increase in HOMA-B was observed, stabilizing at Week 8. As measured by continuous glucose monitoring (CGM), 7 of 10 (70%) of patients maintained or improved time in range while off treatment (between Week 4 and Week 12). As measured by CGM, 60% (n=6/10) of Cohort 2 patients maintained or improved time in range while off treatment (between Week 4 and Week 12). Placebo patients (n=4) in Cohorts 2 and 3 showed a mean HbA1c increase of 0.10% at Week 12. HVs in Cohort 1 showed minimal mean change (-0.1% to 0.1%) in HbA1c during 14 days of BMF-219 treatment and 6 weeks of follow-up.</w:t>
      </w:r>
    </w:p>
    <w:p>
      <w:pPr>
        <w:spacing w:after="0" w:line="1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Tolerability data during the off-treatment period was also presented. During the Week 4 to Week 12 off-treatment period, no severe or serious TEAEs were noted.</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Dosing of patients in the 200 mg without food cohort was recently completed and is now in the follow-up period. The 200 mg with food cohort led to an increase in mild to moderate nausea compared to 200 mg without food. This cohort will be transitioned to 100 mg BID dosing. No other clinical symptoms or clinical concerns were observed in this dose level.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spacing w:after="0" w:line="290" w:lineRule="auto"/>
        <w:rPr>
          <w:sz w:val="20"/>
          <w:szCs w:val="20"/>
          <w:color w:val="auto"/>
        </w:rPr>
      </w:pPr>
      <w:r>
        <w:rPr>
          <w:rFonts w:ascii="Arial" w:cs="Arial" w:eastAsia="Arial" w:hAnsi="Arial"/>
          <w:sz w:val="16"/>
          <w:szCs w:val="16"/>
          <w:color w:val="auto"/>
        </w:rPr>
        <w:t xml:space="preserve">In September 2023, we announced FDA and Health Canada clearance of the expansion cohorts of the ongoing Phase 2 clinical trial (COVALENT-111) in type 2 diabetes mellitus, allowing us to evaluate BMF-219, administered at 100 mg and 200 mg, with dosing durations up to 12 weeks in type 2 diabetes mellitus patients. The expansion portion will consist of approximately 300 patients. We also provided a high-level update on a total of 32 type 2 diabetes mellitus patients dosed for four weeks at 100 or 200 mg to date (10 active patients per arm, with dose levels 100 mg with food, 100 mg without (w/o) food, 200 mg w/o food, and 200 mg with food (n=2)). Compared to baseline, 84% of all patients dosed for four weeks with BMF-219 (n=32) in the escalation portion of COVALENT-111 showed a reduction in HbA1c at Week 4 and 74% at Week 12, two months after the final dose of BMF-219. </w:t>
      </w:r>
      <w:r>
        <w:rPr>
          <w:rFonts w:ascii="Arial" w:cs="Arial" w:eastAsia="Arial" w:hAnsi="Arial"/>
          <w:sz w:val="16"/>
          <w:szCs w:val="16"/>
          <w:color w:val="222222"/>
        </w:rPr>
        <w:t>During the 4-week</w:t>
      </w:r>
      <w:r>
        <w:rPr>
          <w:rFonts w:ascii="Arial" w:cs="Arial" w:eastAsia="Arial" w:hAnsi="Arial"/>
          <w:sz w:val="16"/>
          <w:szCs w:val="16"/>
          <w:color w:val="auto"/>
        </w:rPr>
        <w:t xml:space="preserve"> </w:t>
      </w:r>
      <w:r>
        <w:rPr>
          <w:rFonts w:ascii="Arial" w:cs="Arial" w:eastAsia="Arial" w:hAnsi="Arial"/>
          <w:sz w:val="16"/>
          <w:szCs w:val="16"/>
          <w:color w:val="222222"/>
        </w:rPr>
        <w:t>dosing period, BMF-219 was generally well tolerated; there were no dose reductions, dose discontinuations, or severe or serious adverse events. Also, during the off-treatment period (Week 4 to Week 12), no severe or serious treatment emergent adverse events were noted.</w:t>
      </w:r>
    </w:p>
    <w:p>
      <w:pPr>
        <w:spacing w:after="0" w:line="16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222222"/>
        </w:rPr>
        <w:t>In October 2023, we announced FDA clearance of the IND for BMF-219 in type 1 diabetes mellitus, allowing us to initiate a Phase 2 clinical trial in adults with type 1 diabetes mellitus (COVALENT-112) at two oral dose levels, 100 mg and 200 mg unfed, for 12-weeks of treatment followed by a 40 week off-treatment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BMF-500</w:t>
      </w:r>
    </w:p>
    <w:p>
      <w:pPr>
        <w:spacing w:after="0" w:line="23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Beyond BMF-219, we are utilizing our novel FUSION</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System to pioneer covalent treatments against other high-value genetic drivers of disease. In May 2022, we announced the nomination of our second development candidate, BMF-500, a third-generation covalent inhibitor of activating mutations of the FMS-like tyrosine kinase 3 (FLT3), which are the most frequent genetic alteration in AML and are associated with poor prognosis. In December 2022, we presented initial preclinical data at ASH demonstrating BMF-500’s picomolar affinity to activating FLT3 mutations including FLT3-ITD and various tyrosine kinase domain (TKD) mutations, multi-fold higher potency and increased cytotoxicity than commercially available non-covalent FLT3 inhibitor gilteritinib, as well as complete tumor regression in mouse models of FLT3-ITD acute myeloid leukemia (AML) and maintenance of effect without continued exposure. In May 2023, we announced FDA clearance of our IND to study BMF-500 in a Phase 1 study (COVALENT-103) examining safety and efficacy in patients with relapsed or refractory acute leukemia with FLT3 wild-type and FLT3 mutations, including those with MLLr/NPM1 mutations. In October 2023, we announced the first patient has been dosed with BMF-500 in relapsed or refractory acute leukemia.</w:t>
      </w:r>
    </w:p>
    <w:p>
      <w:pPr>
        <w:spacing w:after="0" w:line="6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Since commencing operations in 2017, we have devoted substantially all of our efforts and financial resources to conducting research and development activities, including drug discovery and preclinical studies, establishing and maintaining our intellectual property portfolio, the manufacturing of clinical and research material, organizing and staffing our company, business planning, raising capital and providing general and administrative support for these operations. We have not generated any revenue from product sales and, as a result, we have never been profitable and have incurred net losses since commencement of our operations.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2023, we had an accumulated deficit of $213.9 million. We incurred net losses of $82.4 million and $56.5 million for the nine months ended September 30, 2023 and 2022, respectively. We expect to continue to incur significant expenses and increasing operating losses for the foreseeable future, and our net losses may fluctuate significantly from period to period, depending on the timing of and expenditures on our planned research and development activities.</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expect to generate revenue from product sales unless and until we obtain regulatory approval for and commercialize a product candidate, and we cannot assure you that we will ever generate significant revenue or profits. We expect that our expenses will continue to increase for the foreseeable future. We expect to continue to incur significant losses for the foreseeable future, and we expect these losses to increase substantially if and as we:</w:t>
      </w:r>
    </w:p>
    <w:p>
      <w:pPr>
        <w:spacing w:after="0" w:line="4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our research and development efforts and submit additional INDs;</w:t>
      </w:r>
    </w:p>
    <w:p>
      <w:pPr>
        <w:spacing w:after="0" w:line="117" w:lineRule="exact"/>
        <w:rPr>
          <w:rFonts w:ascii="Arial" w:cs="Arial" w:eastAsia="Arial" w:hAnsi="Arial"/>
          <w:sz w:val="18"/>
          <w:szCs w:val="18"/>
          <w:color w:val="auto"/>
        </w:rPr>
      </w:pPr>
    </w:p>
    <w:p>
      <w:pPr>
        <w:ind w:left="260" w:right="440" w:hanging="252"/>
        <w:spacing w:after="0" w:line="277"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the clinical development of BMF-219 for the treatment of patients with liquid and solid tumors as well as patients with type 1 and type 2 diabetes mellitus;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explore the potential clinical utility of BMF-219 in other diabetic patient populations, including pre-diabetes;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the clinical development of BMF-500, a covalent inhibitor of FLT3;</w:t>
      </w:r>
    </w:p>
    <w:p>
      <w:pPr>
        <w:spacing w:after="0" w:line="121"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our efforts to develop product candidates from our FUSION</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System discovery platform;</w:t>
      </w:r>
    </w:p>
    <w:p>
      <w:pPr>
        <w:spacing w:after="0" w:line="70"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preclinical studies and initiate and conduct clinical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260" w:right="120" w:hanging="252"/>
        <w:spacing w:after="0" w:line="277"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3" w:name="page24"/>
    <w:bookmarkEnd w:id="23"/>
    <w:p>
      <w:pPr>
        <w:ind w:left="260" w:hanging="252"/>
        <w:spacing w:after="0" w:line="277"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may need to raise additional capital in the future to fund our operations, including to conduct and complete clinical trials for our product candidates. If sufficient funds on acceptable terms are not available when needed, we could be required to significantly reduce our operating expenses and delay, reduce the scope of, or eliminate one or more of our development programs.</w:t>
      </w:r>
    </w:p>
    <w:p>
      <w:pPr>
        <w:spacing w:after="0" w:line="7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currently rely, and expect to continue to rely, on third parties for the manufacture of our product candidates. All of our product candidates are small molecules and are manufactured in synthetic processes from available or custom synthesized starting materials. The chemistry is scalable and uses commonly available pharmaceutical equipment in the manufacturing process. We expect to continue to develop product candidates that can be produced cost-effectively at contract manufacturing facilities. In addition, we do not yet have a marketing or sales organization or commercial infrastructure. Accordingly, we will incur significant expenses to develop a marketing and sales organization and commercial infrastructure in advance of generating any product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generated any revenue and do not expect to generate any revenue from the sale of products in the near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research and development expenses consist primarily of external and internal costs incurred in connection with the research and development of our research programs and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External costs include:</w:t>
      </w:r>
    </w:p>
    <w:p>
      <w:pPr>
        <w:spacing w:after="0" w:line="1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CMOs, CROs, research and development service providers, consulting costs;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laboratory expenses, including supplies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Internal costs include:</w:t>
      </w:r>
    </w:p>
    <w:p>
      <w:pPr>
        <w:spacing w:after="0" w:line="11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personnel-related expenses, including salaries, benefits and stock-based compensation for personnel in research and product development roles; and</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facilities and other allocated expenses, including expenses for rent and facilities maintenance, and amortization.</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direct costs by stage of program, clinical or preclinical. However, we do not track indirect costs on a program specific or stage of program basis because these costs are deployed across multiple programs and, as such, are not separately classified.</w:t>
      </w:r>
    </w:p>
    <w:p>
      <w:pPr>
        <w:spacing w:after="0" w:line="8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expect our research and development expenses to increase substantially during the next few years as we seek to initiate and complete clinical trials, pursue regulatory approval of BMF-219, and advance other programs through preclinical and clinical development. Predicting the timing or the final cost to complete our clinical program or validation of our manufacturing and supply processes is difficult and delays may occur because of many factors. The process of conducting the necessary preclinical and clinical research to obtain regulatory approval is costly and time-consuming. To the extent that our product candidates continue to advance into clinical trials, as well as advance into larger and later stage clinical trials, our expenses will increase substantially and may become more variable.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future research and development costs may vary significantly based on a wide variety of factors, such as:</w:t>
      </w:r>
    </w:p>
    <w:p>
      <w:pPr>
        <w:spacing w:after="0" w:line="117" w:lineRule="exact"/>
        <w:rPr>
          <w:sz w:val="20"/>
          <w:szCs w:val="20"/>
          <w:color w:val="auto"/>
        </w:rPr>
      </w:pPr>
    </w:p>
    <w:p>
      <w:pPr>
        <w:ind w:left="260" w:right="60" w:hanging="252"/>
        <w:spacing w:after="0" w:line="263"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our ongoing preclinical development activities and clinical trials of BMF-219 in various types of liquid and solid tumors, as well as in type 2 diabetes mellitus, any future preclinical development and clinical trials of our product candidates, including BMF-500, and other research and development activities we may conduct;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in clinical trial design and the interpretation of clinical trial data;</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duration, scope and number of trials required for approval;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patients who participate in the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safety and efficacy profiles of our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 including the FDA and non-U.S. regulators;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 of any of our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17" w:lineRule="exact"/>
        <w:rPr>
          <w:rFonts w:ascii="Arial" w:cs="Arial" w:eastAsia="Arial" w:hAnsi="Arial"/>
          <w:sz w:val="18"/>
          <w:szCs w:val="18"/>
          <w:color w:val="auto"/>
        </w:rPr>
      </w:pPr>
    </w:p>
    <w:p>
      <w:pPr>
        <w:ind w:left="260" w:right="260" w:hanging="252"/>
        <w:spacing w:after="0" w:line="277"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62" w:lineRule="exact"/>
        <w:rPr>
          <w:rFonts w:ascii="Arial" w:cs="Arial" w:eastAsia="Arial" w:hAnsi="Arial"/>
          <w:sz w:val="18"/>
          <w:szCs w:val="18"/>
          <w:color w:val="auto"/>
        </w:rPr>
      </w:pPr>
    </w:p>
    <w:p>
      <w:pPr>
        <w:ind w:left="260" w:right="740" w:hanging="252"/>
        <w:spacing w:after="0" w:line="277"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in light of adverse global market conditions; and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establish strategic collaborations or other arrangements.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any or our product candidates could significantly change the costs and timing associated with the development of that product candidate. The actual probability of success for our product candidates may be affected by a variety of factors, including the safety and efficacy of our product candidates, investment in our clinical programs, manufacturing capability and competition with other products. As a result of these variables, we are unable to determine the duration and completion costs of our research and development projects or when and to what extent we will generate revenue from the commercialization and sale of our product candidates. We may never succeed in achieving regulatory approval for any of our product candidates.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consist principally of personnel-related costs including payroll and stock-based compensation expense for personnel in executive, finance, human resources, business and corporate development, and other administrative functions, professional fees for legal, consulting, and accounting services, rent and other facilities costs, depreciation, and other general operating expenses not otherwise classified as research and development expenses.</w:t>
      </w:r>
    </w:p>
    <w:p>
      <w:pPr>
        <w:spacing w:after="0" w:line="7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substantially during the next few years as a result of staff expansion and additional occupancy costs, as well as costs associated with being a public company, including compliance with the rules and regulations of the SEC and those of any national securities exchange on which our securities are traded, higher legal and auditing fees, investor relations costs, higher insurance premiums and other compliance costs associated with being a public company. We also expect that our future intellectual property expenses may increase as we expand our product portfolio of product candidates due to advances in our research and development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22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Interest and other income, net consists primarily of interest earned on our investments and non-cash interest income (loss) related to accretion (amortization) of the discount (premium) on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2023 and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61"/>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gridSpan w:val="5"/>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3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1"/>
              </w:rPr>
              <w:t>$ Change</w:t>
            </w:r>
          </w:p>
        </w:tc>
      </w:tr>
      <w:tr>
        <w:trPr>
          <w:trHeight w:val="241"/>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25,347</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18,242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71,680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42,174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29,506</w:t>
            </w:r>
          </w:p>
        </w:tc>
        <w:tc>
          <w:tcPr>
            <w:tcW w:w="100" w:type="dxa"/>
            <w:vAlign w:val="bottom"/>
          </w:tcPr>
          <w:p>
            <w:pPr>
              <w:spacing w:after="0"/>
              <w:rPr>
                <w:sz w:val="20"/>
                <w:szCs w:val="20"/>
                <w:color w:val="auto"/>
              </w:rPr>
            </w:pPr>
          </w:p>
        </w:tc>
      </w:tr>
      <w:tr>
        <w:trPr>
          <w:trHeight w:val="249"/>
        </w:trPr>
        <w:tc>
          <w:tcPr>
            <w:tcW w:w="3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31,119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23,484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88,807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57,358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31,449</w:t>
            </w:r>
          </w:p>
        </w:tc>
        <w:tc>
          <w:tcPr>
            <w:tcW w:w="100" w:type="dxa"/>
            <w:vAlign w:val="bottom"/>
          </w:tcPr>
          <w:p>
            <w:pPr>
              <w:spacing w:after="0"/>
              <w:rPr>
                <w:sz w:val="20"/>
                <w:szCs w:val="20"/>
                <w:color w:val="auto"/>
              </w:rPr>
            </w:pPr>
          </w:p>
        </w:tc>
      </w:tr>
      <w:tr>
        <w:trPr>
          <w:trHeight w:val="249"/>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(31,119 )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(23,484 )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(7,635 )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(88,807 )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(57,358 )</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(31,449 )</w:t>
            </w: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Interest and other income, net</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5,592</w:t>
            </w:r>
          </w:p>
        </w:tc>
        <w:tc>
          <w:tcPr>
            <w:tcW w:w="100" w:type="dxa"/>
            <w:vAlign w:val="bottom"/>
          </w:tcPr>
          <w:p>
            <w:pPr>
              <w:spacing w:after="0"/>
              <w:rPr>
                <w:sz w:val="21"/>
                <w:szCs w:val="21"/>
                <w:color w:val="auto"/>
              </w:rPr>
            </w:pPr>
          </w:p>
        </w:tc>
      </w:tr>
      <w:tr>
        <w:trPr>
          <w:trHeight w:val="277"/>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(82,371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(56,514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-659130</wp:posOffset>
            </wp:positionV>
            <wp:extent cx="76835"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-659130</wp:posOffset>
            </wp:positionV>
            <wp:extent cx="7747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-659130</wp:posOffset>
            </wp:positionV>
            <wp:extent cx="7747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-659130</wp:posOffset>
            </wp:positionV>
            <wp:extent cx="6858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-659130</wp:posOffset>
            </wp:positionV>
            <wp:extent cx="6858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 Change</w:t>
            </w:r>
          </w:p>
        </w:tc>
        <w:tc>
          <w:tcPr>
            <w:tcW w:w="100" w:type="dxa"/>
            <w:vAlign w:val="bottom"/>
          </w:tcPr>
          <w:p>
            <w:pPr>
              <w:spacing w:after="0"/>
              <w:rPr>
                <w:sz w:val="20"/>
                <w:szCs w:val="20"/>
                <w:color w:val="auto"/>
              </w:rPr>
            </w:pPr>
          </w:p>
        </w:tc>
      </w:tr>
      <w:tr>
        <w:trPr>
          <w:trHeight w:val="241"/>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costs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15,811</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11,841</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3,970</w:t>
            </w: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44,115</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24,460</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19,655</w:t>
            </w:r>
          </w:p>
        </w:tc>
        <w:tc>
          <w:tcPr>
            <w:tcW w:w="100" w:type="dxa"/>
            <w:vAlign w:val="bottom"/>
            <w:shd w:val="clear" w:color="auto" w:fill="CFF0FC"/>
          </w:tcPr>
          <w:p>
            <w:pPr>
              <w:spacing w:after="0"/>
              <w:rPr>
                <w:sz w:val="20"/>
                <w:szCs w:val="20"/>
                <w:color w:val="auto"/>
              </w:rPr>
            </w:pP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rPr>
              <w:t>Internal costs: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Personnel-related expenses (including</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33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7,868</w:t>
            </w:r>
          </w:p>
        </w:tc>
        <w:tc>
          <w:tcPr>
            <w:tcW w:w="100" w:type="dxa"/>
            <w:vAlign w:val="bottom"/>
            <w:shd w:val="clear" w:color="auto" w:fill="CFF0FC"/>
          </w:tcPr>
          <w:p>
            <w:pPr>
              <w:spacing w:after="0"/>
              <w:rPr>
                <w:sz w:val="21"/>
                <w:szCs w:val="2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8"/>
                <w:szCs w:val="18"/>
                <w:color w:val="auto"/>
              </w:rPr>
              <w:t>Facilities and other allocated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0"/>
                <w:szCs w:val="20"/>
                <w:color w:val="auto"/>
              </w:rPr>
            </w:pPr>
          </w:p>
        </w:tc>
      </w:tr>
      <w:tr>
        <w:trPr>
          <w:trHeight w:val="283"/>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6"/>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25,347</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18,242</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7,105</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71,680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42,174</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-25400</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-25400</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Research and development expenses increased by $7.1 million during the three months ended September 30, 2023 compared to the three months ended September 30, 2022. The increase of $4.0 million in external costs was primarily driven by an increase of $5.2 million related to clinical activities. The increase is offset by the decrease of $1.5 million related to manufacturing activities and decrease of $0.9 million related to preclinical activities primarily due to timing variations in execution of these activities. Personnel-related expenses, including stock-based compensation, increased by $2.4 million due to an increase in headcount. Depreciation and facilities increased by $0.7 million primarily due to new lease agreements for additional office and laboratory space in Redwood City and San Carlos which commenced in 2023.</w:t>
      </w:r>
    </w:p>
    <w:p>
      <w:pPr>
        <w:spacing w:after="0" w:line="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Research and development expenses increased by $29.5 million during the nine months ended September 30, 2023 compared to the nine months ended September 30, 2022. The increase of $19.7 million in external costs was primarily driven by an increase of $19.1 million related to clinical activities, $1.4 million related to manufacturing activities performed in relation to clinical development of BMF-219 and BMF-500 and $1.2 million related to external consultants and advisors. The increase is offset by the decrease in preclinical related activities of $3.3 million. Personnel-related expenses, including stock-based compensation, increased by $7.9 million due to an increase in headcount. Depreciation and facilities increased by $2.0 million primarily due to new lease agreements for additional office and laboratory space in Redwood City and San Carlos which commenced in 2023.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General and administrative expenses increased by $0.5 million during the three months ended September 30, 2023 compared to the three months ended September 30, 2022 and by $1.9 million during the nine months ended September 30, 2023 compared to the nine months ended September 30, 2022. The increase in both periods was primarily due to increased personnel-related expenses, including stock-based compensation, due to an increase in headcount.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funded our operations primarily through the sale and issuance of shares of our common and convertible preferred stock and the issuance of unsecured promissory notes from inception through December 2020. In April 2021, we completed our IPO and issued an aggregate of 9,000,000 shares of our common stock at a price of $17.00 per share. Following the initial closing of the IPO, an additional 823,532 shares were issued in connection with the partial exercise by the underwriters of their option to purchase additional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shares of common stock. Proceeds from the IPO, net of underwriting discounts and commissions and offering costs, were $152.8 million.</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October 14, 2022, we filed a shelf registration statement on Form S-3 (the Shelf Registration Statement) with the SEC relating to the registration of up to an aggregate of $350.0 million in shares of our common stock, preferred stock, debt securities, warrants and units or any combination thereof. The Shelf Registration Statement was declared effective by the SEC on October 24, 2022. In April 2023, pursuant to the Shelf Registration Statement, we sold an aggregate of 5,750,000 shares of common stock at a price of $30.00 per share in an underwritten public offering for gross proceeds of $172.5 million, resulting in net proceeds of approximately $161.8 million after deducting underwriting discounts, commissions, and offering costs.</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September 30, 2023, we had cash, cash equivalents, restricted cash, and investments of $199.5 million and an accumulated deficit of $213.9 million. Based on our current business plan, we believe that our existing cash, cash equivalents, restricted cash, and investments will be sufficient to fund our planned operations for at least one year past the issuance date of the unaudited condensed financial statements appearing elsewhere in this Quarterly Report on Form 10-Q.</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private or public equity or debt financings, collaborative or other arrangements with corporate sources,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80" w:lineRule="exact"/>
        <w:rPr>
          <w:sz w:val="20"/>
          <w:szCs w:val="20"/>
          <w:color w:val="auto"/>
        </w:rPr>
      </w:pPr>
    </w:p>
    <w:p>
      <w:pPr>
        <w:ind w:left="380" w:right="160" w:hanging="372"/>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timing, progress, duration, costs and results of our clinical trials, drug discovery, preclinical development activities, and laboratory testing for our product candidates;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discover and develop additional product candidates;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sales and marketing capabilities, if any of our product candidates receive marketing approval;</w:t>
      </w:r>
    </w:p>
    <w:p>
      <w:pPr>
        <w:spacing w:after="0" w:line="117" w:lineRule="exact"/>
        <w:rPr>
          <w:rFonts w:ascii="Arial" w:cs="Arial" w:eastAsia="Arial" w:hAnsi="Arial"/>
          <w:sz w:val="18"/>
          <w:szCs w:val="18"/>
          <w:color w:val="auto"/>
        </w:rPr>
      </w:pPr>
    </w:p>
    <w:p>
      <w:pPr>
        <w:ind w:left="380" w:right="80" w:hanging="372"/>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380" w:right="300" w:hanging="372"/>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licensing, or other arrangements into which we may enter in the future, including the timing of receipt of any milestone or royalty payments under these agreements;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380" w:right="920" w:hanging="372"/>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associated with commercializing our product candidates, if they receive regulatory approval; and</w:t>
      </w:r>
    </w:p>
    <w:p>
      <w:pPr>
        <w:spacing w:after="0" w:line="117" w:lineRule="exact"/>
        <w:rPr>
          <w:rFonts w:ascii="Arial" w:cs="Arial" w:eastAsia="Arial" w:hAnsi="Arial"/>
          <w:sz w:val="18"/>
          <w:szCs w:val="18"/>
          <w:color w:val="auto"/>
        </w:rPr>
      </w:pPr>
    </w:p>
    <w:p>
      <w:pPr>
        <w:ind w:left="380" w:right="100" w:hanging="372"/>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and other similar partnerships for the development and commercialization of our product candidates;</w:t>
      </w:r>
    </w:p>
    <w:p>
      <w:pPr>
        <w:spacing w:after="0" w:line="6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7" w:name="page28"/>
    <w:bookmarkEnd w:id="27"/>
    <w:p>
      <w:pPr>
        <w:ind w:right="240"/>
        <w:spacing w:after="0" w:line="277" w:lineRule="auto"/>
        <w:rPr>
          <w:sz w:val="20"/>
          <w:szCs w:val="20"/>
          <w:color w:val="auto"/>
        </w:rPr>
      </w:pPr>
      <w:r>
        <w:rPr>
          <w:rFonts w:ascii="Arial" w:cs="Arial" w:eastAsia="Arial" w:hAnsi="Arial"/>
          <w:sz w:val="18"/>
          <w:szCs w:val="18"/>
          <w:color w:val="auto"/>
        </w:rPr>
        <w:t>some or all of our development programs and clinical trials. We may also be required to sell or license to other rights to our product candidates in certain territories or indications that we would prefer to develop and commercialize ourselves.</w:t>
      </w:r>
    </w:p>
    <w:p>
      <w:pPr>
        <w:spacing w:after="0" w:line="62" w:lineRule="exact"/>
        <w:rPr>
          <w:sz w:val="20"/>
          <w:szCs w:val="20"/>
          <w:color w:val="auto"/>
        </w:rPr>
      </w:pPr>
    </w:p>
    <w:p>
      <w:pPr>
        <w:ind w:right="580"/>
        <w:spacing w:after="0" w:line="375" w:lineRule="auto"/>
        <w:rPr>
          <w:sz w:val="20"/>
          <w:szCs w:val="20"/>
          <w:color w:val="auto"/>
        </w:rPr>
      </w:pPr>
      <w:r>
        <w:rPr>
          <w:rFonts w:ascii="Arial" w:cs="Arial" w:eastAsia="Arial" w:hAnsi="Arial"/>
          <w:sz w:val="18"/>
          <w:szCs w:val="18"/>
          <w:color w:val="auto"/>
        </w:rPr>
        <w:t xml:space="preserve">See the section of this Quarterly Report on Form 10-Q titled “Risk Factors” for additional risks associated with our substantial capital requirements. </w:t>
      </w:r>
      <w:r>
        <w:rPr>
          <w:rFonts w:ascii="Arial" w:cs="Arial" w:eastAsia="Arial" w:hAnsi="Arial"/>
          <w:sz w:val="18"/>
          <w:szCs w:val="18"/>
          <w:b w:val="1"/>
          <w:bCs w:val="1"/>
          <w:i w:val="1"/>
          <w:iCs w:val="1"/>
          <w:color w:val="auto"/>
        </w:rPr>
        <w:t>Summary Statement of Cash Flows</w:t>
      </w:r>
    </w:p>
    <w:p>
      <w:pPr>
        <w:spacing w:after="0" w:line="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each of the periods presented below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8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Nine Months Ended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77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9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840" w:type="dxa"/>
            <w:vAlign w:val="bottom"/>
            <w:gridSpan w:val="3"/>
          </w:tcPr>
          <w:p>
            <w:pPr>
              <w:jc w:val="right"/>
              <w:ind w:right="860"/>
              <w:spacing w:after="0"/>
              <w:rPr>
                <w:sz w:val="20"/>
                <w:szCs w:val="20"/>
                <w:color w:val="auto"/>
              </w:rPr>
            </w:pPr>
            <w:r>
              <w:rPr>
                <w:rFonts w:ascii="Arial" w:cs="Arial" w:eastAsia="Arial" w:hAnsi="Arial"/>
                <w:sz w:val="18"/>
                <w:szCs w:val="18"/>
                <w:color w:val="auto"/>
                <w:w w:val="98"/>
              </w:rPr>
              <w:t>(73,755 )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5"/>
              </w:rPr>
              <w:t>(42,216 )</w:t>
            </w: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(2,212 )</w:t>
            </w: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28,042</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163,176</w:t>
            </w:r>
          </w:p>
        </w:tc>
        <w:tc>
          <w:tcPr>
            <w:tcW w:w="3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r>
      <w:tr>
        <w:trPr>
          <w:trHeight w:val="276"/>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87,209</w:t>
            </w:r>
          </w:p>
        </w:tc>
        <w:tc>
          <w:tcPr>
            <w:tcW w:w="3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(13,425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Net cash used in operating activities was $73.8 million during the nine months ended September 30, 2023 and consisted of a net loss of $82.4 million, offset by a decrease in net assets of $4.7 million and non-cash adjustments of $13.3 million. The decrease in net assets consisted primarily of a decrease in prepaid expenses and other current assets of $1.4 million, decrease in accrued expenses and other current liabilities of $2.6 million and a decrease in operating lease liabilities of $1.8 million. The decrease is offset by an increase in other assets of $1.7 million. Non-cash adjustments consisted primarily of stock-based compensation expense of $10.2 million and operating lease expense of $2.0 million.</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operating activities was $42.2 million during the nine months ended September 30, 2022 and consisted of a net loss of $56.5 million offset by an increase in net assets of $5.6 million and non-cash adjustments of $8.7 million. The increase in net assets consisted primarily of an increase in accrued expenses and other current liabilities of $7.6 million and an increase in prepaid expenses and other current assets of $2.4 million. Non-cash adjustments consisted primarily of stock-based compensation expense of $7.6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cash used in investing activities was $2.2 million during the nine months ended September 30, 2023 and was primarily related to the purchase of property and equipment partially offset by maturities of investments.</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provided by investing activities was $28.0 million during the nine months ended September 30, 2022 and was primarily related to maturities of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provided by financing activities was $163.2 million during the nine months ended September 30, 2023. Cash provided by financing activities was related to $161.8 million net proceeds received from the public offering of our common stock and $1.4 million of proceeds received from stock option exercises and purchases under the employee stock purchase plan.</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cash provided by financing activities was $0.7 million during the nine months ended September 30, 2022 and was related to proceeds received from stock option exercises and purchases under the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2023, there have been no material changes from the contractual obligations and commitments as of December 31, 2022 previously disclosed in our Annual Report on Form 10-K filed with the SEC on March 28, 2023.</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financial statements have been prepared in accordance with U.S. generally accepted accounting principles (GAAP). The preparation of these unaudited condensed financial statements requires us to make estimates and assumptions that affect the reported amounts of assets and liabilities and the disclosure of contingent assets and liabilities at the date of the unaudited condensed financial statements, as well as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5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critical accounting policies are described in the section titled “Management’s Discussion and Analysis of Financial Condition and Results of Operations—Critical Accounting Policies and Use of Estimates” in our Annual Report on Form 10-K filed with the SEC on March 28, 2023 and the notes to the financial statements appearing elsewhere in this Quarterly Report on Form 10-Q. During the three months ended September 30, 2023, except as described in Note 2 to the unaudited condensed financial statements appearing elsewhere in this Quarterly Report on Form 10-Q, there were no material changes to our critical accounting policies from those discussed in our Annual Report on Form 10-K filed with the SEC on March 28, 2023.</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primary objectives of our investment activities are to ensure liquidity and to preserve capital. We are exposed to market risks in the ordinary course of our business. These risks primarily include interest rate sensitivities. There was no material foreign currency risk for the quarter ended September 30, 2023. We held $199.5 million in cash, cash equivalents, restricted cash, and investments as of September 30, 2023. Cash equivalents consisted of money market funds. Restricted cash consisted of two stand-by letters of credit issued to our landlord in connection with the lab leases. We held no interest-bearing liabilities as of September 30, 2023. Historical fluctuations in interest rates have not been significant for us. Due to the short-term maturities of our cash equivalents, an immediate 10% relative change in interest rates would not have a material effect on the fair market value of our cash equivalents.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our principal executive officer and principal financial officer, respectively, conducted an evaluation of the effectiveness of the design and operation of our disclosure controls and procedures, as defined in Rules 13a-15(e) and 15d-15(e) under the Exchange Act as of the end of the period covered by this Quarterly Report on Form 10-Q. Based on this evaluation, our Chief Executive Officer and Chief Financial Officer have concluded that as of such date our disclosure controls and procedures were effective at a reasonable assurance level (a) to ensure that information that we are required to disclose in reports that we file or submit under the Exchange Act is recorded, processed, summarized and reported within the time periods specified in SEC rules and forms and (b)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spacing w:after="0" w:line="220" w:lineRule="exact"/>
        <w:rPr>
          <w:sz w:val="20"/>
          <w:szCs w:val="20"/>
          <w:color w:val="auto"/>
        </w:rPr>
      </w:pPr>
      <w:r>
        <w:rPr>
          <w:rFonts w:ascii="Arial" w:cs="Arial" w:eastAsia="Arial" w:hAnsi="Arial"/>
          <w:sz w:val="18"/>
          <w:szCs w:val="18"/>
          <w:color w:val="auto"/>
        </w:rPr>
        <w:t>There was no change in our internal control over financial reporting during the quarter ended September 30, 2023 identified in connection with the evaluation required by Rules 13a</w:t>
      </w:r>
      <w:r>
        <w:rPr>
          <w:rFonts w:ascii="MS PGothic" w:cs="MS PGothic" w:eastAsia="MS PGothic" w:hAnsi="MS PGothic"/>
          <w:sz w:val="18"/>
          <w:szCs w:val="18"/>
          <w:color w:val="auto"/>
        </w:rPr>
        <w:t>‑</w:t>
      </w:r>
      <w:r>
        <w:rPr>
          <w:rFonts w:ascii="Arial" w:cs="Arial" w:eastAsia="Arial" w:hAnsi="Arial"/>
          <w:sz w:val="18"/>
          <w:szCs w:val="18"/>
          <w:color w:val="auto"/>
        </w:rPr>
        <w:t>15(d) and 15d</w:t>
      </w:r>
      <w:r>
        <w:rPr>
          <w:rFonts w:ascii="MS PGothic" w:cs="MS PGothic" w:eastAsia="MS PGothic" w:hAnsi="MS PGothic"/>
          <w:sz w:val="18"/>
          <w:szCs w:val="18"/>
          <w:color w:val="auto"/>
        </w:rPr>
        <w:t>‑</w:t>
      </w:r>
      <w:r>
        <w:rPr>
          <w:rFonts w:ascii="Arial" w:cs="Arial" w:eastAsia="Arial" w:hAnsi="Arial"/>
          <w:sz w:val="18"/>
          <w:szCs w:val="18"/>
          <w:color w:val="auto"/>
        </w:rPr>
        <w:t>15(d) of the Exchange Act that has materially affected, or is reasonably likely to materially affect, our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Our business is subject to various risks and uncertainties, including those described below, that we believe apply to our business and the industry in which we operate. You should carefully consider these risks, as well as the other information in this Quarterly Report on Form 10-Q, including our unaudited condensed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Limited Operating History, Business, Financial Condition, Results of Operations, and Need for Additional Capital</w:t>
      </w:r>
    </w:p>
    <w:p>
      <w:pPr>
        <w:spacing w:after="0" w:line="241"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have not completed any clinical trials, have no products approved for commercial sale, and have not generated any revenue, which may make it difficult for you to evaluate our current business and likelihood of success and viability.</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clinical-stage biotechnology company with a limited operating history with which investors can evaluate our business and prospects. We commenced operations in August 2017, have not completed any clinical trials, have no products approved for commercial sale and have never generated any revenue, and our operations to date have been primarily limited to organizing and staffing our company, business planning, raising capital, conducting discovery and research activities, filing patent applications, identifying potential product candidates, undertaking preclinical studies, preparing for and initiating our first clinical trial, and establishing arrangements with third parties for the manufacture of initial quantities of product candidates. We currently have two product candidates, BMF-219 and BMF-500, under investigation in clinical trials, with the first patient recently dosed with BMF-500. Our remaining product candidates are in the discovery or preclinical development stage.</w:t>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limited experience as a company in conducting clinical trials and have not successfully completed the clinical development of any product candidates to date. Consequently, any predictions you make about our future success or viability may not be as accurate as they could be if we had a longer operating history.</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in each period since our inception, and we expect to incur significant net losses for the foreseeable future.</w:t>
      </w:r>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early in our development efforts and have not yet completed the development of any of our product candidates. We have no products approved for commercial sale and have not generated any revenue from product sales to date, and we continue to incur significant research and development and other expenses related to our ongoing operations.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 We have financed our operations primarily through sales of our common stock and convertible preferred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1" w:name="page32"/>
    <w:bookmarkEnd w:id="31"/>
    <w:p>
      <w:pPr>
        <w:ind w:right="100"/>
        <w:spacing w:after="0" w:line="257" w:lineRule="auto"/>
        <w:rPr>
          <w:sz w:val="20"/>
          <w:szCs w:val="20"/>
          <w:color w:val="auto"/>
        </w:rPr>
      </w:pPr>
      <w:r>
        <w:rPr>
          <w:rFonts w:ascii="Arial" w:cs="Arial" w:eastAsia="Arial" w:hAnsi="Arial"/>
          <w:sz w:val="18"/>
          <w:szCs w:val="18"/>
          <w:color w:val="auto"/>
        </w:rPr>
        <w:t>We have incurred significant net losses in each reporting period since we commenced operations in August 2017. Our net losses were $82.4 million and $56.5 million, for the nine months ended September 30, 2023 and 2022 , respectively. As of September 30, 2023, we had an accumulated deficit of $213.9 million. Substantially all of our losses have resulted from expenses incurred in connection with our research and development programs and from general and administrative costs associated with our operations. We expect to continue to incur significant losses for the foreseeable future, and we expect these losses to increase substantially if and as we:</w:t>
      </w:r>
    </w:p>
    <w:p>
      <w:pPr>
        <w:spacing w:after="0" w:line="80"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research and development efforts and submit additional INDs;</w:t>
      </w:r>
    </w:p>
    <w:p>
      <w:pPr>
        <w:spacing w:after="0" w:line="117" w:lineRule="exact"/>
        <w:rPr>
          <w:rFonts w:ascii="Arial" w:cs="Arial" w:eastAsia="Arial" w:hAnsi="Arial"/>
          <w:sz w:val="18"/>
          <w:szCs w:val="18"/>
          <w:color w:val="auto"/>
        </w:rPr>
      </w:pPr>
    </w:p>
    <w:p>
      <w:pPr>
        <w:ind w:left="260" w:right="420" w:hanging="252"/>
        <w:spacing w:after="0" w:line="277"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the clinical development of BMF-219 for the treatment of patients with liquid and solid tumors, as well as patients with type 1 and type 2 diabetes mellitus;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explore the potential clinical utility of BMF-219 in other diabetic patient populations, including pre-diabetes;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the clinical development of BMF-500, a covalent inhibitor of FLT3;</w:t>
      </w:r>
    </w:p>
    <w:p>
      <w:pPr>
        <w:spacing w:after="0" w:line="121"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efforts to develop product candidates from our FUSION</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System discovery platform;</w:t>
      </w:r>
    </w:p>
    <w:p>
      <w:pPr>
        <w:spacing w:after="0" w:line="70"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preclinical studies and initiate and conduct clinical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260" w:right="100" w:hanging="252"/>
        <w:spacing w:after="0" w:line="277"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62" w:lineRule="exact"/>
        <w:rPr>
          <w:rFonts w:ascii="Arial" w:cs="Arial" w:eastAsia="Arial" w:hAnsi="Arial"/>
          <w:sz w:val="18"/>
          <w:szCs w:val="18"/>
          <w:color w:val="auto"/>
        </w:rPr>
      </w:pPr>
    </w:p>
    <w:p>
      <w:pPr>
        <w:ind w:left="260" w:right="1040" w:hanging="252"/>
        <w:spacing w:after="0" w:line="277"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and development of our product candidates.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ability to become profitable depends upon our ability to generate revenue. We have not received marketing approval for any product candidate, and we have not generated any revenue from any product sales or other sources since our inception. We do not expect to generate revenue unless or until we successfully complete preclinical and clinical development and obtain regulatory approval of, and then successfully commercialize, at least one product candidate. BMF-219, our lead product candidate, is in the early stage of clinical development. As such, we face significant translational risk as our product candidates advance further in clinical development, and promising results in preclinical studies or early clinical trials may not be replicated in later-stage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70" w:lineRule="exact"/>
        <w:rPr>
          <w:sz w:val="20"/>
          <w:szCs w:val="20"/>
          <w:color w:val="auto"/>
        </w:rPr>
      </w:pPr>
    </w:p>
    <w:p>
      <w:pPr>
        <w:ind w:left="260" w:right="160" w:hanging="252"/>
        <w:spacing w:after="0" w:line="308" w:lineRule="auto"/>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timely initiation and completion of our preclinical studies and clinical trials for BMF-219, BMF-500 and our future product candidates, which may be significantly slower or cost more than we currently anticipate and will depend substantially upon the performance of third-party contractors;</w:t>
      </w:r>
    </w:p>
    <w:p>
      <w:pPr>
        <w:spacing w:after="0" w:line="38" w:lineRule="exact"/>
        <w:rPr>
          <w:rFonts w:ascii="Arial" w:cs="Arial" w:eastAsia="Arial" w:hAnsi="Arial"/>
          <w:sz w:val="17"/>
          <w:szCs w:val="17"/>
          <w:color w:val="auto"/>
        </w:rPr>
      </w:pPr>
    </w:p>
    <w:p>
      <w:pPr>
        <w:ind w:left="260" w:right="40" w:hanging="252"/>
        <w:spacing w:after="0" w:line="277"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ongoing clinical development of BMF-219 and BMF-500 and any future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complete IND-enabling studies and successfully submit and receive authorization to proceed under INDs or comparable applications;</w:t>
      </w:r>
    </w:p>
    <w:p>
      <w:pPr>
        <w:spacing w:after="0" w:line="128" w:lineRule="exact"/>
        <w:rPr>
          <w:rFonts w:ascii="Arial" w:cs="Arial" w:eastAsia="Arial" w:hAnsi="Arial"/>
          <w:sz w:val="17"/>
          <w:szCs w:val="17"/>
          <w:color w:val="auto"/>
        </w:rPr>
      </w:pPr>
    </w:p>
    <w:p>
      <w:pPr>
        <w:ind w:left="260" w:right="400" w:hanging="252"/>
        <w:spacing w:after="0" w:line="308"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38" w:lineRule="exact"/>
        <w:rPr>
          <w:rFonts w:ascii="Arial" w:cs="Arial" w:eastAsia="Arial" w:hAnsi="Arial"/>
          <w:sz w:val="17"/>
          <w:szCs w:val="17"/>
          <w:color w:val="auto"/>
        </w:rPr>
      </w:pPr>
    </w:p>
    <w:p>
      <w:pPr>
        <w:ind w:left="260" w:right="300" w:hanging="252"/>
        <w:spacing w:after="0" w:line="277"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w:t>
      </w:r>
    </w:p>
    <w:p>
      <w:pPr>
        <w:spacing w:after="0" w:line="62" w:lineRule="exact"/>
        <w:rPr>
          <w:rFonts w:ascii="Arial" w:cs="Arial" w:eastAsia="Arial" w:hAnsi="Arial"/>
          <w:sz w:val="18"/>
          <w:szCs w:val="18"/>
          <w:color w:val="auto"/>
        </w:rPr>
      </w:pPr>
    </w:p>
    <w:p>
      <w:pPr>
        <w:ind w:left="260" w:right="740" w:hanging="252"/>
        <w:spacing w:after="0" w:line="277"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timely receipt of necessary regulatory approvals from the FDA and comparable foreign regulatory authorities;</w:t>
      </w:r>
    </w:p>
    <w:p>
      <w:pPr>
        <w:spacing w:after="0" w:line="117" w:lineRule="exact"/>
        <w:rPr>
          <w:rFonts w:ascii="Arial" w:cs="Arial" w:eastAsia="Arial" w:hAnsi="Arial"/>
          <w:sz w:val="18"/>
          <w:szCs w:val="18"/>
          <w:color w:val="auto"/>
        </w:rPr>
      </w:pPr>
    </w:p>
    <w:p>
      <w:pPr>
        <w:ind w:left="260" w:right="520" w:hanging="252"/>
        <w:spacing w:after="0" w:line="277"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over alternative or more conventional therapies, such as chemotherapy, to treat various types of cancer;</w:t>
      </w:r>
    </w:p>
    <w:p>
      <w:pPr>
        <w:spacing w:after="0" w:line="62" w:lineRule="exact"/>
        <w:rPr>
          <w:rFonts w:ascii="Arial" w:cs="Arial" w:eastAsia="Arial" w:hAnsi="Arial"/>
          <w:sz w:val="18"/>
          <w:szCs w:val="18"/>
          <w:color w:val="auto"/>
        </w:rPr>
      </w:pPr>
    </w:p>
    <w:p>
      <w:pPr>
        <w:ind w:left="260" w:right="20" w:hanging="252"/>
        <w:spacing w:after="0" w:line="342"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actual and perceived availability, cost, risk profile and side effects and efficacy of our product candidates, if approved, relative to existing and future alternative therapies in our target indications, including cancer and metabolic diseases, and competitive product candidates and technologies;</w:t>
      </w:r>
    </w:p>
    <w:p>
      <w:pPr>
        <w:spacing w:after="0" w:line="15" w:lineRule="exact"/>
        <w:rPr>
          <w:rFonts w:ascii="Arial" w:cs="Arial" w:eastAsia="Arial" w:hAnsi="Arial"/>
          <w:sz w:val="16"/>
          <w:szCs w:val="16"/>
          <w:color w:val="auto"/>
        </w:rPr>
      </w:pPr>
    </w:p>
    <w:p>
      <w:pPr>
        <w:ind w:left="260" w:hanging="252"/>
        <w:spacing w:after="0" w:line="263"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w:t>
      </w:r>
    </w:p>
    <w:p>
      <w:pPr>
        <w:spacing w:after="0" w:line="75" w:lineRule="exact"/>
        <w:rPr>
          <w:rFonts w:ascii="Arial" w:cs="Arial" w:eastAsia="Arial" w:hAnsi="Arial"/>
          <w:sz w:val="18"/>
          <w:szCs w:val="18"/>
          <w:color w:val="auto"/>
        </w:rPr>
      </w:pPr>
    </w:p>
    <w:p>
      <w:pPr>
        <w:jc w:val="both"/>
        <w:ind w:left="260" w:right="140" w:hanging="252"/>
        <w:spacing w:after="0" w:line="263"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demand for our current product candidates and any future product candidates, if approved;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currently focused on the discovery and development of novel covalent small molecules to treat patients with genetically defined cancers and metabolic diseases. We seek to maintain a process of prioritization and resource allocation among our programs to maintain a balance between advancing our lead product candidate, BMF-219, as well as developing BMF-500 and any future product candidates.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3" w:name="page34"/>
    <w:bookmarkEnd w:id="33"/>
    <w:p>
      <w:pPr>
        <w:ind w:right="120"/>
        <w:spacing w:after="0" w:line="279" w:lineRule="auto"/>
        <w:rPr>
          <w:sz w:val="20"/>
          <w:szCs w:val="20"/>
          <w:color w:val="auto"/>
        </w:rPr>
      </w:pPr>
      <w:r>
        <w:rPr>
          <w:rFonts w:ascii="Arial" w:cs="Arial" w:eastAsia="Arial" w:hAnsi="Arial"/>
          <w:sz w:val="17"/>
          <w:szCs w:val="17"/>
          <w:color w:val="auto"/>
        </w:rPr>
        <w:t>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programs or product candidates or misread trends in the cancer or metabolic disease treatment landscape or in the pharmaceutical, biopharmaceutical or biotechnology industry more generally, our business, financial condition and results of operations could be materially adversely affected.</w:t>
      </w:r>
    </w:p>
    <w:p>
      <w:pPr>
        <w:spacing w:after="0" w:line="171"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10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conduct clinical trials of, and seek marketing approval for our product candidates. Developing biopharmaceutical products, including conducting preclinical studies and clinical trials, is a very time-consuming, expensive and uncertain process that takes years to complete. Our operations have consumed significant amounts of cash since inception, and we expect our expenses to increase in connection with our ongoing activities, particularly as we conduct clinical trials of, and seek marketing approval for, BMF-219 and BMF-500,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ongoing and planned clinical trials are highly uncertain, we cannot reasonably estimate the actual amount of resources and funding that will be necessary to successfully complete the development and commercialization of any product candidate we develop. We also expect to incur additional costs associated with our continuing operation as a public company. Accordingly, we will need to obtain substantial additional funding in order to continue our operations.</w:t>
      </w:r>
    </w:p>
    <w:p>
      <w:pPr>
        <w:spacing w:after="0" w:line="6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As of September 30, 2023, we had $199.5 million in cash, cash equivalents, restricted cash, and investments. Based on our current operating plan, we believe that our existing cash and cash equivalents, restricted cash, and investments will be sufficient to fund our operations for at least one year past the issuance date of the unaudited condensed financial statements appearing elsewhere in this Quarterly Report on Form 10-Q. Our estimate as to how long we expect our existing capital resources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through public or private equity offerings, debt financings, collaborations and licensing arrangements or other sources. Such financing may dilute our stockholders or restrict our operating activities. To the extent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other rights to our product candidates in certain territories or indications that we would prefer to develop and commercialize ourselves. In addition, we may seek additional capital due to favorable market conditions or strategic considerations even if we believe we have sufficient funds for our current or future operating plans.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117" w:lineRule="exact"/>
        <w:rPr>
          <w:sz w:val="20"/>
          <w:szCs w:val="20"/>
          <w:color w:val="auto"/>
        </w:rPr>
      </w:pPr>
    </w:p>
    <w:p>
      <w:pPr>
        <w:ind w:left="260" w:right="40" w:hanging="252"/>
        <w:spacing w:after="0" w:line="277"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timing, progress, duration, costs and results of our clinical trials, drug discovery, preclinical development activities, and laboratory testing for our product candidates;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discover and develop additional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establishing sales and marketing capabilities, if any of our product candidates receive marketing approval;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left="260" w:right="8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licensing, or other arrangements into which we may enter in the future, including the timing of receipt of any milestone or royalty payments under these agreements;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associated with commercializing our product candidates, if they receive regulatory approval;</w:t>
      </w:r>
    </w:p>
    <w:p>
      <w:pPr>
        <w:spacing w:after="0" w:line="117" w:lineRule="exact"/>
        <w:rPr>
          <w:rFonts w:ascii="Arial" w:cs="Arial" w:eastAsia="Arial" w:hAnsi="Arial"/>
          <w:sz w:val="18"/>
          <w:szCs w:val="18"/>
          <w:color w:val="auto"/>
        </w:rPr>
      </w:pPr>
    </w:p>
    <w:p>
      <w:pPr>
        <w:ind w:left="260" w:right="18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and other similar partnerships for the development and commercialization of our product candidates; and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adverse global economic conditions on our business, which may exacerbate the magnitude of the factors discussed above.</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and political conditions, inflationary pressures, increases in interest rates and disruptions to and volatility in the credit and financial markets in the United States and worldwide or other factors.</w:t>
      </w:r>
    </w:p>
    <w:p>
      <w:pPr>
        <w:spacing w:after="0" w:line="14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Recent volatility in capital markets and lower market prices for many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operations consume substantial amounts of cash, and we intend to continue to make significant investments to support our business growth, pursue the preclinical and clinical development of our product candidates, respond to business challenges or opportunities, retain or expand our current levels of personnel,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63"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or enhance our technological infrastructure and our existing research and development capabilities;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pursue acquisitions or other strategic relationships;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require us to pay significant interest on borrowings or involve additional restrictive covenants relating to our capital-raising activities and other financial and operational matters, which may make it more difficult for us to obtain additional capital and to pursue business opportunities, including potential acquisitions. Our inability to obtain adequate financing or financing on terms satisfactory to us could have a negative impact on our financial condition and we could face significant limitations on our ability to pursue our business strategies, and we may have to delay, reduce the scope of, suspend or eliminate one or more of our research-stage programs, clinical trials or future commercialization efforts.</w:t>
      </w:r>
    </w:p>
    <w:p>
      <w:pPr>
        <w:spacing w:after="0" w:line="18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5" w:name="page36"/>
    <w:bookmarkEnd w:id="35"/>
    <w:p>
      <w:pPr>
        <w:spacing w:after="0" w:line="286"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or may enter into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or may enter into financial or business relationships, but could also include factors involving financial markets or the financial services industry generally.</w:t>
      </w:r>
    </w:p>
    <w:p>
      <w:pPr>
        <w:spacing w:after="0" w:line="19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6"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117" w:lineRule="exact"/>
        <w:rPr>
          <w:rFonts w:ascii="Arial" w:cs="Arial" w:eastAsia="Arial" w:hAnsi="Arial"/>
          <w:sz w:val="18"/>
          <w:szCs w:val="18"/>
          <w:color w:val="auto"/>
        </w:rPr>
      </w:pPr>
    </w:p>
    <w:p>
      <w:pPr>
        <w:ind w:left="300" w:right="240" w:hanging="292"/>
        <w:spacing w:after="0" w:line="277"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Delayed or lost access to working capital sources and/or delays, inability or reductions in our ability to enter into new credit facilities or access other working capital resources;</w:t>
      </w:r>
    </w:p>
    <w:p>
      <w:pPr>
        <w:spacing w:after="0" w:line="62"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or actual breach of contractual obligations that require us to maintain letters of credit or other credit support arrangements; or</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or actual breach of financial covenants in any credit agreements or credit arrangements.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and otherwise have a material adverse impact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spacing w:after="0" w:line="286" w:lineRule="auto"/>
        <w:rPr>
          <w:sz w:val="20"/>
          <w:szCs w:val="20"/>
          <w:color w:val="auto"/>
        </w:rPr>
      </w:pPr>
      <w:r>
        <w:rPr>
          <w:rFonts w:ascii="Arial" w:cs="Arial" w:eastAsia="Arial" w:hAnsi="Arial"/>
          <w:sz w:val="17"/>
          <w:szCs w:val="17"/>
          <w:b w:val="1"/>
          <w:bCs w:val="1"/>
          <w:i w:val="1"/>
          <w:iCs w:val="1"/>
          <w:color w:val="auto"/>
        </w:rPr>
        <w:t>Our discovery and development activities are focused on the development of novel covalent small molecule therapies, initially targeted at menin, to treat patients with genetically-defined cancers and metabolic diseases, and the approach we are taking to discover and develop such binders is novel, may never lead to marketable products and may not ultimately represent a significant market.</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discovery and development of covalent small molecule therapies for patients with genetically-defined cancers and metabolic diseases, with a particular focus on menin, is an emerging field. While there is scientific evidence to support the feasibility of developing covalent therapies, the significant complexity and potential safety and toxicity concerns associated with poorly designed covalent binders have historically discouraged drug developers from pursuing this drug class. In particular, a significant risk for toxicity is posed by these small-molecule covalent binders if they demonstrate a more promiscuous binding profile than intended, which can potentially cause unacceptable levels of off-target interactions. While we believe the significant expertise, foundational knowledge and capabilities that our management team members have accumulated over their extensive careers and that we have expanded and refined since our inception positions us to overcome such challenges, there can be no assurance that we will be successful. Even if we are able to limit off-target interaction, there can be no assurance that treatment with any of our novel covalent small molecule product candidates will demonstrate the deep inactivation of their targets or offer greater therapeutic windows than conventional non-covalent drugs. It is possible that the targets we select, such as menin, could be effectively and safely treated by more frequent dosing of non-covalent drugs, which could limit the potential advantages or perceived benefits of our covalent inhibitor product candidates.</w:t>
      </w:r>
    </w:p>
    <w:p>
      <w:pPr>
        <w:spacing w:after="0" w:line="18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Furthermore, although we believe, based on our preclinical work and research on covalent binders generally, that highly selective covalent inhibitors of certain critically important oncogenic drivers, such as menin, known to impact cellular processes have potential as precision oncology targets, clinical results may not confirm this hypothesis or may only confirm it for certain inhibitors or certain tumor types.</w:t>
      </w:r>
    </w:p>
    <w:p>
      <w:pPr>
        <w:spacing w:after="0" w:line="16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 xml:space="preserve">In addition, our lead product candidate, BMF-219, is in clinical development, and we recently dosed the first patient with our second product candidate, BMF-500 following clearance of our IND by the FDA in May 2023. Our current data is primarily limited to clinical data in a relatively small patient population for BMF-219, as well as animal models and preclinical cell lines for BMF-219 and BMF-500. These results may not be replicated in larger clinical trials, or, in the case of preclinical data, translate into humans. As such, even if we are able to develop small-molecule therapy candidates that demonstrate positive results in preclinical studies or early-stage clinical trials, there can be no assurance that such product candidates will subsequently demonstrate significant clinical benefit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in larger trials or will be well-tolerated</w:t>
      </w:r>
      <w:r>
        <w:rPr>
          <w:rFonts w:ascii="Arial" w:cs="Arial" w:eastAsia="Arial" w:hAnsi="Arial"/>
          <w:sz w:val="17"/>
          <w:szCs w:val="17"/>
          <w:i w:val="1"/>
          <w:iCs w:val="1"/>
          <w:color w:val="auto"/>
        </w:rPr>
        <w:t>.</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Further, even if our approach is successful in demonstrating the clinical benefit of using our lead product candidate, BMF-219, which is designed to be a highly active and selective covalent inhibitor of menin, in certain menin-driven cancers and/or metabolic diseases, we may never successfully identify additional covalent binding product candidates to validated oncology or other targets through our FUSION</w:t>
      </w:r>
      <w:r>
        <w:rPr>
          <w:rFonts w:ascii="Arial" w:cs="Arial" w:eastAsia="Arial" w:hAnsi="Arial"/>
          <w:sz w:val="9"/>
          <w:szCs w:val="9"/>
          <w:color w:val="auto"/>
        </w:rPr>
        <w:t>TM</w:t>
      </w:r>
      <w:r>
        <w:rPr>
          <w:rFonts w:ascii="Arial" w:cs="Arial" w:eastAsia="Arial" w:hAnsi="Arial"/>
          <w:sz w:val="18"/>
          <w:szCs w:val="18"/>
          <w:color w:val="auto"/>
        </w:rPr>
        <w:t xml:space="preserve"> System. Therefore, we do not know if our approach of treating patients with genetically-defined cancers and metabolic diseases will be successful, and if our approach is unsuccessful, our business will be materially adversely affected.</w:t>
      </w:r>
    </w:p>
    <w:p>
      <w:pPr>
        <w:spacing w:after="0" w:line="18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novel approach to the discovery and development of our current and future product candidates is unproven, and we may not be successful in our efforts to use and expand our FUSION</w:t>
      </w:r>
      <w:r>
        <w:rPr>
          <w:rFonts w:ascii="Arial" w:cs="Arial" w:eastAsia="Arial" w:hAnsi="Arial"/>
          <w:sz w:val="9"/>
          <w:szCs w:val="9"/>
          <w:b w:val="1"/>
          <w:bCs w:val="1"/>
          <w:i w:val="1"/>
          <w:iCs w:val="1"/>
          <w:color w:val="auto"/>
        </w:rPr>
        <w:t>TM</w:t>
      </w:r>
      <w:r>
        <w:rPr>
          <w:rFonts w:ascii="Arial" w:cs="Arial" w:eastAsia="Arial" w:hAnsi="Arial"/>
          <w:sz w:val="17"/>
          <w:szCs w:val="17"/>
          <w:b w:val="1"/>
          <w:bCs w:val="1"/>
          <w:i w:val="1"/>
          <w:iCs w:val="1"/>
          <w:color w:val="auto"/>
        </w:rPr>
        <w:t xml:space="preserve"> System to build a pipeline of product candidates with commercial value.</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 key element of our strategy is to utilize our FUSION</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System to build a pipeline of novel covalent small molecule product candidates and progress these product candidates through clinical development for the treatment of various cancers and metabolic diseases. Although our research and development efforts to date have resulted in our discovery and preclinical development of BMF-219, BMF-500 and other programs, BMF-219, BMF-500 and such other programs may not be safe or effective in our target indications, and we may not be able to further develop BMF-219, BMF-500 or any future product candidates. Our FUSION</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System is unproven and may not enable us to build a pipeline of product candidates. For example, we may not be successful in identifying validated and novel targets that are amenable to direct intervention with a covalent binder, we may not succeed in creating novel chemical scaffolds to exploit target proteins and we may not be able to maximize the selectivity, potency and safety of our covalent small molecules. There can be no assurance that any development problems we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Furthermore, if one or more of our covalent small molecule product candidates generally proves to be ineffective, unsafe or commercially unviable, the development of our entire platform and pipeline utilizing our FUSION</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System could be delayed, potentially permanently.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right="80"/>
        <w:spacing w:after="0" w:line="263" w:lineRule="auto"/>
        <w:rPr>
          <w:sz w:val="20"/>
          <w:szCs w:val="20"/>
          <w:color w:val="auto"/>
        </w:rPr>
      </w:pPr>
      <w:r>
        <w:rPr>
          <w:rFonts w:ascii="Arial" w:cs="Arial" w:eastAsia="Arial" w:hAnsi="Arial"/>
          <w:sz w:val="18"/>
          <w:szCs w:val="18"/>
          <w:color w:val="auto"/>
        </w:rPr>
        <w:t xml:space="preserve">Even if our product candidates are successful in inhibiting certain protein binding, such success would not provide a guarantee of the effectiveness of such product candidate in total tumor regression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example, even if BMF-219 demonstrates an ability to inhibit menin </w:t>
      </w:r>
      <w:r>
        <w:rPr>
          <w:rFonts w:ascii="Arial" w:cs="Arial" w:eastAsia="Arial" w:hAnsi="Arial"/>
          <w:sz w:val="18"/>
          <w:szCs w:val="18"/>
          <w:i w:val="1"/>
          <w:iCs w:val="1"/>
          <w:color w:val="auto"/>
        </w:rPr>
        <w:t>in vivo</w:t>
      </w:r>
      <w:r>
        <w:rPr>
          <w:rFonts w:ascii="Arial" w:cs="Arial" w:eastAsia="Arial" w:hAnsi="Arial"/>
          <w:sz w:val="18"/>
          <w:szCs w:val="18"/>
          <w:color w:val="auto"/>
        </w:rPr>
        <w:t>, there can be no assurance that such inhibition will provide significant clinical benefit when evaluated in humans.</w:t>
      </w:r>
    </w:p>
    <w:p>
      <w:pPr>
        <w:spacing w:after="0" w:line="18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addition, development of covalent small molecules is highly complex and we may experience delays in developing a sustainable, reproducible and scalable manufacturing process or transferring that process to manufacturing partners, which may prevent us from initiating or completing our planned clinical trials or commercializing any products we develop on a timely or profitable basis, if at all. In addition, since we have not yet entered clinical development, we do not know the specific doses that may be effective in the clinic or, if approved, commercially. Finding a suitable dose may delay our anticipated clinical development timelines.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do not successfully develop and commercialize product candidates, we will not be able to generate product revenue which could materially adversely affect our business, financial condition and results of operations.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are very early in our development efforts and are substantially dependent on our product candidates, BMF-219 and BMF-500. If we are unable to advance BMF-219, BMF-500 or any other product candidates through clinical development, obtain regulatory approval and ultimately commercialize BMF-219, BMF-500 or any other product candidates, or experience significant delays in doing so, our business, financial condition and results of operations will be materially adversely affected.</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early in our development efforts. We have not yet successfully completed clinical testing of our lead product candidate, BMF-219, in human subjects for various types of solid tumors or liquid tumors or type 2 diabetes mellitus, or our second product candidate, BMF-500, in human subjects for relapsed or refractory acute leukemia with FLT3 wild-type and FLT3 mutations, including those with MLLr/NPM1 mutations. We have only just received IND clearance to pursue the clinical development of BMF-219 in human subjects with type 1 diabetes mellitus. Our ability to generate product revenue, which we do not expect will occur for many years, if ever, will depend heavily on the successful clinical development and eventual commercialization of BMF-219, BMF-500, and one or more of our future product candidates. The success of our product candidates will depend on several factors, including the following:</w:t>
      </w:r>
    </w:p>
    <w:p>
      <w:pPr>
        <w:spacing w:after="0" w:line="87" w:lineRule="exact"/>
        <w:rPr>
          <w:sz w:val="20"/>
          <w:szCs w:val="20"/>
          <w:color w:val="auto"/>
        </w:rPr>
      </w:pPr>
    </w:p>
    <w:p>
      <w:pPr>
        <w:ind w:left="260" w:right="240" w:hanging="252"/>
        <w:spacing w:after="0" w:line="263"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our business operations and product candidate research and development, and adapt to any changes in the regulatory approval process, manufacturing supply or clinical trial requirements and timing due to a continued and prolonged public health emergencies such as the COVID-19 pandemic;</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authorization to proceed under INDs for our planned clinical trials or future clinical trials;</w:t>
      </w:r>
    </w:p>
    <w:p>
      <w:pPr>
        <w:spacing w:after="0" w:line="117" w:lineRule="exact"/>
        <w:rPr>
          <w:rFonts w:ascii="Arial" w:cs="Arial" w:eastAsia="Arial" w:hAnsi="Arial"/>
          <w:sz w:val="18"/>
          <w:szCs w:val="18"/>
          <w:color w:val="auto"/>
        </w:rPr>
      </w:pPr>
    </w:p>
    <w:p>
      <w:pPr>
        <w:ind w:left="260" w:hanging="252"/>
        <w:spacing w:after="0" w:line="259"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initiation, patient enrollment in, and completion of clinical trials, including our ongoing Phase 1 clinical trial of BMF-219 in various types of liquid tumors, our Phase 1/1b clinical trial of BMF-219 in various types of solid tumors, our Phase 1/2 clinical trial of BMF-219 in type 2 diabetes mellitus, our Phase 2 clinical trial of BMF-219 in type 1 diabetes mellitus, and our Phase 1 clinical trial of BMF-500 in relapsed or refractory acute leukemia with FLT3 wild-type and FLT3 mutations, including those with MLL1r / NPM1 mutations;</w:t>
      </w:r>
    </w:p>
    <w:p>
      <w:pPr>
        <w:spacing w:after="0" w:line="78"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BMF-219, BMF-500 or any other product candidates that we may identify and pursue will demonstrate safety, tolerability and efficacy profiles that are satisfactory to the FDA or any foreign regulatory authority for marketing approval;</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marketing approvals for our product candidates from applicable regulatory authorities;</w:t>
      </w:r>
    </w:p>
    <w:p>
      <w:pPr>
        <w:spacing w:after="0" w:line="117" w:lineRule="exact"/>
        <w:rPr>
          <w:rFonts w:ascii="Arial" w:cs="Arial" w:eastAsia="Arial" w:hAnsi="Arial"/>
          <w:sz w:val="18"/>
          <w:szCs w:val="18"/>
          <w:color w:val="auto"/>
        </w:rPr>
      </w:pPr>
    </w:p>
    <w:p>
      <w:pPr>
        <w:ind w:left="260" w:right="100" w:hanging="25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completion of any required post-marketing approval commitments to applicable regulatory authorities in order to maintain marketing authorization for any of our product candidates that receive regulatory approval;</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260" w:right="480" w:hanging="25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62" w:lineRule="exact"/>
        <w:rPr>
          <w:rFonts w:ascii="Arial" w:cs="Arial" w:eastAsia="Arial" w:hAnsi="Arial"/>
          <w:sz w:val="18"/>
          <w:szCs w:val="18"/>
          <w:color w:val="auto"/>
        </w:rPr>
      </w:pPr>
    </w:p>
    <w:p>
      <w:pPr>
        <w:ind w:left="260" w:right="140" w:hanging="25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competing with other therapies for cancer or metabolic diseases;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38" w:name="page39"/>
    <w:bookmarkEnd w:id="38"/>
    <w:p>
      <w:pPr>
        <w:ind w:right="60"/>
        <w:spacing w:after="0" w:line="301" w:lineRule="auto"/>
        <w:rPr>
          <w:sz w:val="20"/>
          <w:szCs w:val="20"/>
          <w:color w:val="auto"/>
        </w:rPr>
      </w:pPr>
      <w:r>
        <w:rPr>
          <w:rFonts w:ascii="Arial" w:cs="Arial" w:eastAsia="Arial" w:hAnsi="Arial"/>
          <w:sz w:val="16"/>
          <w:szCs w:val="16"/>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5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if ever. We may also experience delays in developing a sustainable, reproducible and scalable manufacturing process or transferring that process to commercial partners, which may prevent us from completing our preclinical studies or clinical trials or commercializing our product candidates on a timely or profitable basis, if at all. Changes in the manufacturing process or facilities will require further comparability analysis and approval by FDA before implementation, which could delay our preclinical studies, clinical trials and product candidate development, and could require additional preclinical studies and clinical trials, including bridging studies, to demonstrate consistent and continued safety and efficacy.</w:t>
      </w:r>
    </w:p>
    <w:p>
      <w:pPr>
        <w:spacing w:after="0" w:line="1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not previously submitted an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Preclinical and clinical drug development is a lengthy and expensive process, with an uncertain outcome. Our preclinical and clinical programs may experience delays or may never be initiated or completed, which would adversely affect our ability to obtain regulatory approvals or commercialize our product candidates on a timely basis or at all, which could have an adverse effect on our business.</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order to obtain FDA approval to market a new small molecule product, we must demonstrate the safety and efficacy of our product candidates in humans to meet the FDA requirements. To meet these requirements, we will have to conduct adequate and well-controlled clinical trials. Clinical testing is expensive, time-consuming, and subject to uncertainty. Before we can commence clinical trials for a product candidate, we must complete extensive preclinical studies that support our planned and future INDs in the United States. At present, we have two product candidates, BMF-219 and BMF-500, under investigation in clinical trials, with the first patient recently dosed with BMF-500. We cannot be certain of the timely completion or outcome of our preclinical studies and clinical trials and cannot predict if the FDA will allow our existing and proposed clinical programs to proceed or if the outcomes of our preclinical studies and clinical trials will ultimately support further development of our programs. Our lead product candidate, BMF-219, is in clinical development in selected liquid tumors, solid tumors, and type 1 and type 2 diabetes mellitus, and we cannot be sure that we will be able to submit INDs or similar applications with respect to additional indications or other product candidates on the timelines we expect, if at all, and we cannot be sure that submission of IND or similar applications will result in the FDA or other regulatory authorities allowing clinical trials to begin.</w:t>
      </w:r>
    </w:p>
    <w:p>
      <w:pPr>
        <w:spacing w:after="0" w:line="168"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Conducting preclinical testing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49" w:lineRule="exact"/>
        <w:rPr>
          <w:sz w:val="20"/>
          <w:szCs w:val="20"/>
          <w:color w:val="auto"/>
        </w:rPr>
      </w:pPr>
    </w:p>
    <w:p>
      <w:pPr>
        <w:ind w:left="5540" w:right="2800" w:hanging="5532"/>
        <w:spacing w:after="0" w:line="527" w:lineRule="auto"/>
        <w:tabs>
          <w:tab w:leader="none" w:pos="2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9" w:name="page40"/>
    <w:bookmarkEnd w:id="39"/>
    <w:p>
      <w:pPr>
        <w:ind w:left="260" w:right="32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the FDA’s GLP requirements and other applicable regulations;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approval by an independent IRB ethics committee at each clinical site before each trial may be initiated;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study design and obtaining regulatory authorization to commence clinical trials;</w:t>
      </w:r>
    </w:p>
    <w:p>
      <w:pPr>
        <w:spacing w:after="0" w:line="12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117" w:lineRule="exact"/>
        <w:rPr>
          <w:rFonts w:ascii="Arial" w:cs="Arial" w:eastAsia="Arial" w:hAnsi="Arial"/>
          <w:sz w:val="18"/>
          <w:szCs w:val="18"/>
          <w:color w:val="auto"/>
        </w:rPr>
      </w:pPr>
    </w:p>
    <w:p>
      <w:pPr>
        <w:ind w:left="260" w:right="26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62" w:lineRule="exact"/>
        <w:rPr>
          <w:rFonts w:ascii="Arial" w:cs="Arial" w:eastAsia="Arial" w:hAnsi="Arial"/>
          <w:sz w:val="18"/>
          <w:szCs w:val="18"/>
          <w:color w:val="auto"/>
        </w:rPr>
      </w:pPr>
    </w:p>
    <w:p>
      <w:pPr>
        <w:ind w:left="260" w:right="68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w:t>
      </w:r>
    </w:p>
    <w:p>
      <w:pPr>
        <w:spacing w:after="0" w:line="117" w:lineRule="exact"/>
        <w:rPr>
          <w:rFonts w:ascii="Arial" w:cs="Arial" w:eastAsia="Arial" w:hAnsi="Arial"/>
          <w:sz w:val="18"/>
          <w:szCs w:val="18"/>
          <w:color w:val="auto"/>
        </w:rPr>
      </w:pPr>
    </w:p>
    <w:p>
      <w:pPr>
        <w:ind w:left="260" w:right="100" w:hanging="252"/>
        <w:spacing w:after="0" w:line="263"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75" w:lineRule="exact"/>
        <w:rPr>
          <w:rFonts w:ascii="Arial" w:cs="Arial" w:eastAsia="Arial" w:hAnsi="Arial"/>
          <w:sz w:val="18"/>
          <w:szCs w:val="18"/>
          <w:color w:val="auto"/>
        </w:rPr>
      </w:pPr>
    </w:p>
    <w:p>
      <w:pPr>
        <w:ind w:left="260" w:right="62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recruiting, screening and enrolling patients and delays caused by patients withdrawing from clinical trials or failing to return for post-treatment follow-up;</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perform in accordance with the FDA’s or any other regulatory authority’s GCPs, or applicable regulatory guidelines in other countries;</w:t>
      </w:r>
    </w:p>
    <w:p>
      <w:pPr>
        <w:spacing w:after="0" w:line="128" w:lineRule="exact"/>
        <w:rPr>
          <w:rFonts w:ascii="Arial" w:cs="Arial" w:eastAsia="Arial" w:hAnsi="Arial"/>
          <w:sz w:val="17"/>
          <w:szCs w:val="17"/>
          <w:color w:val="auto"/>
        </w:rPr>
      </w:pPr>
    </w:p>
    <w:p>
      <w:pPr>
        <w:ind w:left="26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the clinical trial protocols;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260" w:right="40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rFonts w:ascii="Arial" w:cs="Arial" w:eastAsia="Arial" w:hAnsi="Arial"/>
          <w:sz w:val="18"/>
          <w:szCs w:val="18"/>
          <w:color w:val="auto"/>
        </w:rPr>
      </w:pPr>
    </w:p>
    <w:p>
      <w:pPr>
        <w:ind w:left="260" w:right="30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(CMO), and delays or failure by our CMOs or us to make any necessary changes to such manufacturing process; and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disruptions caused by continued and prolonged public health emergencies such as the COVID-19 pandemic, may increase the likelihood that we encounter such difficulties or delays in initiating, enrolling, conducting or completing our planned and ongoing preclinical studies and clinical trials. Any inability to successfully initiate or complete preclinical studies or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if and when approved, have patent protection and may allow our competitors to bring products to market before we do, which could impair our ability to successfully commercialize our product candidates and may seriously harm our business.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40" w:name="page41"/>
    <w:bookmarkEnd w:id="40"/>
    <w:p>
      <w:pPr>
        <w:ind w:right="120"/>
        <w:spacing w:after="0" w:line="272"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will be required to demonstrate with substantial evidence through well-controlled clinical trials that our product candidates are safe and effective before we can seek regulatory and marketing approvals for their commercial sale. Success in preclinical studies does not mean that future clinical trials will be successful. For instance, we do not know whether BMF-219 or BMF-500 will perform in clinical trials as BMF-219 or BMF-500 have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not be able to initiate or continue our ongoing and planned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particularly certain cancer indications, the eligibility criteria of our clinical trials will further limit the pool of available study participants as we will require that patients have specific characteristics that we can measure or to assure their disease is either severe enough or not too advanced to include them in a study. Patient enrollment for our ongoing and planned clinical trials may be affected by other factors, including: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1" w:name="page42"/>
    <w:bookmarkEnd w:id="41"/>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efficacy of approved drugs or other methods of treatment for the disease under investigation;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260" w:right="600" w:hanging="252"/>
        <w:spacing w:after="0" w:line="342" w:lineRule="auto"/>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pursuing;</w:t>
      </w:r>
    </w:p>
    <w:p>
      <w:pPr>
        <w:spacing w:after="0" w:line="15"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117" w:lineRule="exact"/>
        <w:rPr>
          <w:rFonts w:ascii="Arial" w:cs="Arial" w:eastAsia="Arial" w:hAnsi="Arial"/>
          <w:sz w:val="18"/>
          <w:szCs w:val="18"/>
          <w:color w:val="auto"/>
        </w:rPr>
      </w:pPr>
    </w:p>
    <w:p>
      <w:pPr>
        <w:ind w:left="260" w:right="120" w:hanging="252"/>
        <w:spacing w:after="0" w:line="277"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or temporary suspension of the enrollment of patients in our planned clinical trials due to a continued and prolonged public health emergency such as the COVID-19 pandemic;</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obtain and maintain patient consents;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17" w:lineRule="exact"/>
        <w:rPr>
          <w:rFonts w:ascii="Arial" w:cs="Arial" w:eastAsia="Arial" w:hAnsi="Arial"/>
          <w:sz w:val="18"/>
          <w:szCs w:val="18"/>
          <w:color w:val="auto"/>
        </w:rPr>
      </w:pPr>
    </w:p>
    <w:p>
      <w:pPr>
        <w:ind w:left="260" w:right="380" w:hanging="252"/>
        <w:spacing w:after="0" w:line="277"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including as a result of contracting health conditions, or, because they may be late-stage cancer patients, will not survive the full terms of the clinical trials.</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7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Type 2 diabetes mellitus is a highly heterogeneous disease, there are over sixty approved therapies being utilized in treating diabetes at various stages of the disease progression, with early lines of therapies largely genericized. There is also a significant industry pipeline of potentially emerging new treatments all addressing patients either in front line or as a follow-on treatment either in monotherapy or in combination.</w:t>
      </w:r>
    </w:p>
    <w:p>
      <w:pPr>
        <w:spacing w:after="0" w:line="16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expect to initially seek approval of our product candidates in second or later lines of therapy. Subsequently, depending on the nature of the clinical data and experience with any approved products or product candidates, if any, we may pursue approval as an earlier line therapy and potentially as a first line therapy. There is no guarantee, however, that our product candidates that we may identify and pursue, even if approved as a second or subsequent line of therapy, would be approved for an earlier line of therapy, and, prior to seeking any such approvals, we may have to conduct additional clinical trials.</w:t>
      </w:r>
    </w:p>
    <w:p>
      <w:pPr>
        <w:spacing w:after="0" w:line="15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pharmaceutical industry is characterized by rapidly advancing technologies, intense competition, and a strong emphasis on proprietary products. Our future success may depend in part on our ability to maintain a competitive position with our FUSION™ system platform. If we fail to stay at the forefront of technological change in utilizing our platform to create and develop product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ind w:right="20"/>
        <w:spacing w:after="0" w:line="269" w:lineRule="auto"/>
        <w:rPr>
          <w:sz w:val="20"/>
          <w:szCs w:val="20"/>
          <w:color w:val="auto"/>
        </w:rPr>
      </w:pPr>
      <w:r>
        <w:rPr>
          <w:rFonts w:ascii="Arial" w:cs="Arial" w:eastAsia="Arial" w:hAnsi="Arial"/>
          <w:sz w:val="17"/>
          <w:szCs w:val="17"/>
          <w:color w:val="auto"/>
        </w:rPr>
        <w:t>candidates, we may be unable to compete effectively. Our competitors may render our approach obsolete by advances in existing technological approaches or the development of new or different approaches, potentially eliminating the advantages in our drug discovery process that we believe we derive from our research approach and platform. While we believe that BMF-219, our discovery platform, knowledge, and scientific resources provide us with competitive advantages, we face potential competition from many different sources, including commercial biopharmaceutical enterprises, academic institutions, government agencies and private and public research institutions. 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Any drug candidates that we successfully develop and commercialize will likely compete with existing therapies and new therapies that may become available in the future.</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BMF-219 and BMF-500 are based on estimates and third-party sources. If the market opportunities for BMF-219, BMF-500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8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incidence and prevalence for target patient populations of BMF-219 and BMF-500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BMF-219, BMF-500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In addition, we believe we are currently the only company in the United States developing covalent small molecule product candidates specifically targeted against menin. More broadly, we define ourselves as targeted drug developers focused on covalent small molecule therapeutics and as such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w:t>
      </w:r>
    </w:p>
    <w:p>
      <w:pPr>
        <w:spacing w:after="0" w:line="16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Smaller or early-stage companies may also prove to be significant competitors, particularly through collaborative arrangements with large and established companies. These companies may be or may become interested in discovery and development of covalent binders that may compete with us against menin or related targets at scale and in an integrated way. Even if they do not advance programs with the same mechanism of action as ours, these companies could develop products or product candidates that are competitive with ours or that have a superior product profile, and may do so at a rapid pace.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 We face competition from segments of the pharmaceutical, biotechnology and other related markets that pursue the development of therapies that target covalent binding against protein targets of interest to us.</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particular with our oncology franchise, we are aware of Kura Oncology’s KO-539 and Syndax Pharmaceuticals’ SNDX-5613, both of which target menin through the use of non-covalent inhibition. Both KO-539 and SNDX-5613 are in clinical development and have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jc w:val="both"/>
        <w:ind w:right="160"/>
        <w:spacing w:after="0" w:line="286" w:lineRule="auto"/>
        <w:rPr>
          <w:sz w:val="20"/>
          <w:szCs w:val="20"/>
          <w:color w:val="auto"/>
        </w:rPr>
      </w:pPr>
      <w:r>
        <w:rPr>
          <w:rFonts w:ascii="Arial" w:cs="Arial" w:eastAsia="Arial" w:hAnsi="Arial"/>
          <w:sz w:val="17"/>
          <w:szCs w:val="17"/>
          <w:color w:val="auto"/>
        </w:rPr>
        <w:t>demonstrated Phase 1 results that support continued development into pivotal studies and validate menin as a therapeutic target. Other clinical programs have been reported by Daiichi Sankyo (DS-1594), Janssen Pharmaceuticals (JNJ-75276617) and Sumitomo Pharma Oncology (DSP-5336). Additionally, other preclinical programs have been reported by Bayer (BAY-155), Novartis, and the University of Michigan.</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and metabolic diseases. Our competitors will also include companies that are or will be developing other targeted therapies, including small molecule, antibody, or protein degraders for the same indications that we are targeting. If BMF-219, BMF-500 or our future product candidates do not offer sustainable advantages over competing products, we may otherwise not be able to successfully compete against current and future competitors.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competitors may obtain regulatory approval of their product candidates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4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6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Product candidates that we may successfully develop and commercialize will compete with existing therapies and new therapies that may become available in the future. The key competitive factors affecting the success of all of our product candidates, if approved, are likely to be their potency, selectivity, inactivation of the target, therapeutic window, safety, convenience, price, the level of generic competition, our ability to market and commercialize the product candidate and the availability of reimbursement from government and other third-party payors. For additional information regarding our competition, see the section of our Annual Report on Form 10-K filed with the SEC on March 28, 2023 titled “Business—Competition.”</w:t>
      </w:r>
    </w:p>
    <w:p>
      <w:pPr>
        <w:spacing w:after="0" w:line="1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Our covalent small molecule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6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6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As is the case with many oncology drugs, it is likely that there may be significant side effects associated with their use. BMF-219, BMF-500 or future product candidates may be used in populations for which safety concerns may be reviewed by regulatory agencies. For example, if the administration of BMF-219 leads to levels of menin inhibition that far exceed those achieved by well-studied non-covalent menin inhibitors, it is possible that patients' responses could be both unexpected and negative. In addition, we or our future collaborators may study BMF-219 in combination with other therapies, which may exacerbate adverse events associated with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spacing w:after="0" w:line="291" w:lineRule="auto"/>
        <w:rPr>
          <w:sz w:val="20"/>
          <w:szCs w:val="20"/>
          <w:color w:val="auto"/>
        </w:rPr>
      </w:pPr>
      <w:r>
        <w:rPr>
          <w:rFonts w:ascii="Arial" w:cs="Arial" w:eastAsia="Arial" w:hAnsi="Arial"/>
          <w:sz w:val="16"/>
          <w:szCs w:val="16"/>
          <w:color w:val="auto"/>
        </w:rPr>
        <w:t>therapy. Further, our product candidates will be used in patients that have weakened immune systems, which may exacerbate any potential side effects associated with their use. Patients treated with BMF-219, BMF-500 or any of our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of BMF-219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6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w:t>
      </w:r>
    </w:p>
    <w:p>
      <w:pPr>
        <w:spacing w:after="0" w:line="17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Further, if any of our product candidates obtains marketing approval, toxicities associated with such product candidates previously not seen during clinical testing may also develop after such approval and lead to a number of potentially significant negative consequences, including, but not limited to:</w:t>
      </w:r>
    </w:p>
    <w:p>
      <w:pPr>
        <w:spacing w:after="0" w:line="16"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regulatory authorities may suspend, limit or withdraw approvals of such product, or seek an injunction against its manufacture or distribution;</w:t>
      </w:r>
    </w:p>
    <w:p>
      <w:pPr>
        <w:spacing w:after="0" w:line="128" w:lineRule="exact"/>
        <w:rPr>
          <w:rFonts w:ascii="Arial" w:cs="Arial" w:eastAsia="Arial" w:hAnsi="Arial"/>
          <w:sz w:val="17"/>
          <w:szCs w:val="17"/>
          <w:color w:val="auto"/>
        </w:rPr>
      </w:pPr>
    </w:p>
    <w:p>
      <w:pPr>
        <w:ind w:left="260" w:right="20" w:hanging="252"/>
        <w:spacing w:after="0" w:line="277"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260" w:right="60" w:hanging="252"/>
        <w:spacing w:after="0" w:line="277"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(REMS), which could include a medication guide outlining the risks of such side effects for distribution to patients;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we have announced or published, and may continue to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440"/>
        <w:spacing w:after="0" w:line="277" w:lineRule="auto"/>
        <w:rPr>
          <w:sz w:val="20"/>
          <w:szCs w:val="20"/>
          <w:color w:val="auto"/>
        </w:rPr>
      </w:pPr>
      <w:r>
        <w:rPr>
          <w:rFonts w:ascii="Arial" w:cs="Arial" w:eastAsia="Arial" w:hAnsi="Arial"/>
          <w:sz w:val="18"/>
          <w:szCs w:val="18"/>
          <w:color w:val="auto"/>
        </w:rPr>
        <w:t>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166"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Any future pandemic, epidemic, or outbreak of an infectious disease similar to the COVID-19 pandemic could materially adversely impact our business, results of operations, and financial condition, including our preclinical studies and clinical trials.</w:t>
      </w:r>
    </w:p>
    <w:p>
      <w:pPr>
        <w:spacing w:after="0" w:line="1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COVID-19 pandemic and government responses created disruptions in global supply chains, resulted in significant travel and work restrictions in many regions and caused a strain on healthcare resources, and have continued to adversely impact many industries.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continued spread of COVID-19, we have our administrative employees complying with state and county COVID-19 guidelines and protocols when working in our offices and limited the number of staff in any given research and development laboratory. Our research and development teams are currently operating on a staggered schedule, which has altered our operations and processes. While the extent of the impact of the COVID-19 pandemic on our business and financial results is uncertain, a continued and prolonged public health emergency such as the COVID-19 pandemic could have a material adverse effect on our business, financial condition and results of operations. As a result of the COVID-19 pandemic or other future pandemic, epidemic or outbreak of an infectious disease, we may experience disruptions that could severely impact our business, preclinical studies and clinical trials, including:</w:t>
      </w:r>
    </w:p>
    <w:p>
      <w:pPr>
        <w:spacing w:after="0" w:line="58"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300" w:right="380" w:hanging="292"/>
        <w:spacing w:after="0" w:line="27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CROs for our preclinical studies and clinical site investigators and clinical site staff for our ongoing and planned clinical trials;</w:t>
      </w:r>
    </w:p>
    <w:p>
      <w:pPr>
        <w:spacing w:after="0" w:line="62"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ongoing and planned clinical trials;</w:t>
      </w:r>
    </w:p>
    <w:p>
      <w:pPr>
        <w:spacing w:after="0" w:line="117" w:lineRule="exact"/>
        <w:rPr>
          <w:rFonts w:ascii="Arial" w:cs="Arial" w:eastAsia="Arial" w:hAnsi="Arial"/>
          <w:sz w:val="18"/>
          <w:szCs w:val="18"/>
          <w:color w:val="auto"/>
        </w:rPr>
      </w:pPr>
    </w:p>
    <w:p>
      <w:pPr>
        <w:ind w:left="300" w:right="440" w:hanging="292"/>
        <w:spacing w:after="0" w:line="27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300" w:right="80" w:hanging="292"/>
        <w:spacing w:after="0" w:line="263"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75"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17" w:lineRule="exact"/>
        <w:rPr>
          <w:rFonts w:ascii="Arial" w:cs="Arial" w:eastAsia="Arial" w:hAnsi="Arial"/>
          <w:sz w:val="18"/>
          <w:szCs w:val="18"/>
          <w:color w:val="auto"/>
        </w:rPr>
      </w:pPr>
    </w:p>
    <w:p>
      <w:pPr>
        <w:ind w:left="300" w:right="20" w:hanging="292"/>
        <w:spacing w:after="0" w:line="27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CMOs due to staffing shortages, production slowdowns or stoppages and disruptions in delivery systems;</w:t>
      </w:r>
    </w:p>
    <w:p>
      <w:pPr>
        <w:spacing w:after="0" w:line="62" w:lineRule="exact"/>
        <w:rPr>
          <w:rFonts w:ascii="Arial" w:cs="Arial" w:eastAsia="Arial" w:hAnsi="Arial"/>
          <w:sz w:val="18"/>
          <w:szCs w:val="18"/>
          <w:color w:val="auto"/>
        </w:rPr>
      </w:pPr>
    </w:p>
    <w:p>
      <w:pPr>
        <w:ind w:left="300" w:right="320" w:hanging="292"/>
        <w:spacing w:after="0" w:line="27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62"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interruptions or delays to our sourced discovery and clinical activities; and</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right="18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if approved, are accepted in the market, including:</w:t>
      </w:r>
    </w:p>
    <w:p>
      <w:pPr>
        <w:spacing w:after="0" w:line="76"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physicians, hospitals, cancer treatment centers, and patients considering our product candidates as a safe and effective treatment;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and the availability of adequate coverage and reimbursement by third-party payors and government authorities;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our product candidates are approved but fail to achieve market acceptance among physicians, patients, hospitals, cancer treatment centers or others in the medical community, we will not be able to generate significant revenue.</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1"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Even if any products we develop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Coverage and reimbursement of newly-approved products from third-party payors is uncertain. Our product candidates may become subject to unfavorable pricing regulations and/or third-party coverage and reimbursement policies, either of which would adversely affect our business. Failure to obtain or maintain adequate coverage and reimbursement for our product candidates, if approved, could limit our ability to market those products and decrease our ability to generate revenue.</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20"/>
        <w:spacing w:after="0" w:line="263" w:lineRule="auto"/>
        <w:rPr>
          <w:sz w:val="20"/>
          <w:szCs w:val="20"/>
          <w:color w:val="auto"/>
        </w:rPr>
      </w:pPr>
      <w:r>
        <w:rPr>
          <w:rFonts w:ascii="Arial" w:cs="Arial" w:eastAsia="Arial" w:hAnsi="Arial"/>
          <w:sz w:val="18"/>
          <w:szCs w:val="18"/>
          <w:color w:val="auto"/>
        </w:rPr>
        <w:t>payors. If coverage and adequate reimbursement are not available, or are available only to limited levels, we may not be able to successfully commercialize our product candidates. For additional information, see the section of our Annual Report on Form 10-K filed with the SEC on March 28, 2023 titled “Business—Coverage and Reimbursement.”</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8"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which may not be sufficiently covered by insurance, and may be required to limit commercialization of our product candidates.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that we believe is appropriate for our stage of development, our insurance policies also have various exclusions, and we may be subject to a product liability claim for which we have no coverage and may need to obtain higher levels prior to marketing any of our product candidates if approved.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Process and Other Legal Compliance Matters</w:t>
      </w:r>
    </w:p>
    <w:p>
      <w:pPr>
        <w:spacing w:after="0" w:line="229"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3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BMF-219, we must demonstrate through lengthy, complex and expensive preclinical studies and clinical trials that our product candidates are both safe and effective for each targeted indication.</w:t>
      </w:r>
    </w:p>
    <w:p>
      <w:pPr>
        <w:spacing w:after="0" w:line="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9" w:name="page50"/>
    <w:bookmarkEnd w:id="49"/>
    <w:p>
      <w:pPr>
        <w:spacing w:after="0" w:line="291" w:lineRule="auto"/>
        <w:rPr>
          <w:sz w:val="20"/>
          <w:szCs w:val="20"/>
          <w:color w:val="auto"/>
        </w:rPr>
      </w:pPr>
      <w:r>
        <w:rPr>
          <w:rFonts w:ascii="Arial" w:cs="Arial" w:eastAsia="Arial" w:hAnsi="Arial"/>
          <w:sz w:val="16"/>
          <w:szCs w:val="16"/>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58" w:lineRule="exact"/>
        <w:rPr>
          <w:sz w:val="20"/>
          <w:szCs w:val="20"/>
          <w:color w:val="auto"/>
        </w:rPr>
      </w:pPr>
    </w:p>
    <w:p>
      <w:pPr>
        <w:jc w:val="both"/>
        <w:ind w:left="260" w:right="180" w:hanging="252"/>
        <w:spacing w:after="0" w:line="263"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or require us to modify the design of our clinical trials, including additional procedures and contingency measures in response to the COVID-19 pandemic, any future pandemics or as required by clinical sites, IRBs, the FDA or other regulatory authorities;</w:t>
      </w:r>
    </w:p>
    <w:p>
      <w:pPr>
        <w:spacing w:after="0" w:line="75" w:lineRule="exact"/>
        <w:rPr>
          <w:rFonts w:ascii="Arial" w:cs="Arial" w:eastAsia="Arial" w:hAnsi="Arial"/>
          <w:sz w:val="18"/>
          <w:szCs w:val="18"/>
          <w:color w:val="auto"/>
        </w:rPr>
      </w:pPr>
    </w:p>
    <w:p>
      <w:pPr>
        <w:ind w:left="260" w:right="240" w:hanging="252"/>
        <w:spacing w:after="0" w:line="277"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260" w:right="580" w:hanging="252"/>
        <w:spacing w:after="0" w:line="277"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260" w:right="520" w:hanging="252"/>
        <w:spacing w:after="0" w:line="277"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260" w:right="460" w:hanging="252"/>
        <w:spacing w:after="0" w:line="277"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17" w:lineRule="exact"/>
        <w:rPr>
          <w:rFonts w:ascii="Arial" w:cs="Arial" w:eastAsia="Arial" w:hAnsi="Arial"/>
          <w:sz w:val="18"/>
          <w:szCs w:val="18"/>
          <w:color w:val="auto"/>
        </w:rPr>
      </w:pPr>
    </w:p>
    <w:p>
      <w:pPr>
        <w:ind w:left="260" w:right="320" w:hanging="252"/>
        <w:spacing w:after="0" w:line="277"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62" w:lineRule="exact"/>
        <w:rPr>
          <w:rFonts w:ascii="Arial" w:cs="Arial" w:eastAsia="Arial" w:hAnsi="Arial"/>
          <w:sz w:val="18"/>
          <w:szCs w:val="18"/>
          <w:color w:val="auto"/>
        </w:rPr>
      </w:pPr>
    </w:p>
    <w:p>
      <w:pPr>
        <w:ind w:left="260" w:right="220" w:hanging="252"/>
        <w:spacing w:after="0" w:line="277"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62" w:lineRule="exact"/>
        <w:rPr>
          <w:rFonts w:ascii="Arial" w:cs="Arial" w:eastAsia="Arial" w:hAnsi="Arial"/>
          <w:sz w:val="18"/>
          <w:szCs w:val="18"/>
          <w:color w:val="auto"/>
        </w:rPr>
      </w:pPr>
    </w:p>
    <w:p>
      <w:pPr>
        <w:ind w:left="260" w:right="340" w:hanging="252"/>
        <w:spacing w:after="0" w:line="277"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62"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19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business strategy, we may seek orphan drug designation (ODD) for any eligible product candidates we develop, and we may be unsuccessful. Regulatory authorities in some jurisdictions, including the United States,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and making available the drug will be recovered from sales in the United States. Our target indications may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480"/>
        <w:spacing w:after="0" w:line="277" w:lineRule="auto"/>
        <w:rPr>
          <w:sz w:val="20"/>
          <w:szCs w:val="20"/>
          <w:color w:val="auto"/>
        </w:rPr>
      </w:pPr>
      <w:r>
        <w:rPr>
          <w:rFonts w:ascii="Arial" w:cs="Arial" w:eastAsia="Arial" w:hAnsi="Arial"/>
          <w:sz w:val="18"/>
          <w:szCs w:val="18"/>
          <w:color w:val="auto"/>
        </w:rPr>
        <w:t>include diseases with large patient populations or may include orphan indications. However, there can be no assurances that we will be able to obtain orphan designations for our product candidates.</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in instances of supply issues.</w:t>
      </w:r>
    </w:p>
    <w:p>
      <w:pPr>
        <w:spacing w:after="0" w:line="17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may seek Fast Track designations for some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5"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spacing w:after="0" w:line="286" w:lineRule="auto"/>
        <w:rPr>
          <w:sz w:val="20"/>
          <w:szCs w:val="20"/>
          <w:color w:val="auto"/>
        </w:rPr>
      </w:pPr>
      <w:r>
        <w:rPr>
          <w:rFonts w:ascii="Arial" w:cs="Arial" w:eastAsia="Arial" w:hAnsi="Arial"/>
          <w:sz w:val="16"/>
          <w:szCs w:val="16"/>
          <w:color w:val="auto"/>
        </w:rPr>
        <w:t>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other product candidates, but we might not receive such designation, and even if we do, such designation may not lead to a faster regulatory review or approval process.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any products we develop is also subject to approval.</w:t>
      </w:r>
    </w:p>
    <w:p>
      <w:pPr>
        <w:spacing w:after="0" w:line="16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any products we develop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1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Changes in funding or 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2" w:name="page53"/>
    <w:bookmarkEnd w:id="52"/>
    <w:p>
      <w:pPr>
        <w:ind w:right="20"/>
        <w:spacing w:after="0" w:line="27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FDA have fluctuated in recent years as a result.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17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w:t>
      </w:r>
    </w:p>
    <w:p>
      <w:pPr>
        <w:spacing w:after="0" w:line="18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157"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 consuming post-approval studies, post-market surveillance or clinical trials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tracking and tracing requirements, good laboratory practice requirements, and good clinical practice requirements, for any clinical trials that we conduct post-approval.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6" w:lineRule="exact"/>
        <w:rPr>
          <w:sz w:val="20"/>
          <w:szCs w:val="20"/>
          <w:color w:val="auto"/>
        </w:rPr>
      </w:pPr>
    </w:p>
    <w:p>
      <w:pPr>
        <w:ind w:left="260" w:right="40" w:hanging="252"/>
        <w:spacing w:after="0" w:line="277"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117" w:lineRule="exact"/>
        <w:rPr>
          <w:rFonts w:ascii="Arial" w:cs="Arial" w:eastAsia="Arial" w:hAnsi="Arial"/>
          <w:sz w:val="18"/>
          <w:szCs w:val="18"/>
          <w:color w:val="auto"/>
        </w:rPr>
      </w:pPr>
    </w:p>
    <w:p>
      <w:pPr>
        <w:ind w:left="260" w:right="320" w:hanging="252"/>
        <w:spacing w:after="0" w:line="277"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approvals;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260" w:right="600" w:hanging="252"/>
        <w:spacing w:after="0" w:line="263"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2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additional information, see the section of our Annual Report on Form 10-K filed with the SEC on March 28, 2023 titled “Business—Healthcare Reform.”</w:t>
      </w:r>
    </w:p>
    <w:p>
      <w:pPr>
        <w:spacing w:after="0" w:line="1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Any reduction in reimbursement from Medicare or other government programs may result in a similar reduction in payments from private payors, which may adversely affect our future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Although physicians may prescribe products for “off-label” uses in the exercise of their independent professional judgment,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government has also imposed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principal investigators, CROs, suppliers, and vendors may engage in misconduct or other improper activities, including noncompliance with regulatory standards and requirements.</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exposed to the risk that our employees, independent contractors, consultants,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It is not always possible to identify and deter misconduct by these parties, and the precautions we take to detect and prevent this activity may not be effective in controlling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right="20"/>
        <w:spacing w:after="0" w:line="277" w:lineRule="auto"/>
        <w:rPr>
          <w:sz w:val="20"/>
          <w:szCs w:val="20"/>
          <w:color w:val="auto"/>
        </w:rPr>
      </w:pPr>
      <w:r>
        <w:rPr>
          <w:rFonts w:ascii="Arial" w:cs="Arial" w:eastAsia="Arial" w:hAnsi="Arial"/>
          <w:sz w:val="18"/>
          <w:szCs w:val="18"/>
          <w:color w:val="auto"/>
        </w:rPr>
        <w:t>unknown or unmanaged risks or losses or in protecting us from governmental investigations or other actions or lawsuits stemming from a failure to comply with these laws or regulations.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8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2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approval. Such laws include, without limitation, federal and state anti-kickback, fraud and abuse, false claims, data privacy and security and physician and other healthcare provider payment transparency laws and regulations. If their operations are found to be in violation of any such laws or any other governmental regulations that apply, they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 For additional information, see the section of our Annual Report on Form 10-K filed with the SEC on March 28, 2023 titled “Business—Other Healthcare Laws.”</w:t>
      </w:r>
    </w:p>
    <w:p>
      <w:pPr>
        <w:spacing w:after="0" w:line="1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be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significant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are or may become subject to stringent and changing laws, regulations, contractual obligations, and other obligations relating to privacy, data protection, and information security. The actual or perceived failure by us or our partners, customers, vendors, third-party payors or other related third parties to comply with such obligations could harm our reputation, subject us to significant fines and liability, or otherwise adversely affect our business.</w:t>
      </w:r>
    </w:p>
    <w:p>
      <w:pPr>
        <w:spacing w:after="0" w:line="187" w:lineRule="exact"/>
        <w:rPr>
          <w:sz w:val="20"/>
          <w:szCs w:val="20"/>
          <w:color w:val="auto"/>
        </w:rPr>
      </w:pPr>
    </w:p>
    <w:p>
      <w:pPr>
        <w:jc w:val="both"/>
        <w:ind w:right="260"/>
        <w:spacing w:after="0" w:line="272" w:lineRule="auto"/>
        <w:rPr>
          <w:sz w:val="20"/>
          <w:szCs w:val="20"/>
          <w:color w:val="auto"/>
        </w:rPr>
      </w:pPr>
      <w:r>
        <w:rPr>
          <w:rFonts w:ascii="Arial" w:cs="Arial" w:eastAsia="Arial" w:hAnsi="Arial"/>
          <w:sz w:val="17"/>
          <w:szCs w:val="17"/>
          <w:color w:val="auto"/>
        </w:rPr>
        <w:t>There are numerous domestic and foreign laws, regulations, and other legal obligations regarding privacy, data protection, and information security, the scope of which is changing and subject to differing applications and interpretations, and which may be inconsistent among jurisdictions or conflict with each other. Privacy, data protection, and information security laws and regulations worldwide are, and are likely to remain, uncertain for the foreseeable future, and the actual or perceived failure to address or comply with them by us or our partners, customers, vendors, or other related third-parties could increase our compliance and operational costs, expose us to regulatory scrutiny, actions, fines and penalties, result in reputational harm, lead to a loss of customers; reduce the use of our products, result in litigation and liability, cause a material adverse impact to business operations or financial results, or otherwise result in material harm to our business.</w:t>
      </w:r>
    </w:p>
    <w:p>
      <w:pPr>
        <w:spacing w:after="0" w:line="1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U.S. states have begun to enact more and more comprehensive privacy, data protection, and information security laws. By way of example, California’s California Consumer Privacy Act (CCPA), which went into effect on January 1, 2020, affords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5" w:name="page56"/>
    <w:bookmarkEnd w:id="55"/>
    <w:p>
      <w:pPr>
        <w:jc w:val="both"/>
        <w:ind w:right="120"/>
        <w:spacing w:after="0" w:line="279" w:lineRule="auto"/>
        <w:rPr>
          <w:sz w:val="20"/>
          <w:szCs w:val="20"/>
          <w:color w:val="auto"/>
        </w:rPr>
      </w:pPr>
      <w:r>
        <w:rPr>
          <w:rFonts w:ascii="Arial" w:cs="Arial" w:eastAsia="Arial" w:hAnsi="Arial"/>
          <w:sz w:val="17"/>
          <w:szCs w:val="17"/>
          <w:color w:val="auto"/>
        </w:rPr>
        <w:t>consumers expanded privacy protections. Aspects of the CCPA and its interpretation and enforcement remain uncertain. The potential effects of the CCPA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opt-out of certain personal information sharing, and receive detailed information about how their personal information is used.</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Additionally, we are or may become subject to the terms of internal and external policies, representations, standards, contractual obligations, and other obligations to third parties related to privacy, data protection, and information security. Our actual or perceived failure to comply with them may cause us to suffer a material adverse impact to our business operations or financial results, or otherwise result in material harm to our business.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view of applicable privacy, data protection, and information security laws, regulations, and standards imposing complex and burdensome obligations, and with substantial uncertainty in their interpretation and compliance, we have faced and may face challenges in addressing and complying with them, and may expend significant resources in an effort to do so, any of which could result in a material adverse impact to our business operations or financial results, or otherwise result in material harm to our business.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example, in the United States, most healthcare providers, including research institutions from which we obtain patient health information, are subject to privacy and security regulations promulgated under HIPAA, as amended by HITECH, and their respective implementing regulations. Compliance with HIPAA and HITECH may require us to modify our data processing policies and to incur substantial costs and expenses.</w:t>
      </w:r>
    </w:p>
    <w:p>
      <w:pPr>
        <w:spacing w:after="0" w:line="16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may in the future receive inquiries or be subject to investigations, proceedings, or actions by governmental entities, or litigation by private parties, regarding our privacy, data protection, and information security practices, which could result in a cause a material adverse impact to our business operations or financial results, or otherwise result in material harm to our business, including without limitation, interruptions of or require changes to our business practices, the diversion of resources and the attention of management from our business, regulatory oversights and audits, discontinuance of necessary data processing, or other remedies that adversely affect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Such Trade Laws also govern export controls, as well as economic sanctions and embargoes on certain countries and persons.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Violations of Trade Laws can result in substantial criminal fines and civil penalties, imprisonment, the loss of trade privileges, debarment, tax reassessments, breach of contract and fraud litigation, reputational harm and other consequences.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Chairman of the Board of Directors, Thomas Butler, and Chief Operating Officer and President, Ramses Erdtmann. We will need to hire additional personnel as we initiate and expand our clinical development and if we initiate commercial activities.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7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17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1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had 103 full-time employees, including 78 employees engaged in research and development activities.</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order to successfully implement our development and commercialization plans and strategies, and as we continue to operate as a public company, we expect to need additional managerial clinical, regulatory, operational, sales, marketing, financial and other personnel. Future growth would impose significant added responsibilities on members of management, including:</w:t>
      </w:r>
    </w:p>
    <w:p>
      <w:pPr>
        <w:spacing w:after="0" w:line="76"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identifying, recruiting, integrating, maintaining, retaining, and motivating additional employees;</w:t>
      </w:r>
    </w:p>
    <w:p>
      <w:pPr>
        <w:spacing w:after="0" w:line="117" w:lineRule="exact"/>
        <w:rPr>
          <w:rFonts w:ascii="Arial" w:cs="Arial" w:eastAsia="Arial" w:hAnsi="Arial"/>
          <w:sz w:val="18"/>
          <w:szCs w:val="18"/>
          <w:color w:val="auto"/>
        </w:rPr>
      </w:pPr>
    </w:p>
    <w:p>
      <w:pPr>
        <w:jc w:val="both"/>
        <w:ind w:left="260" w:right="120" w:hanging="252"/>
        <w:spacing w:after="0" w:line="263"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other comparable foreign regulatory agencies’ review process for BMF-219, BMF-500 and any future product candidates, while complying with any contractual obligations to contractors and other third parties we may have; and</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BMF-219, BMF-500 and future product candidates will depend, in part, on our ability to effectively manage any future growth in company headcount.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clinical trials may be extended, delayed or terminated, and we may not be able to obtain marketing approval of BMF-219, BMF-500 or any future product candidates or otherwise advance our business. We cannot assure you that we will be able to manage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our existing third-party service providers or find other competent outside contractors and consultants on economically reasonable terms, or at all.</w:t>
      </w:r>
    </w:p>
    <w:p>
      <w:pPr>
        <w:spacing w:after="0" w:line="23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BMF-219, BMF-500 or any future product candidates and, accordingly, may not achieve our research, development and commercialization goals.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disruptions could materially adversely affect our future revenue and financial condition and increase our costs and expenses.</w:t>
      </w:r>
    </w:p>
    <w:p>
      <w:pPr>
        <w:spacing w:after="0" w:line="23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ability to develop BMF-219, BMF-500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future taxable income may be limited.</w:t>
      </w:r>
    </w:p>
    <w:p>
      <w:pPr>
        <w:spacing w:after="0" w:line="2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net operating loss (NOL) carryforwards that we generate in the future may be unavailable to offset future taxable income because of restrictions under U.S. tax law. Under current U.S. tax law, our federal NOLs generated in taxable years beginning after December 31, 2020 may be carried forward indefinitely, but such deductibility is limited to 80% of current year taxable income.</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under Sections 382 and 383 of the Internal Revenue Code of 1986, as amended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shifts in our stock ownership, some of which are outside our control. We have performed a Section 382 study and concluded that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In addition, at the state level, there may be periods during which the use of net operating loss carryforwards is suspended or otherwise limited, which could accelerate or permanently increase state taxes owed.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For example, under Section 174 of the Code, in taxable years beginning after December 31, 2021, expenses that are incurred for research and development in the U.S. will be capitalized and amortized, which may have an adverse effect on our cash flow.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portion of our chemistry-based product development and sourcing of certain manufacturing raw materials for our product candidates takes place outside the United States through third-party manufacturers. A significant disruption in the operation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720"/>
        <w:spacing w:after="0" w:line="277" w:lineRule="auto"/>
        <w:rPr>
          <w:sz w:val="20"/>
          <w:szCs w:val="20"/>
          <w:color w:val="auto"/>
        </w:rPr>
      </w:pPr>
      <w:r>
        <w:rPr>
          <w:rFonts w:ascii="Arial" w:cs="Arial" w:eastAsia="Arial" w:hAnsi="Arial"/>
          <w:sz w:val="18"/>
          <w:szCs w:val="18"/>
          <w:b w:val="1"/>
          <w:bCs w:val="1"/>
          <w:i w:val="1"/>
          <w:iCs w:val="1"/>
          <w:color w:val="auto"/>
        </w:rPr>
        <w:t>those manufacturers, a trade war or political unrest in China could materially adversely affect our business, financial condition and results of operations.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outside the United States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outside the United States, we are exposed to the possibility of product supply disruption and increased costs in the event of changes in the policies of the United States or other foreign governments, political unrest or unstable economic conditions in these jurisdictions.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foreign currency fluctuations in the value of the local currency as future appreciation of the local currency could increase our costs. In addition, our labor costs could continue to rise as wage rates increase due to increased demand for skilled laborers and the availability of skilled labor declines outside the United States, including in China.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5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expect to have to negotiate budgets and contracts with CROs, trial sites and CMOs and we may not be able to do so on favorable terms, which may result in delays to our development timelines and increased costs.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60"/>
        <w:spacing w:after="0" w:line="270" w:lineRule="auto"/>
        <w:rPr>
          <w:sz w:val="20"/>
          <w:szCs w:val="20"/>
          <w:color w:val="auto"/>
        </w:rPr>
      </w:pPr>
      <w:r>
        <w:rPr>
          <w:rFonts w:ascii="Arial" w:cs="Arial" w:eastAsia="Arial" w:hAnsi="Arial"/>
          <w:sz w:val="17"/>
          <w:szCs w:val="17"/>
          <w:color w:val="auto"/>
        </w:rPr>
        <w:t>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third parties conducting our preclinical studies or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preclinical studies,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preclinical or clinical protocols or regulatory requirements or for other reasons, our preclinical studies or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We currently rely and expect to rely in the future on the use of dedicated manufacturing suites in third-party facilities or on third parties general manufacturing facilities to manufacture our product candidates, and we may rely on third parties to develop processes and testing methods for our products, if approved. Our business could be adversely affected if we are unable to use third-party manufacturing suites or if the third-party manufacturers fail to develop appropriate processes and testing methods to provide us with sufficient quantities of our product candidates or fail to do so at acceptable quality levels or prices.</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if approved. We will need to negotiate and maintain contractual arrangements with these outside vendors for the supply of our product candidates and we may not be able to do so on favorable terms.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qualified personnel, their equipment and facilities and any applicable licenses or approvals.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delays,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260" w:hanging="252"/>
        <w:spacing w:after="0" w:line="308" w:lineRule="auto"/>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unable to identify manufacturers on acceptable terms or at all because the number of potential manufacturers is limited and the FDA or other comparable foreign regulatory authority must inspect any manufacturers for cGMP compliance as part of our marketing application;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left="260" w:right="480" w:hanging="252"/>
        <w:spacing w:after="0" w:line="277"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processes and testing methods will need to be transferred to a new manufacturer, or develop substantially equivalent processes and testing methods for, the production of our product candidates;</w:t>
      </w:r>
    </w:p>
    <w:p>
      <w:pPr>
        <w:spacing w:after="0" w:line="62" w:lineRule="exact"/>
        <w:rPr>
          <w:rFonts w:ascii="Arial" w:cs="Arial" w:eastAsia="Arial" w:hAnsi="Arial"/>
          <w:sz w:val="18"/>
          <w:szCs w:val="18"/>
          <w:color w:val="auto"/>
        </w:rPr>
      </w:pPr>
    </w:p>
    <w:p>
      <w:pPr>
        <w:ind w:left="260" w:right="240" w:hanging="252"/>
        <w:spacing w:after="0" w:line="277"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candidates or produce the quantity and quality required to meet our clinical and commercial needs, if any;</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and other logistical support requirements appropriately;</w:t>
      </w:r>
    </w:p>
    <w:p>
      <w:pPr>
        <w:spacing w:after="0" w:line="117" w:lineRule="exact"/>
        <w:rPr>
          <w:rFonts w:ascii="Arial" w:cs="Arial" w:eastAsia="Arial" w:hAnsi="Arial"/>
          <w:sz w:val="18"/>
          <w:szCs w:val="18"/>
          <w:color w:val="auto"/>
        </w:rPr>
      </w:pPr>
    </w:p>
    <w:p>
      <w:pPr>
        <w:jc w:val="both"/>
        <w:ind w:left="260" w:right="240" w:hanging="252"/>
        <w:spacing w:after="0" w:line="342" w:lineRule="auto"/>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15" w:lineRule="exact"/>
        <w:rPr>
          <w:rFonts w:ascii="Arial" w:cs="Arial" w:eastAsia="Arial" w:hAnsi="Arial"/>
          <w:sz w:val="16"/>
          <w:szCs w:val="16"/>
          <w:color w:val="auto"/>
        </w:rPr>
      </w:pPr>
    </w:p>
    <w:p>
      <w:pPr>
        <w:ind w:left="260" w:right="360" w:hanging="252"/>
        <w:spacing w:after="0" w:line="286" w:lineRule="auto"/>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contract manufacturers are subject to ongoing periodic unannounced inspection by the FDA or other comparable foreign regulatory authority and corresponding state agencies to ensure strict compliance with cGMP and other government regulations and corresponding foreign standards and we have no control over third-party manufacturers’ compliance with these changing and tightening regulations and standards;</w:t>
      </w:r>
    </w:p>
    <w:p>
      <w:pPr>
        <w:spacing w:after="0" w:line="57" w:lineRule="exact"/>
        <w:rPr>
          <w:rFonts w:ascii="Arial" w:cs="Arial" w:eastAsia="Arial" w:hAnsi="Arial"/>
          <w:sz w:val="17"/>
          <w:szCs w:val="17"/>
          <w:color w:val="auto"/>
        </w:rPr>
      </w:pPr>
    </w:p>
    <w:p>
      <w:pPr>
        <w:ind w:left="260" w:right="1080" w:hanging="252"/>
        <w:spacing w:after="0" w:line="277"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third-party manufacturers may experience change of control of their ownership including ownership by a competitor,</w:t>
      </w:r>
    </w:p>
    <w:p>
      <w:pPr>
        <w:spacing w:after="0" w:line="117"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raw materials and components used in the manufacturing process, particularly those for which we have no other source or supplier, may not be available at acceptable prices, or at all, or may not be suitable or acceptable for use due to material or component defects;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contract manufacturers and critical reagent suppliers may be subject to inclement weather, as well as natural or man-made disasters; and</w:t>
      </w:r>
    </w:p>
    <w:p>
      <w:pPr>
        <w:spacing w:after="0" w:line="128" w:lineRule="exact"/>
        <w:rPr>
          <w:rFonts w:ascii="Arial" w:cs="Arial" w:eastAsia="Arial" w:hAnsi="Arial"/>
          <w:sz w:val="17"/>
          <w:szCs w:val="17"/>
          <w:color w:val="auto"/>
        </w:rPr>
      </w:pPr>
    </w:p>
    <w:p>
      <w:pPr>
        <w:jc w:val="both"/>
        <w:ind w:left="260" w:right="460" w:hanging="252"/>
        <w:spacing w:after="0" w:line="263"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contract manufacturers may have unacceptable or inconsistent product quality success rates and yields, and we have no direct control over our contract manufacturers’ ability to maintain adequate quality control, quality assurance, qualified personnel, their equipment and facilities and any applicable licenses or approvals.</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initiation or completion of any clinical trials or the approval of any of our product candidates by the FDA or other comparable foreign regulatory authority,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or other comparable foreign regulatory authority could place significant restrictions on our company until deficiencies are remedied.</w:t>
      </w:r>
    </w:p>
    <w:p>
      <w:pPr>
        <w:spacing w:after="0" w:line="164" w:lineRule="exact"/>
        <w:rPr>
          <w:sz w:val="20"/>
          <w:szCs w:val="20"/>
          <w:color w:val="auto"/>
        </w:rPr>
      </w:pPr>
    </w:p>
    <w:p>
      <w:pPr>
        <w:ind w:right="680"/>
        <w:spacing w:after="0" w:line="293" w:lineRule="auto"/>
        <w:rPr>
          <w:sz w:val="20"/>
          <w:szCs w:val="20"/>
          <w:color w:val="auto"/>
        </w:rPr>
      </w:pPr>
      <w:r>
        <w:rPr>
          <w:rFonts w:ascii="Arial" w:cs="Arial" w:eastAsia="Arial" w:hAnsi="Arial"/>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15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currently, and may in the future, depend on single-source suppliers for some of the ingredients, raw materials, components and materials used in, and development activities required to manufacture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be able to supply materials or services to us at cost that are acceptable to us,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ind w:right="40"/>
        <w:spacing w:after="0" w:line="273" w:lineRule="auto"/>
        <w:rPr>
          <w:sz w:val="20"/>
          <w:szCs w:val="20"/>
          <w:color w:val="auto"/>
        </w:rPr>
      </w:pPr>
      <w:r>
        <w:rPr>
          <w:rFonts w:ascii="Arial" w:cs="Arial" w:eastAsia="Arial" w:hAnsi="Arial"/>
          <w:sz w:val="17"/>
          <w:szCs w:val="17"/>
          <w:color w:val="auto"/>
        </w:rPr>
        <w:t>components or processes used in or for our product candidates, if required, may not be accomplished quickly and would create increased cost, or adversely impact the quality of our product candidates.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 candidates,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research and development activities involve the controlled use of potentially hazardous substances, including chemical and biological materials, by our third-party manufacturers. Our manufacturers may use highly flammable reagents at high reaction temperature, are subject to federal, state and local laws and regulations in the United States and their country governing the use, manufacture, storage, handling and disposal of medical and hazardous materials. Although we believe that our manufacturers’ procedures for using, handling, storing and disposing of these materials comply with legally prescribed standards and regulations,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7" w:lineRule="exact"/>
        <w:rPr>
          <w:rFonts w:ascii="Arial" w:cs="Arial" w:eastAsia="Arial" w:hAnsi="Arial"/>
          <w:sz w:val="18"/>
          <w:szCs w:val="18"/>
          <w:color w:val="auto"/>
        </w:rPr>
      </w:pPr>
    </w:p>
    <w:p>
      <w:pPr>
        <w:ind w:left="260" w:right="440" w:hanging="252"/>
        <w:spacing w:after="0" w:line="311" w:lineRule="auto"/>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40" w:lineRule="exact"/>
        <w:rPr>
          <w:rFonts w:ascii="Arial" w:cs="Arial" w:eastAsia="Arial" w:hAnsi="Arial"/>
          <w:sz w:val="16"/>
          <w:szCs w:val="16"/>
          <w:color w:val="auto"/>
        </w:rPr>
      </w:pPr>
    </w:p>
    <w:p>
      <w:pPr>
        <w:ind w:left="260" w:right="580" w:hanging="252"/>
        <w:spacing w:after="0" w:line="277"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w:t>
      </w:r>
    </w:p>
    <w:p>
      <w:pPr>
        <w:spacing w:after="0" w:line="128" w:lineRule="exact"/>
        <w:rPr>
          <w:rFonts w:ascii="Arial" w:cs="Arial" w:eastAsia="Arial" w:hAnsi="Arial"/>
          <w:sz w:val="17"/>
          <w:szCs w:val="17"/>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products may not commit sufficient resources to their marketing and distribution;</w:t>
      </w:r>
    </w:p>
    <w:p>
      <w:pPr>
        <w:spacing w:after="0" w:line="140" w:lineRule="exact"/>
        <w:rPr>
          <w:rFonts w:ascii="Arial" w:cs="Arial" w:eastAsia="Arial" w:hAnsi="Arial"/>
          <w:sz w:val="16"/>
          <w:szCs w:val="16"/>
          <w:color w:val="auto"/>
        </w:rPr>
      </w:pPr>
    </w:p>
    <w:p>
      <w:pPr>
        <w:ind w:left="260" w:right="120" w:hanging="252"/>
        <w:spacing w:after="0" w:line="263"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left="260" w:right="140" w:hanging="252"/>
        <w:spacing w:after="0" w:line="308" w:lineRule="auto"/>
        <w:tabs>
          <w:tab w:leader="none" w:pos="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38" w:lineRule="exact"/>
        <w:rPr>
          <w:rFonts w:ascii="Arial" w:cs="Arial" w:eastAsia="Arial" w:hAnsi="Arial"/>
          <w:sz w:val="17"/>
          <w:szCs w:val="17"/>
          <w:color w:val="auto"/>
        </w:rPr>
      </w:pPr>
    </w:p>
    <w:p>
      <w:pPr>
        <w:ind w:left="260" w:right="160" w:hanging="252"/>
        <w:spacing w:after="0" w:line="277"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62"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results from our collaborating with them, and in such cases, we would not have the exclusive right to commercialize such intellectual property.</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Furthermore, if conflicts arise between our future corporate or academic collaborators or strategic partners and us, the other party may act in a manner adverse to us and could limit our ability to implement our strategies.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6"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assimilation of operations, intellectual property and products of an acquired company, including difficulties associated with integrating new personnel;</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260" w:right="160" w:hanging="252"/>
        <w:spacing w:after="0" w:line="277"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62" w:lineRule="exact"/>
        <w:rPr>
          <w:rFonts w:ascii="Arial" w:cs="Arial" w:eastAsia="Arial" w:hAnsi="Arial"/>
          <w:sz w:val="18"/>
          <w:szCs w:val="18"/>
          <w:color w:val="auto"/>
        </w:rPr>
      </w:pPr>
    </w:p>
    <w:p>
      <w:pPr>
        <w:ind w:left="260" w:right="240" w:hanging="252"/>
        <w:spacing w:after="0" w:line="277"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we are unable to obtain, maintain, enforce and adequately protect our patents and other intellectual property rights with respect to our technology and product candidates, or if the scope of our patents or other intellectual property rights are not sufficiently broad, our competitors could develop and commercialize technology and products similar or identical to ours, and our ability to successfully develop and commercialize our technology or product candidates may be adversely affected.</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rely on a combination of patent applications, trade secret protection and confidentiality agreements to protect the intellectual property related to our technology and product candidates, and our success depends in large part on our ability to obtain and maintain patent protection in the United States and other countries with respect to such technology and product candidates.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3" w:name="page64"/>
    <w:bookmarkEnd w:id="63"/>
    <w:p>
      <w:pPr>
        <w:ind w:right="20"/>
        <w:spacing w:after="0" w:line="277" w:lineRule="auto"/>
        <w:rPr>
          <w:sz w:val="20"/>
          <w:szCs w:val="20"/>
          <w:color w:val="auto"/>
        </w:rPr>
      </w:pPr>
      <w:r>
        <w:rPr>
          <w:rFonts w:ascii="Arial" w:cs="Arial" w:eastAsia="Arial" w:hAnsi="Arial"/>
          <w:sz w:val="18"/>
          <w:szCs w:val="18"/>
          <w:color w:val="auto"/>
        </w:rPr>
        <w:t>confidential proprietary information could enable competitors to quickly duplicate or surpass our technological achievements, thus eroding our competitive position in our market.</w:t>
      </w:r>
    </w:p>
    <w:p>
      <w:pPr>
        <w:spacing w:after="0" w:line="17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strength of patents in the biotechnology and pharmaceutical field involves complex legal, factual and scientific questions and can be uncertain.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w:t>
      </w:r>
    </w:p>
    <w:p>
      <w:pPr>
        <w:spacing w:after="0" w:line="15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patent applications that we own may fail to result in issued patents with claims that cover our technology or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technology or product candidates, third parties may challenge the inventorship, ownership, validity, enforceability or scope of such patents, which may result in such patents being narrowed or invalidated, or being held unenforceable. Our pending and future patent applications may not issue to protect our technology or product candidates or which effectively prevent others from developing, manufacturing or commercializing competitive technologies and product candidates.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 and beyond.</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the breadth or strength of protection provided or potentially provided by the patents and patent applications we hold with respect to our technology or product candidates is threatened, it could dissuade companies from collaborating with us to develop, and threaten our ability to commercialize, our product candidates. Furthermore, even if our patents and patent applications are unchallenged, they may not adequately protect our intellectual property, provide exclusivity for our technology and product candidates or prevent others from designing around our claims. In addition, no assurances can be given that third parties will not create similar or alternative technologies, products or methods that achieve similar results without infringing upon our patents. Any of these outcomes could impair our ability to prevent competition from third parties, which may have an adverse impact on our business.</w:t>
      </w:r>
    </w:p>
    <w:p>
      <w:pPr>
        <w:spacing w:after="0" w:line="16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litigation, opposition, interference, derivation,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17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right="60"/>
        <w:spacing w:after="0" w:line="270" w:lineRule="auto"/>
        <w:rPr>
          <w:sz w:val="20"/>
          <w:szCs w:val="20"/>
          <w:color w:val="auto"/>
        </w:rPr>
      </w:pPr>
      <w:r>
        <w:rPr>
          <w:rFonts w:ascii="Arial" w:cs="Arial" w:eastAsia="Arial" w:hAnsi="Arial"/>
          <w:sz w:val="17"/>
          <w:szCs w:val="17"/>
          <w:color w:val="auto"/>
        </w:rPr>
        <w:t>However, trade secrets can be difficult to protect and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even then, the license may not be available on commercially reasonable terms. 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seek to protect our proprietary technology and processes, in part, by entering into confidentiality agreements with parties who have access to them, such as our employees,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w:t>
      </w:r>
    </w:p>
    <w:p>
      <w:pPr>
        <w:spacing w:after="0" w:line="17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1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rights. It is difficult and costly to protect our proprietary rights and technology, and we may not be able to protect our intellectual property rights throughout the world.</w:t>
      </w:r>
    </w:p>
    <w:p>
      <w:pPr>
        <w:spacing w:after="0" w:line="17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Our commercial success will depend in large part on obtaining and maintaining patent, trademark and trade secret protection of our proprietary technologies and product candidates and any future products. These candidates include BMF-219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technology, product and product candidates is dependent upon the extent to which we have rights under valid and enforceable patents or trade secrets that cover these activities.</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we delay in filing a patent application, and a competitor files a patent application on the same or a similar technology before we do, we may face a limited ability to secure patent rights or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the competitor files a patent application on such an advance before we do, then we may no longer be able to protect the technology or product, we may require a license from the competitor, and if then the license may not be available on commercially reasonable terms.</w:t>
      </w:r>
    </w:p>
    <w:p>
      <w:pPr>
        <w:spacing w:after="0" w:line="170"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5" w:name="page66"/>
    <w:bookmarkEnd w:id="65"/>
    <w:p>
      <w:pPr>
        <w:ind w:right="20"/>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commercially-reasonable terms or at all). Any efforts to enforce our intellectual property rights are also likely to be costly and may divert the efforts of our scientific and management personnel.</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17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Competitors and other third parties may infringe or otherwise violate our or our future licensor’s patents, trademarks, copyrights or other intellectual property. To counter infringement or other violations, we may be required to file infringement, misappropriation or other intellectual property-related claims against such parties, which can be expensive and time consuming.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w:t>
      </w:r>
    </w:p>
    <w:p>
      <w:pPr>
        <w:spacing w:after="0" w:line="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 such a case, we could ultimately be forced to cease use of such marks. In any intellectual property litigation, even if we are successful, any award of monetary damages or other remedy we receive may not be commercially valuable. The outcome following legal assertions of invalidity and unenforceability is unpredictable.</w:t>
      </w:r>
    </w:p>
    <w:p>
      <w:pPr>
        <w:spacing w:after="0" w:line="1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develop or commercialize current or future product candidates. Such a loss of patent protection would have a material adverse impact on our business.</w:t>
      </w:r>
    </w:p>
    <w:p>
      <w:pPr>
        <w:spacing w:after="0" w:line="24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We may be required to protect our patents through procedures created to attack the validity of a patent at the USPTO. The USPTO hears post-grant proceedings, including post grant review (PGR),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or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products. As a result, our patent portfolio may not provide us with sufficient rights to exclude others from commercializing product candidates similar or identical to ours for a meaningful amount of time, or at all.</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Also, there are detailed rules and requirements regarding the patents that may be submitted to the FDA for listing in the Approved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20"/>
        <w:spacing w:after="0" w:line="273" w:lineRule="auto"/>
        <w:rPr>
          <w:sz w:val="20"/>
          <w:szCs w:val="20"/>
          <w:color w:val="auto"/>
        </w:rPr>
      </w:pPr>
      <w:r>
        <w:rPr>
          <w:rFonts w:ascii="Arial" w:cs="Arial" w:eastAsia="Arial" w:hAnsi="Arial"/>
          <w:sz w:val="17"/>
          <w:szCs w:val="17"/>
          <w:color w:val="auto"/>
        </w:rPr>
        <w:t>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technology, products and product candidates.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or future licensor’s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technology or product candidates. Also, former employees may become employed by competitors who develop similar technology or product candidates, and could assist the competitor in designing around our patents or trade secrets. While it is our policy to require our employees and contractors who may be involved in the development of our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technology or product candidates. Even if we are successful in defending against such claims, litigation could result in substantial costs and be a distraction to management and other employees.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have a material adverse effect on our business, financial condition, results of operations and prospects.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use and will continue to use registered and/or unregistered trademarks or trade names to brand and market ourselves and any products that we develop.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8" w:name="page69"/>
    <w:bookmarkEnd w:id="68"/>
    <w:p>
      <w:pPr>
        <w:ind w:right="40"/>
        <w:spacing w:after="0" w:line="259" w:lineRule="auto"/>
        <w:rPr>
          <w:sz w:val="20"/>
          <w:szCs w:val="20"/>
          <w:color w:val="auto"/>
        </w:rPr>
      </w:pPr>
      <w:r>
        <w:rPr>
          <w:rFonts w:ascii="Arial" w:cs="Arial" w:eastAsia="Arial" w:hAnsi="Arial"/>
          <w:sz w:val="18"/>
          <w:szCs w:val="18"/>
          <w:color w:val="auto"/>
        </w:rPr>
        <w:t>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technology, product candidates and products and use our proprietary technologies without infringing the proprietary rights of third parties. U.S. and foreign issued patents and pending patent applications, which are owned by third parties, exist in the fields relating to our technology, product candidates and products. As the biotechnology and pharmaceutical industries expand and more patents are issued, the risk increases that others may assert our technology, product candidates or products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technology, product candidates and products.</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9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technology, product candidates and/or products infringe or misappropriate their intellectual property rights.</w:t>
      </w:r>
    </w:p>
    <w:p>
      <w:pPr>
        <w:spacing w:after="0" w:line="1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a third party claims that we infringe or misappropriate its intellectual property rights, we may face a number of issues, including, but not limited to: infringement, misappropriation and other intellectual property related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or misappropriation was willful, we could be ordered to pay treble damages and the patent owner’s attorneys’ fees; a court prohibiting us from developing, manufacturing, marketing or selling our products or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technology, product candidates or products so they do not infringe such third party patents; redesign may not be possible or may require substantial monetary expenditures and time.</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technology, product candidates or products.</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20"/>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84"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If we fail to comply with our obligations in any future agreements under which we license intellectual property rights from third parties or otherwise experience disruptions to our business relationships with any licensors, we could lose license rights that are important to our business.</w:t>
      </w:r>
    </w:p>
    <w:p>
      <w:pPr>
        <w:spacing w:after="0" w:line="10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growth of our business may depend in part on our ability to acquire or in-license additional proprietary rights from third parties in the future. For example, our programs may involve additional product candidates that may require the use of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Thus, 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8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may need to obtain licenses in the future from third parties to advance our research or allow commercialization of our technology, product candidates or products, and we cannot provide any assurances that there are no third-party patents which might be enforced against our technology, product candidates or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technology, product candidates or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right="580"/>
        <w:spacing w:after="0" w:line="342" w:lineRule="auto"/>
        <w:rPr>
          <w:sz w:val="20"/>
          <w:szCs w:val="20"/>
          <w:color w:val="auto"/>
        </w:rPr>
      </w:pPr>
      <w:r>
        <w:rPr>
          <w:rFonts w:ascii="Arial" w:cs="Arial" w:eastAsia="Arial" w:hAnsi="Arial"/>
          <w:sz w:val="16"/>
          <w:szCs w:val="16"/>
          <w:color w:val="auto"/>
        </w:rPr>
        <w:t>Licensing of intellectual property from third parties may become of critical importance to our business, which involves complex legal, business and scientific issues. Disputes may arise between us and our future licensors regarding intellectual property subject to a license agreement, including:</w:t>
      </w:r>
    </w:p>
    <w:p>
      <w:pPr>
        <w:spacing w:after="0" w:line="16"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260" w:right="620" w:hanging="252"/>
        <w:spacing w:after="0" w:line="277" w:lineRule="auto"/>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17" w:lineRule="exact"/>
        <w:rPr>
          <w:rFonts w:ascii="Arial" w:cs="Arial" w:eastAsia="Arial" w:hAnsi="Arial"/>
          <w:sz w:val="18"/>
          <w:szCs w:val="18"/>
          <w:color w:val="auto"/>
        </w:rPr>
      </w:pPr>
    </w:p>
    <w:p>
      <w:pPr>
        <w:ind w:left="260" w:right="580" w:hanging="252"/>
        <w:spacing w:after="0" w:line="277" w:lineRule="auto"/>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licensors and us and our partners.</w:t>
      </w:r>
    </w:p>
    <w:p>
      <w:pPr>
        <w:spacing w:after="0" w:line="237"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If disputes over intellectual property that we license in the future prevent or impair our ability to maintain our licensing arrangements on commercially reasonable terms, we may not be able to successfully develop and commercialize the affected technology, product candidates or products, which would have a material adverse effect on our business.</w:t>
      </w:r>
    </w:p>
    <w:p>
      <w:pPr>
        <w:spacing w:after="0" w:line="3"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product candidates that are similar to ours but that are not covered by the claims of the patents that we own;</w:t>
      </w:r>
    </w:p>
    <w:p>
      <w:pPr>
        <w:spacing w:after="0" w:line="117" w:lineRule="exact"/>
        <w:rPr>
          <w:rFonts w:ascii="Arial" w:cs="Arial" w:eastAsia="Arial" w:hAnsi="Arial"/>
          <w:sz w:val="18"/>
          <w:szCs w:val="18"/>
          <w:color w:val="auto"/>
        </w:rPr>
      </w:pPr>
    </w:p>
    <w:p>
      <w:pPr>
        <w:ind w:left="260" w:right="540" w:hanging="252"/>
        <w:spacing w:after="0" w:line="277"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260" w:right="380" w:hanging="252"/>
        <w:spacing w:after="0" w:line="277"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260" w:right="140" w:hanging="252"/>
        <w:spacing w:after="0" w:line="277"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it is possible that our owned and in-licensed pending patent applications or those we may own or in-license in the future will not lead to issued patents;</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17"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260" w:right="360" w:hanging="252"/>
        <w:spacing w:after="0" w:line="277"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260" w:right="640" w:hanging="252"/>
        <w:spacing w:after="0" w:line="277"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17" w:lineRule="exact"/>
        <w:rPr>
          <w:rFonts w:ascii="Arial" w:cs="Arial" w:eastAsia="Arial" w:hAnsi="Arial"/>
          <w:sz w:val="18"/>
          <w:szCs w:val="18"/>
          <w:color w:val="auto"/>
        </w:rPr>
      </w:pPr>
    </w:p>
    <w:p>
      <w:pPr>
        <w:ind w:left="260" w:right="440" w:hanging="252"/>
        <w:spacing w:after="0" w:line="277"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or intellectual property rights of others may harm our business; and</w:t>
      </w:r>
    </w:p>
    <w:p>
      <w:pPr>
        <w:spacing w:after="0" w:line="117"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these events occur, they could have a material adverse effect on our business, financial condition, results of operations and prospects.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price of our stock has been and is likely to continue to be volatile, and you may not be able to resell shares of our common stock at or above the price you paid.</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trading price of our common stock has been and is likely to be highly volatile and could be subject to wide fluctuations in response to various factors, some of which are beyond our control, including limited trading volume. In addition to the factors discussed in this “Risk Factors” section and elsewhere herein, these factors include:</w:t>
      </w:r>
    </w:p>
    <w:p>
      <w:pPr>
        <w:spacing w:after="0" w:line="76"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progress, costs and results of our ongoing, planned or any future preclinical studies, clinical trials or clinical development programs;</w:t>
      </w:r>
    </w:p>
    <w:p>
      <w:pPr>
        <w:spacing w:after="0" w:line="128" w:lineRule="exact"/>
        <w:rPr>
          <w:rFonts w:ascii="Arial" w:cs="Arial" w:eastAsia="Arial" w:hAnsi="Arial"/>
          <w:sz w:val="17"/>
          <w:szCs w:val="17"/>
          <w:color w:val="auto"/>
        </w:rPr>
      </w:pPr>
    </w:p>
    <w:p>
      <w:pPr>
        <w:ind w:left="260" w:hanging="252"/>
        <w:spacing w:after="0" w:line="277"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commencement, enrollment, progress or results of clinical trials of our product candidates or any future clinical trials we may conduct, or changes in the development status of our product candidates;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results or delays in preclinical studies and clinical trials;</w:t>
      </w:r>
    </w:p>
    <w:p>
      <w:pPr>
        <w:spacing w:after="0" w:line="117" w:lineRule="exact"/>
        <w:rPr>
          <w:rFonts w:ascii="Arial" w:cs="Arial" w:eastAsia="Arial" w:hAnsi="Arial"/>
          <w:sz w:val="18"/>
          <w:szCs w:val="18"/>
          <w:color w:val="auto"/>
        </w:rPr>
      </w:pPr>
    </w:p>
    <w:p>
      <w:pPr>
        <w:ind w:left="260" w:right="80" w:hanging="252"/>
        <w:spacing w:after="0" w:line="277"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delay in our regulatory filings or any adverse regulatory decisions, including failure to receive regulatory approval of our product candidates;</w:t>
      </w:r>
    </w:p>
    <w:p>
      <w:pPr>
        <w:spacing w:after="0" w:line="128" w:lineRule="exact"/>
        <w:rPr>
          <w:rFonts w:ascii="Arial" w:cs="Arial" w:eastAsia="Arial" w:hAnsi="Arial"/>
          <w:sz w:val="17"/>
          <w:szCs w:val="17"/>
          <w:color w:val="auto"/>
        </w:rPr>
      </w:pPr>
    </w:p>
    <w:p>
      <w:pPr>
        <w:ind w:left="260" w:right="160" w:hanging="252"/>
        <w:spacing w:after="0" w:line="277"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 candidates and any future products, including but not limited to clinical trial requirements for approvals;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manufacturing plans;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licensed product or inability to do so at acceptable prices;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size and growth of our initial cancer target markets;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treat additional types of cancers or at different stages;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develop our product candidates for the treatment of type 2 diabetes mellitus or other metabolic diseases;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260" w:right="360" w:hanging="252"/>
        <w:spacing w:after="0" w:line="277"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menin inhibitors in particular,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2" w:name="page73"/>
    <w:bookmarkEnd w:id="72"/>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intellectual property or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inflationary pressures and general economic, political, industry and market conditions;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addition, broad market and industry factors may negatively affect the market price of our common stock, regardless of our actual operating performance. If the market price of our common stock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preferences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drop significantly.</w:t>
      </w:r>
    </w:p>
    <w:p>
      <w:pPr>
        <w:spacing w:after="0" w:line="17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w:t>
      </w:r>
    </w:p>
    <w:p>
      <w:pPr>
        <w:spacing w:after="0" w:line="1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also registered or intend to register all shares of our common stock subject to options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our directors, executive officers and certain affiliates have established or may in the future establish programmed selling plans under Rule 10b5-1 of the Exchange Act for the purpose of effecting sales of our common stock. If any of these events cause a large number of our shares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be sold in the public market, the sales could reduce the trading price of our common stock and impede our ability to raise future capital.</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would result in additional dilution of the percentage ownership of our stockholders and could cause our stock price to fall.</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In October 2022, we filed a registration statement on Form S-3 relating to the registration of our common stock, preferred stock, debt securities, warrants and units or any combination thereof. In November 2022, we entered into an “at-the-market” offering program, or ATM, which provides for the offering, issuance and sale by us of shares of our common stock from time to time for aggregate gross proceeds of up to $100 million in sales deemed to be “at-the-market offerings” as defined by the Securities Act of 1933, as amended. Although we have not yet sold or issued any shares of common stock pursuant to the ATM, in April 2023, we sold 5,750,000 shares of common stock at $30.00 per share for gross proceeds of $172.5 million under the registration statement on Form S-3. Any additional sales or issuances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16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also authorized to grant stock options and other equity-based awards to our employees, directors and consultants pursuant to our 2021 Incentive Award Plan, or Incentive Plan. The number of shares available for future grant under the Incentive Plan will automatically increase each year on January 1, from January 1, 2022 to January 1, 2031, by the lesser of (A) five percent of the shares of Common Stock outstanding on the last day of the immediately preceding fiscal year and (B) such smaller number of shares as determined by the Board or the Committee (as defined in the Incentive Plan). We have also reserved shares of common stock for issuance pursuant to our 2021 Employee Stock Purchase Plan, or ESPP, which number of shares will automatically increase each year on January 1, from January 1, 2022 to January 1, 2031, by the lesser of (i) one percent of the shares of Common Stock outstanding on the last day of the immediately preceding fiscal year and (ii) such number of shares as may be determined by the Board (as defined in the ESPP); provided, however, no more than 4,500,000 shares may be issued under the ESPP. Currently, we plan to register any increase in the number of shares available for issuance under the Incentive Plan and the ESPP promptly following the effectiveness of any such increase. If our board of directors elects to increase the number of shares available for future grant under the Incentive Plan or the ESPP, our stockholders may experience additional dilution, and our stock price may fall.</w:t>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executive officers, directors and their respective affiliates beneficially own approximately 27% of our outstanding voting stock as of September 30, 2023. In particular, Thomas Butler and Ramses Erdtmann are executive officers and directors and are affiliates of Point Sur Investors Fund I, LP and Point Sur Investors LLC, and Bihua Chen is a director and an affiliate of the entities affiliated with Cormorant Asset Management.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the value of our stock.</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188"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right="120"/>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These provisions, among other things:</w:t>
      </w:r>
    </w:p>
    <w:p>
      <w:pPr>
        <w:spacing w:after="0" w:line="38"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(poison pill);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260" w:right="440" w:hanging="252"/>
        <w:spacing w:after="0" w:line="277"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report.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8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5" w:name="page76"/>
    <w:bookmarkEnd w:id="75"/>
    <w:p>
      <w:pPr>
        <w:ind w:right="60"/>
        <w:spacing w:after="0" w:line="271" w:lineRule="auto"/>
        <w:rPr>
          <w:sz w:val="20"/>
          <w:szCs w:val="20"/>
          <w:color w:val="auto"/>
        </w:rPr>
      </w:pPr>
      <w:r>
        <w:rPr>
          <w:rFonts w:ascii="Arial" w:cs="Arial" w:eastAsia="Arial" w:hAnsi="Arial"/>
          <w:sz w:val="17"/>
          <w:szCs w:val="17"/>
          <w:color w:val="auto"/>
        </w:rPr>
        <w:t>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77" w:lineRule="exact"/>
        <w:rPr>
          <w:sz w:val="20"/>
          <w:szCs w:val="20"/>
          <w:color w:val="auto"/>
        </w:rPr>
      </w:pPr>
    </w:p>
    <w:p>
      <w:pPr>
        <w:ind w:left="260" w:right="140" w:hanging="252"/>
        <w:spacing w:after="0" w:line="259"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17" w:lineRule="exact"/>
        <w:rPr>
          <w:rFonts w:ascii="Arial" w:cs="Arial" w:eastAsia="Arial" w:hAnsi="Arial"/>
          <w:sz w:val="18"/>
          <w:szCs w:val="18"/>
          <w:color w:val="auto"/>
        </w:rPr>
      </w:pPr>
    </w:p>
    <w:p>
      <w:pPr>
        <w:ind w:left="260" w:right="140" w:hanging="252"/>
        <w:spacing w:after="0" w:line="308" w:lineRule="auto"/>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8" w:lineRule="exact"/>
        <w:rPr>
          <w:rFonts w:ascii="Arial" w:cs="Arial" w:eastAsia="Arial" w:hAnsi="Arial"/>
          <w:sz w:val="17"/>
          <w:szCs w:val="17"/>
          <w:color w:val="auto"/>
        </w:rPr>
      </w:pPr>
    </w:p>
    <w:p>
      <w:pPr>
        <w:ind w:left="260" w:right="60" w:hanging="252"/>
        <w:spacing w:after="0" w:line="342" w:lineRule="auto"/>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5" w:lineRule="exact"/>
        <w:rPr>
          <w:rFonts w:ascii="Arial" w:cs="Arial" w:eastAsia="Arial" w:hAnsi="Arial"/>
          <w:sz w:val="16"/>
          <w:szCs w:val="16"/>
          <w:color w:val="auto"/>
        </w:rPr>
      </w:pPr>
    </w:p>
    <w:p>
      <w:pPr>
        <w:ind w:left="260" w:right="400" w:hanging="252"/>
        <w:spacing w:after="0" w:line="277"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2" w:lineRule="exact"/>
        <w:rPr>
          <w:rFonts w:ascii="Arial" w:cs="Arial" w:eastAsia="Arial" w:hAnsi="Arial"/>
          <w:sz w:val="18"/>
          <w:szCs w:val="18"/>
          <w:color w:val="auto"/>
        </w:rPr>
      </w:pPr>
    </w:p>
    <w:p>
      <w:pPr>
        <w:ind w:left="260" w:right="120" w:hanging="252"/>
        <w:spacing w:after="0" w:line="277"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jc w:val="both"/>
        <w:ind w:right="120"/>
        <w:spacing w:after="0" w:line="287" w:lineRule="auto"/>
        <w:rPr>
          <w:sz w:val="20"/>
          <w:szCs w:val="20"/>
          <w:color w:val="auto"/>
        </w:rPr>
      </w:pPr>
      <w:r>
        <w:rPr>
          <w:rFonts w:ascii="Arial" w:cs="Arial" w:eastAsia="Arial" w:hAnsi="Arial"/>
          <w:sz w:val="16"/>
          <w:szCs w:val="16"/>
          <w:color w:val="auto"/>
        </w:rPr>
        <w:t>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2"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77" w:lineRule="exact"/>
        <w:rPr>
          <w:sz w:val="20"/>
          <w:szCs w:val="20"/>
          <w:color w:val="auto"/>
        </w:rPr>
      </w:pPr>
    </w:p>
    <w:p>
      <w:pPr>
        <w:ind w:left="260" w:right="60" w:hanging="252"/>
        <w:spacing w:after="0" w:line="277"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260" w:right="220" w:hanging="252"/>
        <w:spacing w:after="0" w:line="342" w:lineRule="auto"/>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15"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current and future product candidates, or competing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demand for our future product candidates, if approved, which may fluctuate significantly and be difficult to predict;</w:t>
      </w:r>
    </w:p>
    <w:p>
      <w:pPr>
        <w:spacing w:after="0" w:line="117" w:lineRule="exact"/>
        <w:rPr>
          <w:rFonts w:ascii="Arial" w:cs="Arial" w:eastAsia="Arial" w:hAnsi="Arial"/>
          <w:sz w:val="18"/>
          <w:szCs w:val="18"/>
          <w:color w:val="auto"/>
        </w:rPr>
      </w:pPr>
    </w:p>
    <w:p>
      <w:pPr>
        <w:ind w:left="260" w:right="140" w:hanging="252"/>
        <w:spacing w:after="0" w:line="277"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our product candidates;</w:t>
      </w:r>
    </w:p>
    <w:p>
      <w:pPr>
        <w:spacing w:after="0" w:line="62" w:lineRule="exact"/>
        <w:rPr>
          <w:rFonts w:ascii="Arial" w:cs="Arial" w:eastAsia="Arial" w:hAnsi="Arial"/>
          <w:sz w:val="18"/>
          <w:szCs w:val="18"/>
          <w:color w:val="auto"/>
        </w:rPr>
      </w:pPr>
    </w:p>
    <w:p>
      <w:pPr>
        <w:ind w:left="260" w:right="320" w:hanging="252"/>
        <w:spacing w:after="0" w:line="277"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establish and maintain future collaborations, licensing or other arrangements;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 and our management will be required to devote substantial time to new compliance initiatives.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subject to the reporting requirements of the Securities Exchange Act of 1934, as amended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under the Dodd-Frank Wall Street Reform and Consumer Protection Act (Dodd-Frank Act), the SEC has adopted significant corporate governance and executive compensation related rules and regulations, such as “say on pay” and proxy access. While emerging growth companies are permitted to implement many of these requirements over a longer period and up to five years from the pricing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7" w:name="page78"/>
    <w:bookmarkEnd w:id="77"/>
    <w:p>
      <w:pPr>
        <w:ind w:right="80"/>
        <w:spacing w:after="0" w:line="254" w:lineRule="auto"/>
        <w:rPr>
          <w:sz w:val="20"/>
          <w:szCs w:val="20"/>
          <w:color w:val="auto"/>
        </w:rPr>
      </w:pPr>
      <w:r>
        <w:rPr>
          <w:rFonts w:ascii="Arial" w:cs="Arial" w:eastAsia="Arial" w:hAnsi="Arial"/>
          <w:sz w:val="18"/>
          <w:szCs w:val="18"/>
          <w:color w:val="auto"/>
        </w:rPr>
        <w:t>IPO, we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increase our net loss and may require us to reduce costs in other areas of our business or increase the prices of any products that we develop,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As a result of being a public company, we are obligated to develop and maintain proper and effective controls over financial reporting. If we fail to maintain proper and effective internal controls over financial reporting in the future, our ability to produce accurate and timely financial statements could be impaired, which could harm our operating results, investors’ views of us and, as a result, the value of our common stock.</w:t>
      </w:r>
    </w:p>
    <w:p>
      <w:pPr>
        <w:spacing w:after="0" w:line="14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Pursuant to Section 404 of Sarbanes-Oxley Act, our management is required to report upon the effectiveness of our internal controls over financial reporting. When we lose our status as an “emerging growth company,” as defined in the JOBS Act, and become a large accelerated filer, our independent registered public accounting firm will be required to attest to the effectiveness of our internal controls over financial reporting. However, for so long as we remain an emerging growth company, we intend to take advantage of an exemption available to emerging growth companies from these auditor attestation requirements. The rules governing the standards that must be met for management to assess our internal controls over financial reporting are complex and require significant documentation, testing, and possible remediation. To comply with the requirements of being a reporting company under the Exchange Act, we will need to upgrade our systems including information technology; implement additional financial and management controls, reporting systems, and procedures; and hire additional accounting and finance staff. If we or, if required, our auditors are unable to conclude that our internal controls over financial reporting is effective, investors may lose confidence in our financial reporting, and the trading price of our common stock may decline.</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results of operations or cash flows. If we are unable to conclude that our internal controls over financial reporting is effective, or if our independent registered public accounting firm determines we have a material weakness or significant deficiency in our internal controls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or significant deficiencies in our internal controls over financial reporting, or to implement or maintain other effective control systems required of public companies, could also restrict our future access to the capital markets.</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controls over financial reporting and disclosure controls and procedures. Effective internal controls are necessary for us to produce reliable financial reports and are important to help prevent financial fraud. We are required to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and we may experience difficulty in meeting these reporting requirements in a timely manner.</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which may result in substantial costs. Any disruptions or difficulties in implementing or using our finance and accounting systems could adversely affect our controls and harm our business. Moreover,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8" w:name="page79"/>
    <w:bookmarkEnd w:id="78"/>
    <w:p>
      <w:pPr>
        <w:ind w:right="20"/>
        <w:spacing w:after="0" w:line="255" w:lineRule="auto"/>
        <w:rPr>
          <w:sz w:val="20"/>
          <w:szCs w:val="20"/>
          <w:color w:val="auto"/>
        </w:rPr>
      </w:pPr>
      <w:r>
        <w:rPr>
          <w:rFonts w:ascii="Arial" w:cs="Arial" w:eastAsia="Arial" w:hAnsi="Arial"/>
          <w:sz w:val="18"/>
          <w:szCs w:val="18"/>
          <w:color w:val="auto"/>
        </w:rPr>
        <w:t>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the Nasdaq Global Select Market, the SEC or other regulatory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For additional information, see the section of our Annual Report on Form 10-K filed with the SEC on March 28, 2023 titled “Financial Statements and Supplementary Data—Notes to Financial Statements—Recent Accounting Pronouncements.”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intend to take advantage of exemptions from various reporting requirements that are applicable to other public companies that are not emerging growth companies, including:</w:t>
      </w:r>
    </w:p>
    <w:p>
      <w:pPr>
        <w:spacing w:after="0" w:line="38"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17" w:lineRule="exact"/>
        <w:rPr>
          <w:rFonts w:ascii="Arial" w:cs="Arial" w:eastAsia="Arial" w:hAnsi="Arial"/>
          <w:sz w:val="18"/>
          <w:szCs w:val="18"/>
          <w:color w:val="auto"/>
        </w:rPr>
      </w:pPr>
    </w:p>
    <w:p>
      <w:pPr>
        <w:ind w:left="260" w:right="380" w:hanging="252"/>
        <w:spacing w:after="0" w:line="342" w:lineRule="auto"/>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 w:lineRule="exact"/>
        <w:rPr>
          <w:rFonts w:ascii="Arial" w:cs="Arial" w:eastAsia="Arial" w:hAnsi="Arial"/>
          <w:sz w:val="16"/>
          <w:szCs w:val="16"/>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 our periodic reports and proxy statements; and</w:t>
      </w:r>
    </w:p>
    <w:p>
      <w:pPr>
        <w:spacing w:after="0" w:line="117" w:lineRule="exact"/>
        <w:rPr>
          <w:rFonts w:ascii="Arial" w:cs="Arial" w:eastAsia="Arial" w:hAnsi="Arial"/>
          <w:sz w:val="18"/>
          <w:szCs w:val="18"/>
          <w:color w:val="auto"/>
        </w:rPr>
      </w:pPr>
    </w:p>
    <w:p>
      <w:pPr>
        <w:ind w:left="260" w:right="480" w:hanging="252"/>
        <w:spacing w:after="0" w:line="277" w:lineRule="auto"/>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7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9" w:name="page80"/>
    <w:bookmarkEnd w:id="79"/>
    <w:p>
      <w:pPr>
        <w:ind w:right="300"/>
        <w:spacing w:after="0" w:line="277" w:lineRule="auto"/>
        <w:rPr>
          <w:sz w:val="20"/>
          <w:szCs w:val="20"/>
          <w:color w:val="auto"/>
        </w:rPr>
      </w:pPr>
      <w:r>
        <w:rPr>
          <w:rFonts w:ascii="Arial" w:cs="Arial" w:eastAsia="Arial" w:hAnsi="Arial"/>
          <w:sz w:val="18"/>
          <w:szCs w:val="18"/>
          <w:color w:val="auto"/>
        </w:rPr>
        <w:t>emerging growth companies. As a result, our financial statements may not be comparable to companies that comply with the new or revised accounting pronouncements as of public company effective dates.</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 billion in non-convertible debt securities during the prior three-year period; and (iv) December 31, 2026.</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and our periodic reports and proxy statements.</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U.S. tax expense.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global credit and financial markets have recently experienced extreme volatility and disruptions, including severely diminished liquidity and credit availability, declines in consumer confidence, declines in economic growth, increases in unemployment rates, uncertainty about economic stability and changes in fiscal policy, including higher interest rates.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If our security measures are compromised, or the security, confidentiality, integrity, or availability of our information technology, software, services, communications or data is compromised, limited or fails, this could result in a material adverse impact.</w:t>
      </w:r>
    </w:p>
    <w:p>
      <w:pPr>
        <w:spacing w:after="0" w:line="1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we or third parties related to us (such as our partners, CROs, and CMOs) have experienced or in the future experience any security incidents that result in any deletion or destruction of, unauthorized access to, loss of, unauthorized acquisition or disclosure of, or inadvertent exposure disclosure of, sensitive, confidential, or proprietary information (Sensitive Information), or a compromise related to the security, confidentiality, integrity or availability of our (or their) information technology, software, services, communications, or data, it may result in a material adverse impact, including without limitation, regulatory investigations or enforcement actions, litigation, indemnity obligations, delays to the development and commercialization of our product candidates, disruption of our programs, negative publicity, and financial loss. Attacks upon information technology systems are increasing in their frequency, levels of persistence, sophistication and intensity, and are being conducted by sophisticated and organized groups and individuals with a wide range of motives and expertise. We may also face increased cybersecurity risks due to our reliance on internet technology and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0" w:name="page81"/>
    <w:bookmarkEnd w:id="80"/>
    <w:p>
      <w:pPr>
        <w:ind w:right="160"/>
        <w:spacing w:after="0" w:line="272" w:lineRule="auto"/>
        <w:rPr>
          <w:sz w:val="20"/>
          <w:szCs w:val="20"/>
          <w:color w:val="auto"/>
        </w:rPr>
      </w:pPr>
      <w:r>
        <w:rPr>
          <w:rFonts w:ascii="Arial" w:cs="Arial" w:eastAsia="Arial" w:hAnsi="Arial"/>
          <w:sz w:val="17"/>
          <w:szCs w:val="17"/>
          <w:color w:val="auto"/>
        </w:rPr>
        <w:t>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or third parties related to us may also experience security breaches that may remain undetected for an extended period. Further, we have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also be vulnerable to disruptions in service and unauthorized access to our confidential or proprietary information.</w:t>
      </w:r>
    </w:p>
    <w:p>
      <w:pPr>
        <w:spacing w:after="0" w:line="17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Further, systems containing Sensitive Information are vulnerable to service interruptions, malfunction, natural disasters, terrorism, war, software and hardware failures, telecommunication and electrical failures, theft or loss from inadvertent or intentional actions by employees, contractors, consultants, business partners and/or other third parties, malware, malicious code (such as viruses and worms), software bugs, ransomware, denial-of-service attacks (including credential stuffing), social engineering and other means that affect service reliability and threaten the security, confidentiality, integrity and availability of information).</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cannot assure you that our security efforts and our investment in information technology, or the efforts or investments of CROs, consultants or other third parties related to us, will prevent breakdowns or breaches in systems or other cyber incidents that cause loss, destruction, unavailability, alteration or dissemination of, or damage to, Sensitive Information that could have a material adverse impact.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a material adverse impact including financial, legal, business and reputational harm.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privacy, data protection, and information security laws and regulations, which could result in significant legal and financial exposure and reputational damages that could potentially have a material adverse impact.</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impact.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applicable privacy, data protection, and information security laws and regulations.</w:t>
      </w:r>
    </w:p>
    <w:p>
      <w:pPr>
        <w:spacing w:after="0" w:line="18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insurance policies, if any, may not be adequate to compensate us for the potential losses arising from any such security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right="260"/>
        <w:spacing w:after="0" w:line="277" w:lineRule="auto"/>
        <w:rPr>
          <w:sz w:val="20"/>
          <w:szCs w:val="20"/>
          <w:color w:val="auto"/>
        </w:rPr>
      </w:pPr>
      <w:r>
        <w:rPr>
          <w:rFonts w:ascii="Arial" w:cs="Arial" w:eastAsia="Arial" w:hAnsi="Arial"/>
          <w:sz w:val="18"/>
          <w:szCs w:val="18"/>
          <w:color w:val="auto"/>
        </w:rPr>
        <w:t>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impacted by corporate citizenship and environmental, social and corporate governance matters and/or our reporting of such matters.</w:t>
      </w:r>
    </w:p>
    <w:p>
      <w:pPr>
        <w:spacing w:after="0" w:line="17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There is an increasing focus from certain investors, consumers, and other stakeholders concerning corporate citizenship and sustainability matters. We could be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Geopolitical risks associated with the ongoing military conflict between Russia and Ukraine could have an adverse impact on our business, financial condition and results of operations, including our clinical trials.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late February 2022, Russia commenced a military invasion of Ukraine, and sustained conflict and disruption in the region is likely. The uncertain nature, magnitude, and duration of hostilities stemming from the conflict in Ukraine, including the potential effects of sanctions limitations, retaliatory cyber-attacks on the world economy and markets, have contributed to increased market volatility and uncertainty, which could have an adverse impact on macroeconomic factors that affect our business and operations.</w:t>
      </w:r>
    </w:p>
    <w:p>
      <w:pPr>
        <w:spacing w:after="0" w:line="187" w:lineRule="exact"/>
        <w:rPr>
          <w:sz w:val="20"/>
          <w:szCs w:val="20"/>
          <w:color w:val="auto"/>
        </w:rPr>
      </w:pPr>
    </w:p>
    <w:p>
      <w:pPr>
        <w:jc w:val="both"/>
        <w:ind w:right="360"/>
        <w:spacing w:after="0" w:line="301" w:lineRule="auto"/>
        <w:rPr>
          <w:sz w:val="20"/>
          <w:szCs w:val="20"/>
          <w:color w:val="auto"/>
        </w:rPr>
      </w:pPr>
      <w:r>
        <w:rPr>
          <w:rFonts w:ascii="Arial" w:cs="Arial" w:eastAsia="Arial" w:hAnsi="Arial"/>
          <w:sz w:val="16"/>
          <w:szCs w:val="16"/>
          <w:color w:val="auto"/>
        </w:rPr>
        <w:t>Sanctions imposed by the United States, European Union, and other countries in response to the conflict between Russia and Ukraine and the potential response to such sanctions may have an adverse impact our business, including our clinical trials, the financial markets and the global economy. As the conflict in Ukraine continues, there can be no certainty regarding whether such governments or other governments will impose additional sanctions, or other economic or military measures relating to Russia, which could further adversely affect market and economic conditions.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April 15, 2021, our registration statement on Form S-1 (File No. 333-254793), was declared effective in connection with our IPO. There has been no material change in the planned use of proceeds from our IPO as described in the registration statement on Form S-1.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Purchases of Equity Securities by Issuer and Affiliated Purchasers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642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4"/>
                <w:szCs w:val="14"/>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9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6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769"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120" w:type="dxa"/>
            <w:vAlign w:val="bottom"/>
          </w:tcPr>
          <w:p>
            <w:pPr>
              <w:jc w:val="center"/>
              <w:ind w:right="530"/>
              <w:spacing w:after="0"/>
              <w:rPr>
                <w:sz w:val="20"/>
                <w:szCs w:val="20"/>
                <w:color w:val="auto"/>
              </w:rPr>
            </w:pPr>
            <w:r>
              <w:rPr>
                <w:rFonts w:ascii="Arial" w:cs="Arial" w:eastAsia="Arial" w:hAnsi="Arial"/>
                <w:sz w:val="18"/>
                <w:szCs w:val="18"/>
                <w:color w:val="auto"/>
                <w:w w:val="87"/>
              </w:rPr>
              <w:t>3.1</w:t>
            </w:r>
          </w:p>
        </w:tc>
        <w:tc>
          <w:tcPr>
            <w:tcW w:w="6380" w:type="dxa"/>
            <w:vAlign w:val="bottom"/>
            <w:gridSpan w:val="15"/>
          </w:tcPr>
          <w:p>
            <w:pPr>
              <w:spacing w:after="0"/>
              <w:rPr>
                <w:rFonts w:ascii="Arial" w:cs="Arial" w:eastAsia="Arial" w:hAnsi="Arial"/>
                <w:sz w:val="18"/>
                <w:szCs w:val="18"/>
                <w:color w:val="0000FF"/>
              </w:rPr>
            </w:pPr>
            <w:hyperlink r:id="rId233">
              <w:r>
                <w:rPr>
                  <w:rFonts w:ascii="Arial" w:cs="Arial" w:eastAsia="Arial" w:hAnsi="Arial"/>
                  <w:sz w:val="18"/>
                  <w:szCs w:val="18"/>
                  <w:color w:val="0000FF"/>
                </w:rPr>
                <w:t>Amended and Restated Certificate of Incorporation, as currently in effect</w:t>
              </w:r>
            </w:hyperlink>
          </w:p>
        </w:tc>
      </w:tr>
      <w:tr>
        <w:trPr>
          <w:trHeight w:val="466"/>
        </w:trPr>
        <w:tc>
          <w:tcPr>
            <w:tcW w:w="1120" w:type="dxa"/>
            <w:vAlign w:val="bottom"/>
          </w:tcPr>
          <w:p>
            <w:pPr>
              <w:jc w:val="center"/>
              <w:ind w:right="530"/>
              <w:spacing w:after="0"/>
              <w:rPr>
                <w:sz w:val="20"/>
                <w:szCs w:val="20"/>
                <w:color w:val="auto"/>
              </w:rPr>
            </w:pPr>
            <w:r>
              <w:rPr>
                <w:rFonts w:ascii="Arial" w:cs="Arial" w:eastAsia="Arial" w:hAnsi="Arial"/>
                <w:sz w:val="18"/>
                <w:szCs w:val="18"/>
                <w:color w:val="auto"/>
                <w:w w:val="87"/>
              </w:rPr>
              <w:t>3.2</w:t>
            </w:r>
          </w:p>
        </w:tc>
        <w:tc>
          <w:tcPr>
            <w:tcW w:w="5260" w:type="dxa"/>
            <w:vAlign w:val="bottom"/>
            <w:tcBorders>
              <w:top w:val="single" w:sz="8" w:color="0000FF"/>
            </w:tcBorders>
            <w:gridSpan w:val="8"/>
          </w:tcPr>
          <w:p>
            <w:pPr>
              <w:spacing w:after="0"/>
              <w:rPr>
                <w:rFonts w:ascii="Arial" w:cs="Arial" w:eastAsia="Arial" w:hAnsi="Arial"/>
                <w:sz w:val="18"/>
                <w:szCs w:val="18"/>
                <w:color w:val="0000FF"/>
              </w:rPr>
            </w:pPr>
            <w:hyperlink r:id="rId234">
              <w:r>
                <w:rPr>
                  <w:rFonts w:ascii="Arial" w:cs="Arial" w:eastAsia="Arial" w:hAnsi="Arial"/>
                  <w:sz w:val="18"/>
                  <w:szCs w:val="18"/>
                  <w:color w:val="0000FF"/>
                </w:rPr>
                <w:t>Amended and Restated Bylaws, as currently in effect</w:t>
              </w:r>
            </w:hyperlink>
          </w:p>
        </w:tc>
        <w:tc>
          <w:tcPr>
            <w:tcW w:w="1120" w:type="dxa"/>
            <w:vAlign w:val="bottom"/>
            <w:gridSpan w:val="7"/>
          </w:tcPr>
          <w:p>
            <w:pPr>
              <w:spacing w:after="0"/>
              <w:rPr>
                <w:sz w:val="24"/>
                <w:szCs w:val="24"/>
                <w:color w:val="auto"/>
              </w:rPr>
            </w:pPr>
          </w:p>
        </w:tc>
      </w:tr>
      <w:tr>
        <w:trPr>
          <w:trHeight w:val="466"/>
        </w:trPr>
        <w:tc>
          <w:tcPr>
            <w:tcW w:w="1120" w:type="dxa"/>
            <w:vAlign w:val="bottom"/>
          </w:tcPr>
          <w:p>
            <w:pPr>
              <w:jc w:val="center"/>
              <w:ind w:right="530"/>
              <w:spacing w:after="0"/>
              <w:rPr>
                <w:sz w:val="20"/>
                <w:szCs w:val="20"/>
                <w:color w:val="auto"/>
              </w:rPr>
            </w:pPr>
            <w:r>
              <w:rPr>
                <w:rFonts w:ascii="Arial" w:cs="Arial" w:eastAsia="Arial" w:hAnsi="Arial"/>
                <w:sz w:val="18"/>
                <w:szCs w:val="18"/>
                <w:color w:val="auto"/>
                <w:w w:val="87"/>
              </w:rPr>
              <w:t>4.1</w:t>
            </w:r>
          </w:p>
        </w:tc>
        <w:tc>
          <w:tcPr>
            <w:tcW w:w="3820" w:type="dxa"/>
            <w:vAlign w:val="bottom"/>
            <w:tcBorders>
              <w:top w:val="single" w:sz="8" w:color="0000FF"/>
            </w:tcBorders>
            <w:gridSpan w:val="6"/>
          </w:tcPr>
          <w:p>
            <w:pPr>
              <w:spacing w:after="0"/>
              <w:rPr>
                <w:rFonts w:ascii="Arial" w:cs="Arial" w:eastAsia="Arial" w:hAnsi="Arial"/>
                <w:sz w:val="18"/>
                <w:szCs w:val="18"/>
                <w:color w:val="0000FF"/>
              </w:rPr>
            </w:pPr>
            <w:hyperlink r:id="rId235">
              <w:r>
                <w:rPr>
                  <w:rFonts w:ascii="Arial" w:cs="Arial" w:eastAsia="Arial" w:hAnsi="Arial"/>
                  <w:sz w:val="18"/>
                  <w:szCs w:val="18"/>
                  <w:color w:val="0000FF"/>
                </w:rPr>
                <w:t>Form of Common Stock Certificate</w:t>
              </w:r>
            </w:hyperlink>
          </w:p>
        </w:tc>
        <w:tc>
          <w:tcPr>
            <w:tcW w:w="2560" w:type="dxa"/>
            <w:vAlign w:val="bottom"/>
            <w:gridSpan w:val="9"/>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1120" w:type="dxa"/>
            <w:vAlign w:val="bottom"/>
          </w:tcPr>
          <w:p>
            <w:pPr>
              <w:jc w:val="center"/>
              <w:ind w:right="530"/>
              <w:spacing w:after="0"/>
              <w:rPr>
                <w:sz w:val="20"/>
                <w:szCs w:val="20"/>
                <w:color w:val="auto"/>
              </w:rPr>
            </w:pPr>
            <w:r>
              <w:rPr>
                <w:rFonts w:ascii="Arial" w:cs="Arial" w:eastAsia="Arial" w:hAnsi="Arial"/>
                <w:sz w:val="18"/>
                <w:szCs w:val="18"/>
                <w:color w:val="auto"/>
                <w:w w:val="87"/>
              </w:rPr>
              <w:t>4.2</w:t>
            </w:r>
          </w:p>
        </w:tc>
        <w:tc>
          <w:tcPr>
            <w:tcW w:w="6380" w:type="dxa"/>
            <w:vAlign w:val="bottom"/>
            <w:tcBorders>
              <w:bottom w:val="single" w:sz="8" w:color="0000FF"/>
            </w:tcBorders>
            <w:gridSpan w:val="15"/>
          </w:tcPr>
          <w:p>
            <w:pPr>
              <w:spacing w:after="0"/>
              <w:rPr>
                <w:rFonts w:ascii="Arial" w:cs="Arial" w:eastAsia="Arial" w:hAnsi="Arial"/>
                <w:sz w:val="18"/>
                <w:szCs w:val="18"/>
                <w:color w:val="0000FF"/>
                <w:w w:val="90"/>
              </w:rPr>
            </w:pPr>
            <w:hyperlink r:id="rId236">
              <w:r>
                <w:rPr>
                  <w:rFonts w:ascii="Arial" w:cs="Arial" w:eastAsia="Arial" w:hAnsi="Arial"/>
                  <w:sz w:val="18"/>
                  <w:szCs w:val="18"/>
                  <w:color w:val="0000FF"/>
                  <w:w w:val="90"/>
                </w:rPr>
                <w:t>Description of Registrant’s Securities Registered pursuant to Section 12 of the Securities</w:t>
              </w:r>
            </w:hyperlink>
          </w:p>
        </w:tc>
      </w:tr>
      <w:tr>
        <w:trPr>
          <w:trHeight w:val="196"/>
        </w:trPr>
        <w:tc>
          <w:tcPr>
            <w:tcW w:w="1120" w:type="dxa"/>
            <w:vAlign w:val="bottom"/>
          </w:tcPr>
          <w:p>
            <w:pPr>
              <w:spacing w:after="0"/>
              <w:rPr>
                <w:sz w:val="17"/>
                <w:szCs w:val="17"/>
                <w:color w:val="auto"/>
              </w:rPr>
            </w:pPr>
          </w:p>
        </w:tc>
        <w:tc>
          <w:tcPr>
            <w:tcW w:w="162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236">
              <w:r>
                <w:rPr>
                  <w:rFonts w:ascii="Arial" w:cs="Arial" w:eastAsia="Arial" w:hAnsi="Arial"/>
                  <w:sz w:val="18"/>
                  <w:szCs w:val="18"/>
                  <w:color w:val="0000FF"/>
                  <w:w w:val="90"/>
                </w:rPr>
                <w:t>Exchange Act of 1934</w:t>
              </w:r>
            </w:hyperlink>
          </w:p>
        </w:tc>
        <w:tc>
          <w:tcPr>
            <w:tcW w:w="20" w:type="dxa"/>
            <w:vAlign w:val="bottom"/>
            <w:tcBorders>
              <w:bottom w:val="single" w:sz="8" w:color="0000EE"/>
            </w:tcBorders>
          </w:tcPr>
          <w:p>
            <w:pPr>
              <w:spacing w:after="0"/>
              <w:rPr>
                <w:sz w:val="17"/>
                <w:szCs w:val="17"/>
                <w:color w:val="auto"/>
              </w:rPr>
            </w:pPr>
          </w:p>
        </w:tc>
        <w:tc>
          <w:tcPr>
            <w:tcW w:w="4740" w:type="dxa"/>
            <w:vAlign w:val="bottom"/>
            <w:gridSpan w:val="13"/>
          </w:tcPr>
          <w:p>
            <w:pPr>
              <w:spacing w:after="0"/>
              <w:rPr>
                <w:sz w:val="17"/>
                <w:szCs w:val="17"/>
                <w:color w:val="auto"/>
              </w:rPr>
            </w:pPr>
          </w:p>
        </w:tc>
      </w:tr>
      <w:tr>
        <w:trPr>
          <w:trHeight w:val="453"/>
        </w:trPr>
        <w:tc>
          <w:tcPr>
            <w:tcW w:w="1120" w:type="dxa"/>
            <w:vAlign w:val="bottom"/>
          </w:tcPr>
          <w:p>
            <w:pPr>
              <w:jc w:val="center"/>
              <w:ind w:right="530"/>
              <w:spacing w:after="0"/>
              <w:rPr>
                <w:sz w:val="20"/>
                <w:szCs w:val="20"/>
                <w:color w:val="auto"/>
              </w:rPr>
            </w:pPr>
            <w:r>
              <w:rPr>
                <w:rFonts w:ascii="Arial" w:cs="Arial" w:eastAsia="Arial" w:hAnsi="Arial"/>
                <w:sz w:val="18"/>
                <w:szCs w:val="18"/>
                <w:color w:val="auto"/>
                <w:w w:val="87"/>
              </w:rPr>
              <w:t>4.3</w:t>
            </w:r>
          </w:p>
        </w:tc>
        <w:tc>
          <w:tcPr>
            <w:tcW w:w="6220" w:type="dxa"/>
            <w:vAlign w:val="bottom"/>
            <w:tcBorders>
              <w:bottom w:val="single" w:sz="8" w:color="0000FF"/>
            </w:tcBorders>
            <w:gridSpan w:val="11"/>
          </w:tcPr>
          <w:p>
            <w:pPr>
              <w:spacing w:after="0"/>
              <w:rPr>
                <w:rFonts w:ascii="Arial" w:cs="Arial" w:eastAsia="Arial" w:hAnsi="Arial"/>
                <w:sz w:val="18"/>
                <w:szCs w:val="18"/>
                <w:color w:val="0000FF"/>
                <w:w w:val="90"/>
              </w:rPr>
            </w:pPr>
            <w:hyperlink r:id="rId237">
              <w:r>
                <w:rPr>
                  <w:rFonts w:ascii="Arial" w:cs="Arial" w:eastAsia="Arial" w:hAnsi="Arial"/>
                  <w:sz w:val="18"/>
                  <w:szCs w:val="18"/>
                  <w:color w:val="0000FF"/>
                  <w:w w:val="90"/>
                </w:rPr>
                <w:t>Investors’ Rights Agreement, dated December 18, 2020, by and among the Registrant</w:t>
              </w:r>
            </w:hyperlink>
          </w:p>
        </w:tc>
        <w:tc>
          <w:tcPr>
            <w:tcW w:w="16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380" w:type="dxa"/>
            <w:vAlign w:val="bottom"/>
            <w:gridSpan w:val="15"/>
          </w:tcPr>
          <w:p>
            <w:pPr>
              <w:spacing w:after="0" w:line="196" w:lineRule="exact"/>
              <w:rPr>
                <w:rFonts w:ascii="Arial" w:cs="Arial" w:eastAsia="Arial" w:hAnsi="Arial"/>
                <w:sz w:val="18"/>
                <w:szCs w:val="18"/>
                <w:color w:val="0000FF"/>
              </w:rPr>
            </w:pPr>
            <w:hyperlink r:id="rId237">
              <w:r>
                <w:rPr>
                  <w:rFonts w:ascii="Arial" w:cs="Arial" w:eastAsia="Arial" w:hAnsi="Arial"/>
                  <w:sz w:val="18"/>
                  <w:szCs w:val="18"/>
                  <w:color w:val="0000FF"/>
                </w:rPr>
                <w:t>and the investors listed therein</w:t>
              </w:r>
            </w:hyperlink>
          </w:p>
        </w:tc>
      </w:tr>
      <w:tr>
        <w:trPr>
          <w:trHeight w:val="20"/>
        </w:trPr>
        <w:tc>
          <w:tcPr>
            <w:tcW w:w="112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120" w:type="dxa"/>
            <w:vAlign w:val="bottom"/>
          </w:tcPr>
          <w:p>
            <w:pPr>
              <w:jc w:val="center"/>
              <w:ind w:right="530"/>
              <w:spacing w:after="0"/>
              <w:rPr>
                <w:sz w:val="20"/>
                <w:szCs w:val="20"/>
                <w:color w:val="auto"/>
              </w:rPr>
            </w:pPr>
            <w:r>
              <w:rPr>
                <w:rFonts w:ascii="Arial" w:cs="Arial" w:eastAsia="Arial" w:hAnsi="Arial"/>
                <w:sz w:val="18"/>
                <w:szCs w:val="18"/>
                <w:color w:val="auto"/>
                <w:w w:val="85"/>
              </w:rPr>
              <w:t>31.1</w:t>
            </w:r>
          </w:p>
        </w:tc>
        <w:tc>
          <w:tcPr>
            <w:tcW w:w="62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Certification of Principal Executive Officer Pursuant to Rules 13a-14(a) and 15d-14(a)</w:t>
            </w:r>
          </w:p>
        </w:tc>
        <w:tc>
          <w:tcPr>
            <w:tcW w:w="1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26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0"/>
              </w:rPr>
              <w:t>under the Securities Exchange Act of 1934, as Adopted Pursuant to Section 302 of the</w:t>
            </w:r>
          </w:p>
        </w:tc>
        <w:tc>
          <w:tcPr>
            <w:tcW w:w="12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380" w:type="dxa"/>
            <w:vAlign w:val="bottom"/>
            <w:gridSpan w:val="15"/>
          </w:tcPr>
          <w:p>
            <w:pPr>
              <w:spacing w:after="0" w:line="196" w:lineRule="exact"/>
              <w:rPr>
                <w:sz w:val="20"/>
                <w:szCs w:val="20"/>
                <w:color w:val="auto"/>
              </w:rPr>
            </w:pPr>
            <w:r>
              <w:rPr>
                <w:rFonts w:ascii="Arial" w:cs="Arial" w:eastAsia="Arial" w:hAnsi="Arial"/>
                <w:sz w:val="18"/>
                <w:szCs w:val="18"/>
                <w:color w:val="0000FF"/>
              </w:rPr>
              <w:t>Sarbanes-Oxley Act of 2002.</w:t>
            </w:r>
          </w:p>
        </w:tc>
      </w:tr>
      <w:tr>
        <w:trPr>
          <w:trHeight w:val="20"/>
        </w:trPr>
        <w:tc>
          <w:tcPr>
            <w:tcW w:w="112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58"/>
        </w:trPr>
        <w:tc>
          <w:tcPr>
            <w:tcW w:w="1120" w:type="dxa"/>
            <w:vAlign w:val="bottom"/>
          </w:tcPr>
          <w:p>
            <w:pPr>
              <w:jc w:val="center"/>
              <w:ind w:right="530"/>
              <w:spacing w:after="0"/>
              <w:rPr>
                <w:sz w:val="20"/>
                <w:szCs w:val="20"/>
                <w:color w:val="auto"/>
              </w:rPr>
            </w:pPr>
            <w:r>
              <w:rPr>
                <w:rFonts w:ascii="Arial" w:cs="Arial" w:eastAsia="Arial" w:hAnsi="Arial"/>
                <w:sz w:val="18"/>
                <w:szCs w:val="18"/>
                <w:color w:val="auto"/>
                <w:w w:val="85"/>
              </w:rPr>
              <w:t>31.2</w:t>
            </w:r>
          </w:p>
        </w:tc>
        <w:tc>
          <w:tcPr>
            <w:tcW w:w="62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Certification of Principal Financial Officer Pursuant to Rules 13a-14(a) and 15d-14(a)</w:t>
            </w:r>
          </w:p>
        </w:tc>
        <w:tc>
          <w:tcPr>
            <w:tcW w:w="14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26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0"/>
              </w:rPr>
              <w:t>under the Securities Exchange Act of 1934, as Adopted Pursuant to Section 302 of the</w:t>
            </w:r>
          </w:p>
        </w:tc>
        <w:tc>
          <w:tcPr>
            <w:tcW w:w="12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380" w:type="dxa"/>
            <w:vAlign w:val="bottom"/>
            <w:gridSpan w:val="15"/>
          </w:tcPr>
          <w:p>
            <w:pPr>
              <w:spacing w:after="0" w:line="196" w:lineRule="exact"/>
              <w:rPr>
                <w:sz w:val="20"/>
                <w:szCs w:val="20"/>
                <w:color w:val="auto"/>
              </w:rPr>
            </w:pPr>
            <w:r>
              <w:rPr>
                <w:rFonts w:ascii="Arial" w:cs="Arial" w:eastAsia="Arial" w:hAnsi="Arial"/>
                <w:sz w:val="18"/>
                <w:szCs w:val="18"/>
                <w:color w:val="0000FF"/>
              </w:rPr>
              <w:t>Sarbanes-Oxley Act of 2002.</w:t>
            </w:r>
          </w:p>
        </w:tc>
      </w:tr>
      <w:tr>
        <w:trPr>
          <w:trHeight w:val="20"/>
        </w:trPr>
        <w:tc>
          <w:tcPr>
            <w:tcW w:w="112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358"/>
        </w:trPr>
        <w:tc>
          <w:tcPr>
            <w:tcW w:w="1120" w:type="dxa"/>
            <w:vAlign w:val="bottom"/>
          </w:tcPr>
          <w:p>
            <w:pPr>
              <w:jc w:val="center"/>
              <w:ind w:right="530"/>
              <w:spacing w:after="0"/>
              <w:rPr>
                <w:sz w:val="20"/>
                <w:szCs w:val="20"/>
                <w:color w:val="auto"/>
              </w:rPr>
            </w:pPr>
            <w:r>
              <w:rPr>
                <w:rFonts w:ascii="Arial" w:cs="Arial" w:eastAsia="Arial" w:hAnsi="Arial"/>
                <w:sz w:val="18"/>
                <w:szCs w:val="18"/>
                <w:color w:val="auto"/>
                <w:w w:val="85"/>
              </w:rPr>
              <w:t>32.1</w:t>
            </w:r>
          </w:p>
        </w:tc>
        <w:tc>
          <w:tcPr>
            <w:tcW w:w="60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Certification of Principal Executive Officer Pursuant to 18 U.S.C. Section 1350, as</w:t>
            </w:r>
          </w:p>
        </w:tc>
        <w:tc>
          <w:tcPr>
            <w:tcW w:w="36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380" w:type="dxa"/>
            <w:vAlign w:val="bottom"/>
            <w:gridSpan w:val="15"/>
          </w:tcPr>
          <w:p>
            <w:pPr>
              <w:spacing w:after="0" w:line="196" w:lineRule="exact"/>
              <w:rPr>
                <w:sz w:val="20"/>
                <w:szCs w:val="20"/>
                <w:color w:val="auto"/>
              </w:rPr>
            </w:pPr>
            <w:r>
              <w:rPr>
                <w:rFonts w:ascii="Arial" w:cs="Arial" w:eastAsia="Arial" w:hAnsi="Arial"/>
                <w:sz w:val="18"/>
                <w:szCs w:val="18"/>
                <w:color w:val="0000FF"/>
              </w:rPr>
              <w:t>Adopted Pursuant to Section 906 of the Sarbanes-Oxley Act of 2002.</w:t>
            </w:r>
          </w:p>
        </w:tc>
      </w:tr>
      <w:tr>
        <w:trPr>
          <w:trHeight w:val="20"/>
        </w:trPr>
        <w:tc>
          <w:tcPr>
            <w:tcW w:w="1120" w:type="dxa"/>
            <w:vAlign w:val="bottom"/>
          </w:tcPr>
          <w:p>
            <w:pPr>
              <w:spacing w:after="0" w:line="20" w:lineRule="exact"/>
              <w:rPr>
                <w:sz w:val="1"/>
                <w:szCs w:val="1"/>
                <w:color w:val="auto"/>
              </w:rPr>
            </w:pPr>
          </w:p>
        </w:tc>
        <w:tc>
          <w:tcPr>
            <w:tcW w:w="5000" w:type="dxa"/>
            <w:vAlign w:val="bottom"/>
            <w:tcBorders>
              <w:right w:val="single" w:sz="8" w:color="0000EE"/>
            </w:tcBorders>
            <w:gridSpan w:val="7"/>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358"/>
        </w:trPr>
        <w:tc>
          <w:tcPr>
            <w:tcW w:w="1120" w:type="dxa"/>
            <w:vAlign w:val="bottom"/>
          </w:tcPr>
          <w:p>
            <w:pPr>
              <w:jc w:val="center"/>
              <w:ind w:right="530"/>
              <w:spacing w:after="0"/>
              <w:rPr>
                <w:sz w:val="20"/>
                <w:szCs w:val="20"/>
                <w:color w:val="auto"/>
              </w:rPr>
            </w:pPr>
            <w:r>
              <w:rPr>
                <w:rFonts w:ascii="Arial" w:cs="Arial" w:eastAsia="Arial" w:hAnsi="Arial"/>
                <w:sz w:val="18"/>
                <w:szCs w:val="18"/>
                <w:color w:val="auto"/>
                <w:w w:val="85"/>
              </w:rPr>
              <w:t>32.2</w:t>
            </w:r>
          </w:p>
        </w:tc>
        <w:tc>
          <w:tcPr>
            <w:tcW w:w="59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 1350, as</w:t>
            </w:r>
          </w:p>
        </w:tc>
        <w:tc>
          <w:tcPr>
            <w:tcW w:w="42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380" w:type="dxa"/>
            <w:vAlign w:val="bottom"/>
            <w:gridSpan w:val="15"/>
          </w:tcPr>
          <w:p>
            <w:pPr>
              <w:spacing w:after="0" w:line="196" w:lineRule="exact"/>
              <w:rPr>
                <w:sz w:val="20"/>
                <w:szCs w:val="20"/>
                <w:color w:val="auto"/>
              </w:rPr>
            </w:pPr>
            <w:r>
              <w:rPr>
                <w:rFonts w:ascii="Arial" w:cs="Arial" w:eastAsia="Arial" w:hAnsi="Arial"/>
                <w:sz w:val="18"/>
                <w:szCs w:val="18"/>
                <w:color w:val="0000FF"/>
              </w:rPr>
              <w:t>Adopted Pursuant to Section 906 of the Sarbanes-Oxley Act of 2002.</w:t>
            </w:r>
          </w:p>
        </w:tc>
      </w:tr>
      <w:tr>
        <w:trPr>
          <w:trHeight w:val="20"/>
        </w:trPr>
        <w:tc>
          <w:tcPr>
            <w:tcW w:w="1120" w:type="dxa"/>
            <w:vAlign w:val="bottom"/>
          </w:tcPr>
          <w:p>
            <w:pPr>
              <w:spacing w:after="0" w:line="20" w:lineRule="exact"/>
              <w:rPr>
                <w:sz w:val="1"/>
                <w:szCs w:val="1"/>
                <w:color w:val="auto"/>
              </w:rPr>
            </w:pPr>
          </w:p>
        </w:tc>
        <w:tc>
          <w:tcPr>
            <w:tcW w:w="5000" w:type="dxa"/>
            <w:vAlign w:val="bottom"/>
            <w:tcBorders>
              <w:right w:val="single" w:sz="8" w:color="0000EE"/>
            </w:tcBorders>
            <w:gridSpan w:val="7"/>
            <w:shd w:val="clear" w:color="auto" w:fill="0000FF"/>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r>
      <w:tr>
        <w:trPr>
          <w:trHeight w:val="384"/>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6380" w:type="dxa"/>
            <w:vAlign w:val="bottom"/>
            <w:gridSpan w:val="15"/>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w:t>
            </w:r>
          </w:p>
        </w:tc>
      </w:tr>
      <w:tr>
        <w:trPr>
          <w:trHeight w:val="216"/>
        </w:trPr>
        <w:tc>
          <w:tcPr>
            <w:tcW w:w="1120" w:type="dxa"/>
            <w:vAlign w:val="bottom"/>
          </w:tcPr>
          <w:p>
            <w:pPr>
              <w:spacing w:after="0"/>
              <w:rPr>
                <w:sz w:val="18"/>
                <w:szCs w:val="18"/>
                <w:color w:val="auto"/>
              </w:rPr>
            </w:pPr>
          </w:p>
        </w:tc>
        <w:tc>
          <w:tcPr>
            <w:tcW w:w="6380" w:type="dxa"/>
            <w:vAlign w:val="bottom"/>
            <w:gridSpan w:val="15"/>
          </w:tcPr>
          <w:p>
            <w:pPr>
              <w:spacing w:after="0"/>
              <w:rPr>
                <w:sz w:val="20"/>
                <w:szCs w:val="20"/>
                <w:color w:val="auto"/>
              </w:rPr>
            </w:pPr>
            <w:r>
              <w:rPr>
                <w:rFonts w:ascii="Arial" w:cs="Arial" w:eastAsia="Arial" w:hAnsi="Arial"/>
                <w:sz w:val="18"/>
                <w:szCs w:val="18"/>
                <w:color w:val="auto"/>
              </w:rPr>
              <w:t>Interactive Data File because XBRL tags are embedded within the Inline XBRL</w:t>
            </w:r>
          </w:p>
        </w:tc>
      </w:tr>
      <w:tr>
        <w:trPr>
          <w:trHeight w:val="230"/>
        </w:trPr>
        <w:tc>
          <w:tcPr>
            <w:tcW w:w="1120" w:type="dxa"/>
            <w:vAlign w:val="bottom"/>
          </w:tcPr>
          <w:p>
            <w:pPr>
              <w:spacing w:after="0"/>
              <w:rPr>
                <w:sz w:val="20"/>
                <w:szCs w:val="20"/>
                <w:color w:val="auto"/>
              </w:rPr>
            </w:pPr>
          </w:p>
        </w:tc>
        <w:tc>
          <w:tcPr>
            <w:tcW w:w="6380" w:type="dxa"/>
            <w:vAlign w:val="bottom"/>
            <w:gridSpan w:val="15"/>
          </w:tcPr>
          <w:p>
            <w:pPr>
              <w:spacing w:after="0"/>
              <w:rPr>
                <w:sz w:val="20"/>
                <w:szCs w:val="20"/>
                <w:color w:val="auto"/>
              </w:rPr>
            </w:pPr>
            <w:r>
              <w:rPr>
                <w:rFonts w:ascii="Arial" w:cs="Arial" w:eastAsia="Arial" w:hAnsi="Arial"/>
                <w:sz w:val="18"/>
                <w:szCs w:val="18"/>
                <w:color w:val="auto"/>
              </w:rPr>
              <w:t>document.</w:t>
            </w:r>
          </w:p>
        </w:tc>
      </w:tr>
      <w:tr>
        <w:trPr>
          <w:trHeight w:val="378"/>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63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63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63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63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63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left="5540" w:right="600" w:hanging="5519"/>
        <w:spacing w:after="0" w:line="856" w:lineRule="auto"/>
        <w:tabs>
          <w:tab w:leader="none" w:pos="11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4/20/2021</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3.2</w:t>
            </w:r>
          </w:p>
        </w:tc>
      </w:tr>
      <w:tr>
        <w:trPr>
          <w:trHeight w:val="486"/>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4/20/2021</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3.4</w:t>
            </w:r>
          </w:p>
        </w:tc>
      </w:tr>
      <w:tr>
        <w:trPr>
          <w:trHeight w:val="486"/>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4/12/2021</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4.2</w:t>
            </w:r>
          </w:p>
        </w:tc>
      </w:tr>
      <w:tr>
        <w:trPr>
          <w:trHeight w:val="486"/>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5/27/2021</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4.4</w:t>
            </w:r>
          </w:p>
        </w:tc>
      </w:tr>
      <w:tr>
        <w:trPr>
          <w:trHeight w:val="688"/>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3/26/2021</w:t>
            </w:r>
          </w:p>
        </w:tc>
        <w:tc>
          <w:tcPr>
            <w:tcW w:w="540" w:type="dxa"/>
            <w:vAlign w:val="bottom"/>
          </w:tcPr>
          <w:p>
            <w:pPr>
              <w:jc w:val="center"/>
              <w:ind w:left="130"/>
              <w:spacing w:after="0"/>
              <w:rPr>
                <w:sz w:val="20"/>
                <w:szCs w:val="20"/>
                <w:color w:val="auto"/>
              </w:rPr>
            </w:pPr>
            <w:r>
              <w:rPr>
                <w:rFonts w:ascii="Arial" w:cs="Arial" w:eastAsia="Arial" w:hAnsi="Arial"/>
                <w:sz w:val="18"/>
                <w:szCs w:val="18"/>
                <w:color w:val="auto"/>
                <w:w w:val="91"/>
              </w:rPr>
              <w:t>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ectPr>
          <w:pgSz w:w="11900" w:h="16838" w:orient="portrait"/>
          <w:cols w:equalWidth="0" w:num="3">
            <w:col w:w="7520" w:space="260"/>
            <w:col w:w="2260" w:space="700"/>
            <w:col w:w="500"/>
          </w:cols>
          <w:pgMar w:left="320" w:top="769" w:right="339" w:bottom="1440" w:gutter="0" w:footer="0" w:header="0"/>
          <w:type w:val="continuous"/>
        </w:sectPr>
      </w:pPr>
    </w:p>
    <w:bookmarkStart w:id="84" w:name="page85"/>
    <w:bookmarkEnd w:id="84"/>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BIOMEA FUSION, INC.</w:t>
      </w:r>
    </w:p>
    <w:p>
      <w:pPr>
        <w:spacing w:after="0" w:line="256"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October 30,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Thomas Butler</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Principal Executive Officer</w:t>
      </w:r>
    </w:p>
    <w:p>
      <w:pPr>
        <w:spacing w:after="0" w:line="251" w:lineRule="exact"/>
        <w:rPr>
          <w:sz w:val="20"/>
          <w:szCs w:val="20"/>
          <w:color w:val="auto"/>
        </w:rPr>
      </w:pPr>
    </w:p>
    <w:p>
      <w:pPr>
        <w:ind w:left="20"/>
        <w:spacing w:after="0"/>
        <w:tabs>
          <w:tab w:leader="none" w:pos="5680" w:val="left"/>
          <w:tab w:leader="none" w:pos="8060" w:val="left"/>
        </w:tabs>
        <w:rPr>
          <w:sz w:val="20"/>
          <w:szCs w:val="20"/>
          <w:color w:val="auto"/>
        </w:rPr>
      </w:pPr>
      <w:r>
        <w:rPr>
          <w:rFonts w:ascii="Arial" w:cs="Arial" w:eastAsia="Arial" w:hAnsi="Arial"/>
          <w:sz w:val="18"/>
          <w:szCs w:val="18"/>
          <w:color w:val="auto"/>
        </w:rPr>
        <w:t>Date: October 30,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Franco Valle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Franco Valle</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553" w:right="77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I, Thomas Butler, certify that:</w:t>
      </w:r>
    </w:p>
    <w:p>
      <w:pPr>
        <w:spacing w:after="0" w:line="117"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Biomea Fusion,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October 30,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23495</wp:posOffset>
            </wp:positionV>
            <wp:extent cx="32486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7"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Thomas Butler</w:t>
      </w:r>
    </w:p>
    <w:p>
      <w:pPr>
        <w:spacing w:after="0" w:line="23"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Franco Valle, certify that:</w:t>
      </w:r>
    </w:p>
    <w:p>
      <w:pPr>
        <w:spacing w:after="0" w:line="117"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Biomea Fusion,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5680" w:val="left"/>
          <w:tab w:leader="none" w:pos="8100" w:val="left"/>
        </w:tabs>
        <w:rPr>
          <w:sz w:val="20"/>
          <w:szCs w:val="20"/>
          <w:color w:val="auto"/>
        </w:rPr>
      </w:pPr>
      <w:r>
        <w:rPr>
          <w:rFonts w:ascii="Arial" w:cs="Arial" w:eastAsia="Arial" w:hAnsi="Arial"/>
          <w:sz w:val="18"/>
          <w:szCs w:val="18"/>
          <w:color w:val="auto"/>
        </w:rPr>
        <w:t>Date: October 30,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Franco Valle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23495</wp:posOffset>
            </wp:positionV>
            <wp:extent cx="32486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7"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Franco Valle</w:t>
      </w:r>
    </w:p>
    <w:p>
      <w:pPr>
        <w:spacing w:after="0" w:line="23"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In connection with the Quarterly Report of Biomea Fusion, Inc. (the “Company”) on Form 10-Q for the period ended September 30, 2023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20" w:right="56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October 30,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Thomas Butler</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In connection with the Quarterly Report of Biomea Fusion, Inc. (the “Company”) on Form 10-Q for the period ended September 30, 2023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20" w:right="560" w:hanging="503"/>
        <w:spacing w:after="0" w:line="27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20"/>
        <w:spacing w:after="0"/>
        <w:tabs>
          <w:tab w:leader="none" w:pos="5680" w:val="left"/>
          <w:tab w:leader="none" w:pos="8060" w:val="left"/>
        </w:tabs>
        <w:rPr>
          <w:sz w:val="20"/>
          <w:szCs w:val="20"/>
          <w:color w:val="auto"/>
        </w:rPr>
      </w:pPr>
      <w:r>
        <w:rPr>
          <w:rFonts w:ascii="Arial" w:cs="Arial" w:eastAsia="Arial" w:hAnsi="Arial"/>
          <w:sz w:val="18"/>
          <w:szCs w:val="18"/>
          <w:color w:val="auto"/>
        </w:rPr>
        <w:t>Date: October 30,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Franco Valle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Franco Valle</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Roman"/>
      <w:start w:val="2"/>
    </w:lvl>
  </w:abstractNum>
  <w:abstractNum w:abstractNumId="6">
    <w:nsid w:val="8138641"/>
    <w:multiLevelType w:val="hybridMultilevel"/>
    <w:lvl w:ilvl="0">
      <w:lvlJc w:val="left"/>
      <w:lvlText w:val="%1."/>
      <w:numFmt w:val="decimal"/>
      <w:start w:val="8"/>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0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33" Type="http://schemas.openxmlformats.org/officeDocument/2006/relationships/hyperlink" Target="https://www.sec.gov/Archives/edgar/data/0001840439/000119312521122857/d119708dex32.htm" TargetMode="External"/><Relationship Id="rId234" Type="http://schemas.openxmlformats.org/officeDocument/2006/relationships/hyperlink" Target="https://www.sec.gov/Archives/edgar/data/0001840439/000119312521122857/d119708dex34.htm" TargetMode="External"/><Relationship Id="rId235" Type="http://schemas.openxmlformats.org/officeDocument/2006/relationships/hyperlink" Target="https://www.sec.gov/Archives/edgar/data/0001840439/000119312521112498/d113388dex42.htm" TargetMode="External"/><Relationship Id="rId236" Type="http://schemas.openxmlformats.org/officeDocument/2006/relationships/hyperlink" Target="https://www.sec.gov/Archives/edgar/data/0001840439/000156459021030450/bmea-ex44_356.htm" TargetMode="External"/><Relationship Id="rId237" Type="http://schemas.openxmlformats.org/officeDocument/2006/relationships/hyperlink" Target="https://www.sec.gov/Archives/edgar/data/0001840439/000119312521096737/d1133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2023-10-30T15:46:08Z</dcterms:created>
  <dcterms:modified xsi:type="dcterms:W3CDTF">2023-10-30T15:46:08Z</dcterms:modified>
</cp:coreProperties>
</file>